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DF" w:rsidRDefault="009607DF" w:rsidP="006139D1">
      <w:pPr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>O Brincar na Educação Infantil: Caminho para o Desenvolvimento Integral</w:t>
      </w:r>
    </w:p>
    <w:p w:rsidR="006139D1" w:rsidRDefault="006139D1" w:rsidP="006139D1">
      <w:pPr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</w:p>
    <w:p w:rsidR="00CE69A5" w:rsidRPr="00952B30" w:rsidRDefault="00CE69A5" w:rsidP="00CE69A5">
      <w:pPr>
        <w:jc w:val="right"/>
        <w:rPr>
          <w:rFonts w:ascii="Arial" w:eastAsia="Times New Roman" w:hAnsi="Arial" w:cs="Arial"/>
          <w:bCs/>
          <w:kern w:val="36"/>
          <w:sz w:val="24"/>
          <w:szCs w:val="24"/>
          <w:lang w:eastAsia="pt-BR"/>
          <w14:ligatures w14:val="none"/>
        </w:rPr>
      </w:pPr>
      <w:proofErr w:type="spellStart"/>
      <w:r w:rsidRPr="00952B30">
        <w:rPr>
          <w:rFonts w:ascii="Arial" w:eastAsia="Times New Roman" w:hAnsi="Arial" w:cs="Arial"/>
          <w:bCs/>
          <w:kern w:val="36"/>
          <w:sz w:val="24"/>
          <w:szCs w:val="24"/>
          <w:lang w:eastAsia="pt-BR"/>
          <w14:ligatures w14:val="none"/>
        </w:rPr>
        <w:t>Ariany</w:t>
      </w:r>
      <w:proofErr w:type="spellEnd"/>
      <w:r w:rsidRPr="00952B30">
        <w:rPr>
          <w:rFonts w:ascii="Arial" w:eastAsia="Times New Roman" w:hAnsi="Arial" w:cs="Arial"/>
          <w:bCs/>
          <w:kern w:val="36"/>
          <w:sz w:val="24"/>
          <w:szCs w:val="24"/>
          <w:lang w:eastAsia="pt-BR"/>
          <w14:ligatures w14:val="none"/>
        </w:rPr>
        <w:t xml:space="preserve"> Maria Furlan</w:t>
      </w:r>
    </w:p>
    <w:p w:rsidR="006139D1" w:rsidRDefault="006139D1" w:rsidP="006139D1">
      <w:pPr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</w:p>
    <w:p w:rsidR="00CE69A5" w:rsidRPr="009607DF" w:rsidRDefault="00CE69A5" w:rsidP="006139D1">
      <w:pPr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:rsidR="009607DF" w:rsidRPr="009607DF" w:rsidRDefault="009607DF" w:rsidP="006139D1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Introdução</w:t>
      </w: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infância representa uma fase única e fundamental no processo de desenvolvimento humano. É nesse período que a criança estabelece suas primeiras relações com o mundo, construindo significados e experiências que servirão de base para sua formação integral. Dentro desse contexto, o </w:t>
      </w:r>
      <w:r w:rsidRPr="009607D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brincar</w:t>
      </w: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se apresenta como elemento central, visto que constitui a principal forma de expressão, comunicação e aprendizagem da criança.</w:t>
      </w: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Conforme Vygotsky (1991), o brincar vai além do simples entretenimento, sendo um meio pelo qual a criança amplia suas capacidades cognitivas, sociais e afetivas. Nesse sentido, a Educação Infantil deve reconhecer e valorizar as práticas lúdicas como parte essencial do processo pedagógico, considerando que é por meio delas que se promove o desenvolvimento integral.</w:t>
      </w: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presente artigo tem como objetivo discutir a relevância do brincar no contexto da Educação Infantil, destacando seu papel no desenvolvimento cognitivo, motor, afetivo e social da criança, fundamentado em aportes teóricos que reconhecem a ludicidade como ferramenta indispensável no processo educativo.</w:t>
      </w: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9607DF" w:rsidRPr="009607DF" w:rsidRDefault="009607DF" w:rsidP="006139D1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Desenvolvimento</w:t>
      </w:r>
    </w:p>
    <w:p w:rsidR="009607DF" w:rsidRDefault="009607DF" w:rsidP="006139D1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 brincar como prática social e cultural</w:t>
      </w:r>
    </w:p>
    <w:p w:rsidR="006139D1" w:rsidRPr="009607DF" w:rsidRDefault="006139D1" w:rsidP="006139D1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brincar é uma prática universal, mas assume diferentes formas de acordo com os contextos sociais e culturais em que se insere. </w:t>
      </w:r>
      <w:proofErr w:type="spellStart"/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Kishimoto</w:t>
      </w:r>
      <w:proofErr w:type="spellEnd"/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(2011) enfatiza que o jogo e a brincadeira não apenas promovem aprendizagens específicas, mas também carregam valores e tradições de determinada cultura, constituindo-se como meio de socialização.</w:t>
      </w: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Ao brincar, a criança elabora situações do cotidiano, reconstrói experiências e cria novas possibilidades de interação com o meio. Segundo </w:t>
      </w: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 xml:space="preserve">Vygotsky (1991), é na brincadeira que se constrói a </w:t>
      </w:r>
      <w:r w:rsidRPr="009607DF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zona de desenvolvimento proximal (ZDP)</w:t>
      </w: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permitindo que a criança realize ações que, sozinha, ainda não conseguiria executar. Isso demonstra que o brincar é um espaço privilegiado para o desenvolvimento de novas aprendizagens mediadas pelo outro.</w:t>
      </w: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Além do aspecto cultural e social, o brincar está intimamente ligado ao desenvolvimento global da criança. Para Piaget (1971), o jogo é indispensável na construção do conhecimento, pois promove a assimilação e acomodação de novas informações. Nesse processo, a criança exercita funções cognitivas, como a memória, a atenção e a criatividade, ao mesmo tempo em que desenvolve habilidades motoras e </w:t>
      </w:r>
      <w:proofErr w:type="spellStart"/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socioemocionais</w:t>
      </w:r>
      <w:proofErr w:type="spellEnd"/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Em ambientes educativos, a inserção de práticas lúdicas favorece a construção da autonomia, o respeito às regras e a cooperação entre pares. Como afirma </w:t>
      </w:r>
      <w:proofErr w:type="spellStart"/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Kishimoto</w:t>
      </w:r>
      <w:proofErr w:type="spellEnd"/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(2011, p. 32):</w:t>
      </w:r>
    </w:p>
    <w:p w:rsidR="009607DF" w:rsidRDefault="009607DF" w:rsidP="006139D1">
      <w:pPr>
        <w:spacing w:line="240" w:lineRule="auto"/>
        <w:ind w:left="2268" w:firstLine="0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lang w:eastAsia="pt-BR"/>
          <w14:ligatures w14:val="none"/>
        </w:rPr>
        <w:t>O jogo educativo cumpre uma função dupla: de um lado, entretém e motiva a criança; de outro, possibilita a apropriação de conteúdos escolares e sociais, de man</w:t>
      </w:r>
      <w:r w:rsidR="006139D1">
        <w:rPr>
          <w:rFonts w:ascii="Arial" w:eastAsia="Times New Roman" w:hAnsi="Arial" w:cs="Arial"/>
          <w:kern w:val="0"/>
          <w:lang w:eastAsia="pt-BR"/>
          <w14:ligatures w14:val="none"/>
        </w:rPr>
        <w:t>eira significativa e prazerosa. (</w:t>
      </w:r>
      <w:proofErr w:type="spellStart"/>
      <w:r w:rsidR="006139D1">
        <w:rPr>
          <w:rFonts w:ascii="Arial" w:eastAsia="Times New Roman" w:hAnsi="Arial" w:cs="Arial"/>
          <w:kern w:val="0"/>
          <w:lang w:eastAsia="pt-BR"/>
          <w14:ligatures w14:val="none"/>
        </w:rPr>
        <w:t>Kishimoto</w:t>
      </w:r>
      <w:proofErr w:type="spellEnd"/>
      <w:r w:rsidR="006139D1">
        <w:rPr>
          <w:rFonts w:ascii="Arial" w:eastAsia="Times New Roman" w:hAnsi="Arial" w:cs="Arial"/>
          <w:kern w:val="0"/>
          <w:lang w:eastAsia="pt-BR"/>
          <w14:ligatures w14:val="none"/>
        </w:rPr>
        <w:t>, 2011, p.32).</w:t>
      </w:r>
    </w:p>
    <w:p w:rsidR="006139D1" w:rsidRPr="009607DF" w:rsidRDefault="006139D1" w:rsidP="006139D1">
      <w:pPr>
        <w:spacing w:line="240" w:lineRule="auto"/>
        <w:ind w:left="2268" w:firstLine="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Isso demonstra que o brincar deve ser compreendido não apenas como recurso didático, mas como direito da criança, previsto inclusive em documentos legais, como a </w:t>
      </w:r>
      <w:r w:rsidRPr="009607DF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Base Nacional Comum Curricular (BNCC, 2017)</w:t>
      </w: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aponta a ludicidade como eixo estruturante da Educação Infantil.</w:t>
      </w: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Cabe ao professor, enquanto mediador, planejar e organizar situações de brincadeira que favoreçam o desenvolvimento integral das crianças. De acordo com </w:t>
      </w:r>
      <w:proofErr w:type="spellStart"/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Brougère</w:t>
      </w:r>
      <w:proofErr w:type="spellEnd"/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(1998), o brincar não é uma atividade aleatória; exige intencionalidade pedagógica para que possa potencializar aprendizagens. Assim, a mediação docente deve buscar equilibrar a espontaneidade da brincadeira com objetivos educativos claros.</w:t>
      </w: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Além disso, o professor precisa compreender que a ludicidade contribui para o fortalecimento das relações sociais, auxiliando na inclusão e na valorização da diversidade dentro da sala de aula. Dessa forma, o brincar torna-se um instrumento que possibilita não apenas aprendizagens individuais, mas também coletivas, construídas no convívio e na troca de experiências.</w:t>
      </w: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9607DF" w:rsidRDefault="009607DF" w:rsidP="009066ED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Considerações Finais</w:t>
      </w:r>
    </w:p>
    <w:p w:rsidR="009066ED" w:rsidRPr="009607DF" w:rsidRDefault="009066ED" w:rsidP="009066ED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O brincar, longe de ser uma atividade secundária, constitui o cerne da infância e deve ser valorizado como prática educativa de grande relevância. É por meio das brincadeiras e jogos que as crianças ampliam suas formas de expressão, desenvolvem habilidades cognitivas, motoras, sociais e emocionais, além de internalizarem valores e normas que irão fundamentar sua vida em sociedade.</w:t>
      </w: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Educação Infantil, ao reconhecer a importância do brincar, precisa assegurar espaços, tempos e materiais que favoreçam a ludicidade, garantindo, assim, o direito da criança ao desenvolvimento pleno. Para tanto, é fundamental que os professores atuem como mediadores conscientes da relevância do lúdico no processo educativo, planejando atividades que aliem prazer, aprendizagem e desenvolvimento.</w:t>
      </w: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Portanto, a defesa do brincar como eixo estruturante da Educação Infantil é também a defesa de uma educação que respeita a infância em sua especificidade, contribuindo para a formação de sujeitos criativos, autônomos, críticos e socialmente participativos.</w:t>
      </w:r>
    </w:p>
    <w:p w:rsidR="009607DF" w:rsidRPr="009607DF" w:rsidRDefault="009607DF" w:rsidP="006139D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9607DF" w:rsidRDefault="009607DF" w:rsidP="009066ED">
      <w:pPr>
        <w:spacing w:line="240" w:lineRule="auto"/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Referências</w:t>
      </w:r>
    </w:p>
    <w:p w:rsidR="009066ED" w:rsidRPr="009607DF" w:rsidRDefault="009066ED" w:rsidP="009066ED">
      <w:pPr>
        <w:spacing w:line="240" w:lineRule="auto"/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9607DF" w:rsidRDefault="009607DF" w:rsidP="009066ED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ARIÈS, Philippe. </w:t>
      </w:r>
      <w:r w:rsidRPr="009607DF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História social da criança e da família</w:t>
      </w:r>
      <w:r w:rsidRPr="009607DF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.</w:t>
      </w: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Rio de Janeiro: LTC, 1981.</w:t>
      </w:r>
    </w:p>
    <w:p w:rsidR="009066ED" w:rsidRPr="009607DF" w:rsidRDefault="009066ED" w:rsidP="009066ED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9607DF" w:rsidRDefault="009607DF" w:rsidP="009066ED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BRASIL. </w:t>
      </w:r>
      <w:r w:rsidRPr="009607DF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Base Nacional Comum Curricular</w:t>
      </w: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Brasília: MEC, 2017.</w:t>
      </w:r>
    </w:p>
    <w:p w:rsidR="009066ED" w:rsidRPr="009607DF" w:rsidRDefault="009066ED" w:rsidP="009066ED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9607DF" w:rsidRDefault="009607DF" w:rsidP="009066ED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BROUGÈRE, Gilles. </w:t>
      </w:r>
      <w:r w:rsidRPr="009607DF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Jogo e educação</w:t>
      </w:r>
      <w:r w:rsidRPr="009607DF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. </w:t>
      </w: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Porto Alegre: Artes Médicas, 1998.</w:t>
      </w:r>
    </w:p>
    <w:p w:rsidR="009066ED" w:rsidRPr="009607DF" w:rsidRDefault="009066ED" w:rsidP="009066ED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9607DF" w:rsidRDefault="009607DF" w:rsidP="009066ED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KISHIMOTO, </w:t>
      </w:r>
      <w:proofErr w:type="spellStart"/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Tizuko</w:t>
      </w:r>
      <w:proofErr w:type="spellEnd"/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Morchida</w:t>
      </w:r>
      <w:proofErr w:type="spellEnd"/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</w:t>
      </w:r>
      <w:r w:rsidRPr="009607DF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Jogo, brinquedo, brincadeira e a educação</w:t>
      </w:r>
      <w:r w:rsidRPr="009607DF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. </w:t>
      </w: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14. ed. São Paulo: Cortez, 2011.</w:t>
      </w:r>
    </w:p>
    <w:p w:rsidR="009066ED" w:rsidRPr="009607DF" w:rsidRDefault="009066ED" w:rsidP="009066ED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9607DF" w:rsidRDefault="009607DF" w:rsidP="009066ED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PIAGET, Jean. </w:t>
      </w:r>
      <w:r w:rsidRPr="009607DF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A formação do símbolo na criança: imitação, jogo e sonho, imagem e representação</w:t>
      </w:r>
      <w:r w:rsidRPr="009607DF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.</w:t>
      </w: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Rio de Janeiro: Zahar, 1971.</w:t>
      </w:r>
    </w:p>
    <w:p w:rsidR="009066ED" w:rsidRPr="009607DF" w:rsidRDefault="009066ED" w:rsidP="009066ED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9607DF" w:rsidRPr="009607DF" w:rsidRDefault="009607DF" w:rsidP="009066ED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VYGOTSKY, Lev S. </w:t>
      </w:r>
      <w:r w:rsidRPr="009607DF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A formação social da mente</w:t>
      </w:r>
      <w:r w:rsidRPr="009607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São Paulo: Martins Fontes, 1991.</w:t>
      </w:r>
    </w:p>
    <w:p w:rsidR="00455442" w:rsidRDefault="00455442" w:rsidP="009066ED">
      <w:pPr>
        <w:spacing w:line="240" w:lineRule="auto"/>
        <w:ind w:firstLine="0"/>
      </w:pPr>
    </w:p>
    <w:sectPr w:rsidR="0045544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643" w:rsidRDefault="007A0643" w:rsidP="00D6572D">
      <w:pPr>
        <w:spacing w:line="240" w:lineRule="auto"/>
      </w:pPr>
      <w:r>
        <w:separator/>
      </w:r>
    </w:p>
  </w:endnote>
  <w:endnote w:type="continuationSeparator" w:id="0">
    <w:p w:rsidR="007A0643" w:rsidRDefault="007A0643" w:rsidP="00D65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235031"/>
      <w:docPartObj>
        <w:docPartGallery w:val="Page Numbers (Bottom of Page)"/>
        <w:docPartUnique/>
      </w:docPartObj>
    </w:sdtPr>
    <w:sdtEndPr/>
    <w:sdtContent>
      <w:p w:rsidR="00D6572D" w:rsidRDefault="00D657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9A5">
          <w:rPr>
            <w:noProof/>
          </w:rPr>
          <w:t>1</w:t>
        </w:r>
        <w:r>
          <w:fldChar w:fldCharType="end"/>
        </w:r>
      </w:p>
    </w:sdtContent>
  </w:sdt>
  <w:p w:rsidR="00D6572D" w:rsidRDefault="00D657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643" w:rsidRDefault="007A0643" w:rsidP="00D6572D">
      <w:pPr>
        <w:spacing w:line="240" w:lineRule="auto"/>
      </w:pPr>
      <w:r>
        <w:separator/>
      </w:r>
    </w:p>
  </w:footnote>
  <w:footnote w:type="continuationSeparator" w:id="0">
    <w:p w:rsidR="007A0643" w:rsidRDefault="007A0643" w:rsidP="00D657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869C6"/>
    <w:multiLevelType w:val="multilevel"/>
    <w:tmpl w:val="2DE0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DF"/>
    <w:rsid w:val="000848AD"/>
    <w:rsid w:val="00393C44"/>
    <w:rsid w:val="00455442"/>
    <w:rsid w:val="005664B6"/>
    <w:rsid w:val="006139D1"/>
    <w:rsid w:val="007A0643"/>
    <w:rsid w:val="009066ED"/>
    <w:rsid w:val="009607DF"/>
    <w:rsid w:val="00CE69A5"/>
    <w:rsid w:val="00D6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73F2"/>
  <w15:chartTrackingRefBased/>
  <w15:docId w15:val="{DB26E0DF-3939-49B5-8FF7-2D940CDB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72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72D"/>
  </w:style>
  <w:style w:type="paragraph" w:styleId="Rodap">
    <w:name w:val="footer"/>
    <w:basedOn w:val="Normal"/>
    <w:link w:val="RodapChar"/>
    <w:uiPriority w:val="99"/>
    <w:unhideWhenUsed/>
    <w:rsid w:val="00D6572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9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Custódio</dc:creator>
  <cp:keywords/>
  <dc:description/>
  <cp:lastModifiedBy>Alessandra Custódio</cp:lastModifiedBy>
  <cp:revision>5</cp:revision>
  <dcterms:created xsi:type="dcterms:W3CDTF">2025-08-20T19:34:00Z</dcterms:created>
  <dcterms:modified xsi:type="dcterms:W3CDTF">2025-09-03T11:19:00Z</dcterms:modified>
</cp:coreProperties>
</file>