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righ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Ellen MONTINELLI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righ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righ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 liderança escolar é super importante porque ajuda a criar um ambiente de aprendizado positivo e motivador. Um bom líder na escola consegue inspirar professores, alunos e toda a equipe a trabalharem juntos em prol do sucesso de todos. Além disso, a liderança eficaz promove uma gestão eficiente, melhora o clima escolar e incentiva a inovação e o desenvolvimento contínuo. No final das contas, uma liderança forte faz toda a diferença para transformar a escola em um espaço mais acolhedor, produtivo e cheio de oportunidades para aprender e crescer!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liderança, gestão, acolhimento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rPr>
          <w:rFonts w:ascii="Arial" w:cs="Arial" w:eastAsia="Arial" w:hAnsi="Arial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Professora da Física, Matemática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Pedagogia,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vertAlign w:val="baseline"/>
            <w:rtl w:val="0"/>
          </w:rPr>
          <w:t xml:space="preserve">montinelli@hotmail.com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1C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 liderança escolar desempenha um papel fundamental no desenvolvimento de ambientes de aprendizagem saudáveis, motivadores e eficientes. Ela vai além da simples gestão administrativa, envolvendo a capacidade de inspirar, orientar e transformar a comunidade escolar em prol do sucesso de alunos, professores e toda a equipe. Em um cenário educacional em constante mudança, a liderança eficaz se torna essencial para promover inovação, inclusão e melhoria contínua, contribuindo para a formação de cidadãos mais preparados e engajados. Este artigo busca explorar a importância da liderança escolar, suas características principais e o impacto que ela pode ter na qualidade da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Escolar: Pilar Fundamental para a Qualidade da Educação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liderança escolar é um dos principais fatores que influenciam a qualidade da educação. Em um cenário educacional cada vez mais desafiador e dinâmico, o papel do(a) gestor(a) escolar vai além da administração burocrática. Ele(a) se torna um(a) líder pedagógico(a), capaz de inspirar, motivar e transformar o ambiente escolar em um espaço de aprendizado efetivo, colaborativo e inclusivo.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yr80ybina400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 que é liderança escolar?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liderança escolar refere-se à capacidade de gerir, orientar e coordenar todos os aspectos de uma instituição de ensino com foco na melhoria do desempenho dos estudantes. Isso inclui o gerenciamento de recursos humanos e materiais, a implementação de políticas educacionais, a promoção de um clima organizacional saudável e o desenvolvimento de uma visão pedagógica clara e compartilhada.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p88ghf9a3jya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 papel do(a) líder escolar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Um(a) líder escolar eficiente deve possuir uma visão estratégica e ser capaz de envolver toda a comunidade escolar — professores, alunos, funcionários e famílias — no processo de construção de um projeto educativo de qualidade. Suas principais funções incluem: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pedagógica: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acompanhamento do trabalho docente, incentivo ao uso de metodologias ativas, promoção de formação continuada e garantia de um currículo significativo.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Gestão participativa: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escuta ativa da equipe, estímulo ao trabalho em equipe e à corresponsabilidade, além de uma comunicação clara e transparente.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Tomada de decisões baseada em dados: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uso de indicadores de desempenho escolar para orientar ações concretas e eficazes.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Promoção de um ambiente acolhedor: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valorização da diversidade, combate ao preconceito e criação de uma cultura de paz.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9yler2z15hxe" w:id="2"/>
      <w:bookmarkEnd w:id="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Estilos de liderança escolar</w:t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Existem diferentes estilos de liderança escolar, e cada um pode ser eficaz dependendo do contexto. Entre os mais comuns estão: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democrática: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promove a participação coletiva nas decisões.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transformacional: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inspira e motiva a equipe a buscar objetivos comuns e melhorias constantes.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autocrática: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centraliza as decisões, sendo mais eficaz em contextos de crise, mas com risco de desmotivação da equipe.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Liderança coaching: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atua como um(a) mentor(a), incentivando o desenvolvimento individual e coletivo dos profissionais da escola.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1zrzm7nduybx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Desafios e perspectivas</w:t>
      </w:r>
    </w:p>
    <w:p w:rsidR="00000000" w:rsidDel="00000000" w:rsidP="00000000" w:rsidRDefault="00000000" w:rsidRPr="00000000" w14:paraId="0000003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desafios da liderança escolar são muitos: falta de recursos, desigualdades sociais, resistência a mudanças, burocracia e, em alguns contextos, a precarização das condições de trabalho. Ainda assim, lideranças comprometidas e bem formadas podem provocar mudanças profundas, mesmo em cenários adversos.</w:t>
      </w:r>
    </w:p>
    <w:p w:rsidR="00000000" w:rsidDel="00000000" w:rsidP="00000000" w:rsidRDefault="00000000" w:rsidRPr="00000000" w14:paraId="00000031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futuro da educação passa necessariamente pelo fortalecimento da liderança escolar. Investir na formação continuada dos gestores, oferecer apoio técnico e emocional, e valorizar sua atuação são estratégias essenciais para o avanço da qualidade educacional.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aeg11ymc0kxb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Conclusão</w:t>
      </w:r>
    </w:p>
    <w:p w:rsidR="00000000" w:rsidDel="00000000" w:rsidP="00000000" w:rsidRDefault="00000000" w:rsidRPr="00000000" w14:paraId="0000003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liderança escolar é um vetor de transformação. Um(a) bom(boa) líder escolar não apenas administra, mas inspira, orienta e potencializa os talentos de sua equipe e de seus alunos. É por meio dessa liderança que as escolas se tornam verdadeiros espaços de aprendizado, cidadania e desenvolvimento humano. Fortalecer a liderança escolar é, portanto, fortalecer a própria escola e, em última instância, a sociedade como um todo.</w:t>
      </w:r>
    </w:p>
    <w:p w:rsidR="00000000" w:rsidDel="00000000" w:rsidP="00000000" w:rsidRDefault="00000000" w:rsidRPr="00000000" w14:paraId="00000034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46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Lück, H. V.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(2009).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Gestão Educacional: uma questão paradigmática</w:t>
      </w:r>
      <w:r w:rsidDel="00000000" w:rsidR="00000000" w:rsidRPr="00000000">
        <w:rPr>
          <w:rFonts w:ascii="Arial" w:cs="Arial" w:eastAsia="Arial" w:hAnsi="Arial"/>
          <w:rtl w:val="0"/>
        </w:rPr>
        <w:t xml:space="preserve">. Curitiba: Ibpex.</w:t>
      </w:r>
    </w:p>
    <w:p w:rsidR="00000000" w:rsidDel="00000000" w:rsidP="00000000" w:rsidRDefault="00000000" w:rsidRPr="00000000" w14:paraId="00000047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Paro, V. H.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(2010).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Gestão democrática da escola pública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Paulo: Ática.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Dourado, L. F.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(2007).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Política educacional, gestão da educação e avaliação: implicações para a escola pública</w:t>
      </w:r>
      <w:r w:rsidDel="00000000" w:rsidR="00000000" w:rsidRPr="00000000">
        <w:rPr>
          <w:rFonts w:ascii="Arial" w:cs="Arial" w:eastAsia="Arial" w:hAnsi="Arial"/>
          <w:rtl w:val="0"/>
        </w:rPr>
        <w:t xml:space="preserve">. Revista Brasileira de Política e Administração da Educação, 23(1), 25-38.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Lück, H. V.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(2011).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 dimensão pedagógica da gestão escolar</w:t>
      </w:r>
      <w:r w:rsidDel="00000000" w:rsidR="00000000" w:rsidRPr="00000000">
        <w:rPr>
          <w:rFonts w:ascii="Arial" w:cs="Arial" w:eastAsia="Arial" w:hAnsi="Arial"/>
          <w:rtl w:val="0"/>
        </w:rPr>
        <w:t xml:space="preserve">. Petrópolis: Vozes.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Oliveira, D. A.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(2007).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Gestão escolar e qualidade do ensino: os desafios da política educacional brasileira</w:t>
      </w:r>
      <w:r w:rsidDel="00000000" w:rsidR="00000000" w:rsidRPr="00000000">
        <w:rPr>
          <w:rFonts w:ascii="Arial" w:cs="Arial" w:eastAsia="Arial" w:hAnsi="Arial"/>
          <w:rtl w:val="0"/>
        </w:rPr>
        <w:t xml:space="preserve">. Revista Brasileira de Educação, 12(34), 254-266.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Ferreira, N. S. C.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(2012).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 liderança na escola: práticas, desafios e possibilidades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. Campinas: Papirus.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Leithwood, K., &amp; Jantzi, D.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(2005).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Transformational leadership</w:t>
      </w:r>
      <w:r w:rsidDel="00000000" w:rsidR="00000000" w:rsidRPr="00000000">
        <w:rPr>
          <w:rFonts w:ascii="Arial" w:cs="Arial" w:eastAsia="Arial" w:hAnsi="Arial"/>
          <w:rtl w:val="0"/>
        </w:rPr>
        <w:t xml:space="preserve">. In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essentials of school leadership</w:t>
      </w:r>
      <w:r w:rsidDel="00000000" w:rsidR="00000000" w:rsidRPr="00000000">
        <w:rPr>
          <w:rFonts w:ascii="Arial" w:cs="Arial" w:eastAsia="Arial" w:hAnsi="Arial"/>
          <w:rtl w:val="0"/>
        </w:rPr>
        <w:t xml:space="preserve"> (pp. 31-43). London: SAGE.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Heloani, R.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(2010).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 trabalho do gestor escolar: entre a autonomia e a precarização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Paulo: Cortez.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Day, C., &amp; Sammons, P.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(2013).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Successful School Leadership</w:t>
      </w:r>
      <w:r w:rsidDel="00000000" w:rsidR="00000000" w:rsidRPr="00000000">
        <w:rPr>
          <w:rFonts w:ascii="Arial" w:cs="Arial" w:eastAsia="Arial" w:hAnsi="Arial"/>
          <w:rtl w:val="0"/>
        </w:rPr>
        <w:t xml:space="preserve">. Reading: Education Development Trust.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UNESCO.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(2004).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Gestão e liderança educacional: formação de gestores escolares para o século XXI</w:t>
      </w:r>
      <w:r w:rsidDel="00000000" w:rsidR="00000000" w:rsidRPr="00000000">
        <w:rPr>
          <w:rFonts w:ascii="Arial" w:cs="Arial" w:eastAsia="Arial" w:hAnsi="Arial"/>
          <w:rtl w:val="0"/>
        </w:rPr>
        <w:t xml:space="preserve">. Brasília: UNESCO.</w:t>
      </w:r>
    </w:p>
    <w:p w:rsidR="00000000" w:rsidDel="00000000" w:rsidP="00000000" w:rsidRDefault="00000000" w:rsidRPr="00000000" w14:paraId="00000048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701" w:left="1701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16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tinelli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MftWwm2LRGmTJlC69kOJedD4Q==">CgMxLjAyDmgueXI4MHliaW5hNDAwMg5oLnA4OGdoZjlhM2p5YTIOaC45eWxlcjJ6MTVoeGUyDmguMXpyem03bmR1eWJ4Mg5oLmFlZzExeW1jMGt4YjgAciExNzluNjEzVGFZVm1ac3RTV0VreEtLMUJOSndkeG0xSlo=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2015-04-28T13:21:00Z</dcterms:created>
  <dc:creator>Ellen Montinelli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