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6D0F" w14:textId="44409222" w:rsidR="00A2437B" w:rsidRPr="006167BF" w:rsidRDefault="00FD1FCF" w:rsidP="006167BF">
      <w:pPr>
        <w:spacing w:line="360" w:lineRule="auto"/>
        <w:jc w:val="center"/>
        <w:rPr>
          <w:rFonts w:ascii="Times New Roman" w:hAnsi="Times New Roman" w:cs="Times New Roman"/>
          <w:sz w:val="18"/>
          <w:szCs w:val="18"/>
        </w:rPr>
      </w:pPr>
      <w:r w:rsidRPr="006167BF">
        <w:rPr>
          <w:rFonts w:ascii="Times New Roman" w:hAnsi="Times New Roman" w:cs="Times New Roman"/>
          <w:b/>
          <w:sz w:val="28"/>
          <w:szCs w:val="28"/>
        </w:rPr>
        <w:t xml:space="preserve">A HUMANIDADE </w:t>
      </w:r>
      <w:r w:rsidR="00C81A4E" w:rsidRPr="006167BF">
        <w:rPr>
          <w:rFonts w:ascii="Times New Roman" w:hAnsi="Times New Roman" w:cs="Times New Roman"/>
          <w:b/>
          <w:sz w:val="28"/>
          <w:szCs w:val="28"/>
        </w:rPr>
        <w:t>ATRAVÉS DOS</w:t>
      </w:r>
      <w:r w:rsidRPr="006167BF">
        <w:rPr>
          <w:rFonts w:ascii="Times New Roman" w:hAnsi="Times New Roman" w:cs="Times New Roman"/>
          <w:b/>
          <w:sz w:val="28"/>
          <w:szCs w:val="28"/>
        </w:rPr>
        <w:t xml:space="preserve"> MEIOS DE LOCOMOÇÃO</w:t>
      </w:r>
    </w:p>
    <w:p w14:paraId="7D87C1A5" w14:textId="77777777" w:rsidR="0090247B" w:rsidRPr="006167BF" w:rsidRDefault="0090247B" w:rsidP="006167BF">
      <w:pPr>
        <w:spacing w:line="360" w:lineRule="auto"/>
        <w:rPr>
          <w:rFonts w:ascii="Times New Roman" w:hAnsi="Times New Roman" w:cs="Times New Roman"/>
        </w:rPr>
      </w:pPr>
    </w:p>
    <w:p w14:paraId="5C1CD80B" w14:textId="35B92FD0" w:rsidR="000874B9" w:rsidRPr="006167BF" w:rsidRDefault="00FD1FCF" w:rsidP="006167BF">
      <w:pPr>
        <w:spacing w:line="360" w:lineRule="auto"/>
        <w:jc w:val="right"/>
        <w:rPr>
          <w:rFonts w:ascii="Times New Roman" w:hAnsi="Times New Roman" w:cs="Times New Roman"/>
        </w:rPr>
      </w:pPr>
      <w:r w:rsidRPr="006167BF">
        <w:rPr>
          <w:rFonts w:ascii="Times New Roman" w:hAnsi="Times New Roman" w:cs="Times New Roman"/>
        </w:rPr>
        <w:t>ALESSANDRA DA COSTA FABRÍCIO</w:t>
      </w:r>
    </w:p>
    <w:p w14:paraId="5C3AA07B" w14:textId="58CFAFEA" w:rsidR="00585C72" w:rsidRPr="006167BF" w:rsidRDefault="00FD1FCF" w:rsidP="006167BF">
      <w:pPr>
        <w:spacing w:line="360" w:lineRule="auto"/>
        <w:jc w:val="right"/>
        <w:rPr>
          <w:rFonts w:ascii="Times New Roman" w:hAnsi="Times New Roman" w:cs="Times New Roman"/>
        </w:rPr>
      </w:pPr>
      <w:r w:rsidRPr="006167BF">
        <w:rPr>
          <w:rFonts w:ascii="Times New Roman" w:hAnsi="Times New Roman" w:cs="Times New Roman"/>
        </w:rPr>
        <w:t>ENGENHARIA CIVIL</w:t>
      </w:r>
    </w:p>
    <w:p w14:paraId="329C7DEC" w14:textId="3069A711" w:rsidR="006167BF" w:rsidRPr="006167BF" w:rsidRDefault="006167BF" w:rsidP="006167BF">
      <w:pPr>
        <w:spacing w:line="360" w:lineRule="auto"/>
        <w:jc w:val="right"/>
        <w:rPr>
          <w:rFonts w:ascii="Times New Roman" w:hAnsi="Times New Roman" w:cs="Times New Roman"/>
        </w:rPr>
      </w:pPr>
      <w:r w:rsidRPr="006167BF">
        <w:rPr>
          <w:rFonts w:ascii="Times New Roman" w:hAnsi="Times New Roman" w:cs="Times New Roman"/>
        </w:rPr>
        <w:t>UNIVERSIDADE MAURÍCIO DE NASSAU – CAMPINA GRANDE (PB)</w:t>
      </w:r>
    </w:p>
    <w:p w14:paraId="09FEEB1B" w14:textId="77777777" w:rsidR="00FD1FCF" w:rsidRPr="006167BF" w:rsidRDefault="00FD1FCF" w:rsidP="006167BF">
      <w:pPr>
        <w:spacing w:line="360" w:lineRule="auto"/>
        <w:jc w:val="both"/>
        <w:rPr>
          <w:rFonts w:ascii="Times New Roman" w:hAnsi="Times New Roman" w:cs="Times New Roman"/>
          <w:sz w:val="18"/>
          <w:szCs w:val="18"/>
        </w:rPr>
      </w:pPr>
    </w:p>
    <w:p w14:paraId="30663F89" w14:textId="47A8564D" w:rsidR="00F238AA" w:rsidRPr="006167BF" w:rsidRDefault="00FD1FCF" w:rsidP="006167BF">
      <w:pPr>
        <w:spacing w:line="360" w:lineRule="auto"/>
        <w:ind w:firstLine="708"/>
        <w:jc w:val="both"/>
        <w:rPr>
          <w:rFonts w:ascii="Times New Roman" w:hAnsi="Times New Roman" w:cs="Times New Roman"/>
          <w:sz w:val="24"/>
          <w:szCs w:val="24"/>
        </w:rPr>
      </w:pPr>
      <w:r w:rsidRPr="006167BF">
        <w:rPr>
          <w:rFonts w:ascii="Times New Roman" w:hAnsi="Times New Roman" w:cs="Times New Roman"/>
          <w:sz w:val="24"/>
          <w:szCs w:val="24"/>
        </w:rPr>
        <w:t xml:space="preserve">Segundo os princípios, diretrizes e os objetivos da politica nacional da mobilidade urbana, determinados pela Secretaria Nacional de Transporte e da Mobilidade urbana e órgãos competentes, </w:t>
      </w:r>
      <w:r w:rsidR="00A2437B" w:rsidRPr="006167BF">
        <w:rPr>
          <w:rFonts w:ascii="Times New Roman" w:hAnsi="Times New Roman" w:cs="Times New Roman"/>
          <w:sz w:val="24"/>
          <w:szCs w:val="24"/>
        </w:rPr>
        <w:t xml:space="preserve"> </w:t>
      </w:r>
      <w:r w:rsidRPr="006167BF">
        <w:rPr>
          <w:rFonts w:ascii="Times New Roman" w:hAnsi="Times New Roman" w:cs="Times New Roman"/>
          <w:sz w:val="24"/>
          <w:szCs w:val="24"/>
        </w:rPr>
        <w:t>são adotadas medidas de segurança para priorizar os modos não motorizados, garantindo</w:t>
      </w:r>
      <w:r w:rsidR="00937117" w:rsidRPr="006167BF">
        <w:rPr>
          <w:rFonts w:ascii="Times New Roman" w:hAnsi="Times New Roman" w:cs="Times New Roman"/>
          <w:sz w:val="24"/>
          <w:szCs w:val="24"/>
        </w:rPr>
        <w:t>:</w:t>
      </w:r>
      <w:r w:rsidRPr="006167BF">
        <w:rPr>
          <w:rFonts w:ascii="Times New Roman" w:hAnsi="Times New Roman" w:cs="Times New Roman"/>
          <w:sz w:val="24"/>
          <w:szCs w:val="24"/>
        </w:rPr>
        <w:t xml:space="preserve"> acessibilidade universal</w:t>
      </w:r>
      <w:r w:rsidR="00937117" w:rsidRPr="006167BF">
        <w:rPr>
          <w:rFonts w:ascii="Times New Roman" w:hAnsi="Times New Roman" w:cs="Times New Roman"/>
          <w:sz w:val="24"/>
          <w:szCs w:val="24"/>
        </w:rPr>
        <w:t xml:space="preserve">; </w:t>
      </w:r>
      <w:r w:rsidRPr="006167BF">
        <w:rPr>
          <w:rFonts w:ascii="Times New Roman" w:hAnsi="Times New Roman" w:cs="Times New Roman"/>
          <w:sz w:val="24"/>
          <w:szCs w:val="24"/>
        </w:rPr>
        <w:t xml:space="preserve">desenvolvimento sustentável das cidades </w:t>
      </w:r>
      <w:r w:rsidR="00937117" w:rsidRPr="006167BF">
        <w:rPr>
          <w:rFonts w:ascii="Times New Roman" w:hAnsi="Times New Roman" w:cs="Times New Roman"/>
          <w:sz w:val="24"/>
          <w:szCs w:val="24"/>
        </w:rPr>
        <w:t>socioeconômicas e ambientais; segurança no deslocamento de pessoas; eficiência, eficácia e efetividade na circulação urbana; entre outros fatores.</w:t>
      </w:r>
    </w:p>
    <w:p w14:paraId="7B97FADF" w14:textId="20213687" w:rsidR="00925D6C" w:rsidRPr="006167BF" w:rsidRDefault="00937117" w:rsidP="006167BF">
      <w:pPr>
        <w:spacing w:line="360" w:lineRule="auto"/>
        <w:jc w:val="both"/>
        <w:rPr>
          <w:rFonts w:ascii="Times New Roman" w:hAnsi="Times New Roman" w:cs="Times New Roman"/>
          <w:sz w:val="24"/>
          <w:szCs w:val="24"/>
        </w:rPr>
      </w:pPr>
      <w:r w:rsidRPr="006167BF">
        <w:rPr>
          <w:rFonts w:ascii="Times New Roman" w:hAnsi="Times New Roman" w:cs="Times New Roman"/>
          <w:sz w:val="24"/>
          <w:szCs w:val="24"/>
        </w:rPr>
        <w:tab/>
        <w:t xml:space="preserve">Para a obtenção de uma infraestrutura desejável, através do Caderno Técnico para Projetos de mobilidade urbana, é possível observar que os projetos mais indicados são: calçadas, infraestrutura </w:t>
      </w:r>
      <w:proofErr w:type="spellStart"/>
      <w:r w:rsidRPr="006167BF">
        <w:rPr>
          <w:rFonts w:ascii="Times New Roman" w:hAnsi="Times New Roman" w:cs="Times New Roman"/>
          <w:sz w:val="24"/>
          <w:szCs w:val="24"/>
        </w:rPr>
        <w:t>cicloviária</w:t>
      </w:r>
      <w:proofErr w:type="spellEnd"/>
      <w:r w:rsidRPr="006167BF">
        <w:rPr>
          <w:rFonts w:ascii="Times New Roman" w:hAnsi="Times New Roman" w:cs="Times New Roman"/>
          <w:sz w:val="24"/>
          <w:szCs w:val="24"/>
        </w:rPr>
        <w:t xml:space="preserve"> e uma acessibilidade universal. </w:t>
      </w:r>
      <w:r w:rsidR="00925D6C" w:rsidRPr="006167BF">
        <w:rPr>
          <w:rFonts w:ascii="Times New Roman" w:hAnsi="Times New Roman" w:cs="Times New Roman"/>
          <w:sz w:val="24"/>
          <w:szCs w:val="24"/>
        </w:rPr>
        <w:t>As calçadas são necessárias para obter maior conforto de locomoção de pedestres; as ciclovias para ter o espaço de pessoas com bicicletas, sem que interfiram na passagem de pedestres ou até mesmo sem ter de correr perigo em pistas; e a acessibilidade universal abrange os demais tipos de pedestres, agregando meios seguros de passagens.</w:t>
      </w:r>
    </w:p>
    <w:p w14:paraId="3535AB51" w14:textId="72DD5EDC" w:rsidR="00925D6C" w:rsidRPr="006167BF" w:rsidRDefault="00925D6C" w:rsidP="006167BF">
      <w:pPr>
        <w:spacing w:line="360" w:lineRule="auto"/>
        <w:jc w:val="both"/>
        <w:rPr>
          <w:rFonts w:ascii="Times New Roman" w:hAnsi="Times New Roman" w:cs="Times New Roman"/>
          <w:sz w:val="24"/>
          <w:szCs w:val="24"/>
        </w:rPr>
      </w:pPr>
      <w:r w:rsidRPr="006167BF">
        <w:rPr>
          <w:rFonts w:ascii="Times New Roman" w:hAnsi="Times New Roman" w:cs="Times New Roman"/>
          <w:sz w:val="24"/>
          <w:szCs w:val="24"/>
        </w:rPr>
        <w:tab/>
        <w:t xml:space="preserve">Para maior obtenção de segurança, foram projetados espaços </w:t>
      </w:r>
      <w:proofErr w:type="spellStart"/>
      <w:r w:rsidRPr="006167BF">
        <w:rPr>
          <w:rFonts w:ascii="Times New Roman" w:hAnsi="Times New Roman" w:cs="Times New Roman"/>
          <w:sz w:val="24"/>
          <w:szCs w:val="24"/>
        </w:rPr>
        <w:t>cicloviários</w:t>
      </w:r>
      <w:proofErr w:type="spellEnd"/>
      <w:r w:rsidRPr="006167BF">
        <w:rPr>
          <w:rFonts w:ascii="Times New Roman" w:hAnsi="Times New Roman" w:cs="Times New Roman"/>
          <w:sz w:val="24"/>
          <w:szCs w:val="24"/>
        </w:rPr>
        <w:t xml:space="preserve"> para ciclistas</w:t>
      </w:r>
      <w:r w:rsidR="00541941" w:rsidRPr="006167BF">
        <w:rPr>
          <w:rFonts w:ascii="Times New Roman" w:hAnsi="Times New Roman" w:cs="Times New Roman"/>
          <w:sz w:val="24"/>
          <w:szCs w:val="24"/>
        </w:rPr>
        <w:t>, podendo ser ciclovias ou ciclofaixas</w:t>
      </w:r>
      <w:r w:rsidRPr="006167BF">
        <w:rPr>
          <w:rFonts w:ascii="Times New Roman" w:hAnsi="Times New Roman" w:cs="Times New Roman"/>
          <w:sz w:val="24"/>
          <w:szCs w:val="24"/>
        </w:rPr>
        <w:t xml:space="preserve">. </w:t>
      </w:r>
      <w:r w:rsidR="00541941" w:rsidRPr="006167BF">
        <w:rPr>
          <w:rFonts w:ascii="Times New Roman" w:hAnsi="Times New Roman" w:cs="Times New Roman"/>
          <w:sz w:val="24"/>
          <w:szCs w:val="24"/>
        </w:rPr>
        <w:t>As bicicletas são meios de transportes não motorizados, e indicados para ajudar na saúde humana. No entanto, a falta destes espaços faz com que muitos ciclistas façam uso de pistas em conjunto com outros transportes de maior porte, pondo uma grande chance de ocorrerem acidentes. As ciclovias são espaços dentro da zona de pedestres, garantindo assim a segurança de ambos e, como requer maior sinalização, muitas vezes com barras, cones, entre outros, se torna uma opção com maior custo. Já as ciclofaixas são espaços dentro das pistas de rolamento, delimitadas por sinalização horizontal ou de piso, ou outras diversas opções, sendo assim a opção de menor custo.</w:t>
      </w:r>
    </w:p>
    <w:p w14:paraId="318D1FA0" w14:textId="69DB2603" w:rsidR="00541941" w:rsidRPr="006167BF" w:rsidRDefault="00541941" w:rsidP="006167BF">
      <w:pPr>
        <w:spacing w:line="360" w:lineRule="auto"/>
        <w:jc w:val="both"/>
        <w:rPr>
          <w:rFonts w:ascii="Times New Roman" w:hAnsi="Times New Roman" w:cs="Times New Roman"/>
          <w:sz w:val="24"/>
          <w:szCs w:val="24"/>
        </w:rPr>
      </w:pPr>
      <w:r w:rsidRPr="006167BF">
        <w:rPr>
          <w:rFonts w:ascii="Times New Roman" w:hAnsi="Times New Roman" w:cs="Times New Roman"/>
          <w:sz w:val="24"/>
          <w:szCs w:val="24"/>
        </w:rPr>
        <w:tab/>
        <w:t xml:space="preserve">Além destes dois, também temos outros tipos de vias para transportes não motorizados. </w:t>
      </w:r>
      <w:r w:rsidR="00E80569" w:rsidRPr="006167BF">
        <w:rPr>
          <w:rFonts w:ascii="Times New Roman" w:hAnsi="Times New Roman" w:cs="Times New Roman"/>
          <w:sz w:val="24"/>
          <w:szCs w:val="24"/>
        </w:rPr>
        <w:t xml:space="preserve">A </w:t>
      </w:r>
      <w:proofErr w:type="spellStart"/>
      <w:r w:rsidR="00E80569" w:rsidRPr="006167BF">
        <w:rPr>
          <w:rFonts w:ascii="Times New Roman" w:hAnsi="Times New Roman" w:cs="Times New Roman"/>
          <w:sz w:val="24"/>
          <w:szCs w:val="24"/>
        </w:rPr>
        <w:t>ciclorrota</w:t>
      </w:r>
      <w:proofErr w:type="spellEnd"/>
      <w:r w:rsidR="00E80569" w:rsidRPr="006167BF">
        <w:rPr>
          <w:rFonts w:ascii="Times New Roman" w:hAnsi="Times New Roman" w:cs="Times New Roman"/>
          <w:sz w:val="24"/>
          <w:szCs w:val="24"/>
        </w:rPr>
        <w:t xml:space="preserve"> é um caminho que pode ser sinalizado ou não, definindo uma </w:t>
      </w:r>
      <w:r w:rsidR="00E80569" w:rsidRPr="006167BF">
        <w:rPr>
          <w:rFonts w:ascii="Times New Roman" w:hAnsi="Times New Roman" w:cs="Times New Roman"/>
          <w:sz w:val="24"/>
          <w:szCs w:val="24"/>
        </w:rPr>
        <w:lastRenderedPageBreak/>
        <w:t>rota para o ciclista, sendo assim um trajeto feito através de placas, pintura de solo, entre outros meios de sinalização. Também existe a ciclovia operacional, que é uma ciclovia temporária para isolar o espaço, utilizada em eventos, para dias de lazer em domingos, etc. Além destes, há também o espaço compartilhado com pedestres, que é a opção menos segura e mais comum, assim como a opção de menor custo.</w:t>
      </w:r>
    </w:p>
    <w:p w14:paraId="7910BD7E" w14:textId="39B69128" w:rsidR="00541941" w:rsidRDefault="00C81A4E" w:rsidP="006167BF">
      <w:pPr>
        <w:spacing w:line="360" w:lineRule="auto"/>
        <w:jc w:val="both"/>
        <w:rPr>
          <w:rFonts w:ascii="Times New Roman" w:hAnsi="Times New Roman" w:cs="Times New Roman"/>
          <w:sz w:val="24"/>
          <w:szCs w:val="24"/>
        </w:rPr>
      </w:pPr>
      <w:r w:rsidRPr="006167BF">
        <w:rPr>
          <w:rFonts w:ascii="Times New Roman" w:hAnsi="Times New Roman" w:cs="Times New Roman"/>
          <w:sz w:val="24"/>
          <w:szCs w:val="24"/>
        </w:rPr>
        <w:tab/>
        <w:t xml:space="preserve">Também são necessários a implantação de estacionamentos, que ajudam a organizar o espaço público, promovem a circulação do ciclismo e demais, previnem a ação de roubos, e preservam as estruturas dos mesmos. Devem </w:t>
      </w:r>
      <w:r w:rsidR="006167BF">
        <w:rPr>
          <w:rFonts w:ascii="Times New Roman" w:hAnsi="Times New Roman" w:cs="Times New Roman"/>
          <w:sz w:val="24"/>
          <w:szCs w:val="24"/>
        </w:rPr>
        <w:t>se localizar</w:t>
      </w:r>
      <w:r w:rsidRPr="006167BF">
        <w:rPr>
          <w:rFonts w:ascii="Times New Roman" w:hAnsi="Times New Roman" w:cs="Times New Roman"/>
          <w:sz w:val="24"/>
          <w:szCs w:val="24"/>
        </w:rPr>
        <w:t xml:space="preserve"> </w:t>
      </w:r>
      <w:r w:rsidR="006167BF">
        <w:rPr>
          <w:rFonts w:ascii="Times New Roman" w:hAnsi="Times New Roman" w:cs="Times New Roman"/>
          <w:sz w:val="24"/>
          <w:szCs w:val="24"/>
        </w:rPr>
        <w:t>para favorecer</w:t>
      </w:r>
      <w:r w:rsidRPr="006167BF">
        <w:rPr>
          <w:rFonts w:ascii="Times New Roman" w:hAnsi="Times New Roman" w:cs="Times New Roman"/>
          <w:sz w:val="24"/>
          <w:szCs w:val="24"/>
        </w:rPr>
        <w:t xml:space="preserve"> o transporte intermodal,</w:t>
      </w:r>
      <w:r w:rsidR="006167BF">
        <w:rPr>
          <w:rFonts w:ascii="Times New Roman" w:hAnsi="Times New Roman" w:cs="Times New Roman"/>
          <w:sz w:val="24"/>
          <w:szCs w:val="24"/>
        </w:rPr>
        <w:t xml:space="preserve"> e</w:t>
      </w:r>
      <w:r w:rsidRPr="006167BF">
        <w:rPr>
          <w:rFonts w:ascii="Times New Roman" w:hAnsi="Times New Roman" w:cs="Times New Roman"/>
          <w:sz w:val="24"/>
          <w:szCs w:val="24"/>
        </w:rPr>
        <w:t xml:space="preserve"> como garantir a proximidade dos pontos de interesse.</w:t>
      </w:r>
    </w:p>
    <w:p w14:paraId="71E02E16" w14:textId="620D3B81" w:rsidR="00937117" w:rsidRPr="006167BF" w:rsidRDefault="006167BF" w:rsidP="006167BF">
      <w:pPr>
        <w:spacing w:line="360" w:lineRule="auto"/>
        <w:jc w:val="both"/>
        <w:rPr>
          <w:rFonts w:ascii="Times New Roman" w:hAnsi="Times New Roman" w:cs="Times New Roman"/>
          <w:b/>
          <w:bCs/>
          <w:sz w:val="24"/>
          <w:szCs w:val="24"/>
        </w:rPr>
      </w:pPr>
      <w:r w:rsidRPr="006167BF">
        <w:rPr>
          <w:rFonts w:ascii="Times New Roman" w:hAnsi="Times New Roman" w:cs="Times New Roman"/>
          <w:b/>
          <w:bCs/>
          <w:sz w:val="24"/>
          <w:szCs w:val="24"/>
        </w:rPr>
        <w:t>REFERÊNCIAS BIBLIOGRÁFICAS</w:t>
      </w:r>
    </w:p>
    <w:p w14:paraId="19393ECB" w14:textId="0350983D" w:rsidR="00937117" w:rsidRPr="006167BF" w:rsidRDefault="00937117" w:rsidP="006167BF">
      <w:pPr>
        <w:spacing w:line="360" w:lineRule="auto"/>
        <w:jc w:val="both"/>
        <w:rPr>
          <w:rFonts w:ascii="Times New Roman" w:hAnsi="Times New Roman" w:cs="Times New Roman"/>
          <w:sz w:val="24"/>
          <w:szCs w:val="24"/>
        </w:rPr>
      </w:pPr>
      <w:r w:rsidRPr="006167BF">
        <w:rPr>
          <w:rFonts w:ascii="Times New Roman" w:hAnsi="Times New Roman" w:cs="Times New Roman"/>
          <w:i/>
          <w:iCs/>
          <w:sz w:val="24"/>
          <w:szCs w:val="24"/>
        </w:rPr>
        <w:t>Política Nacional de Mobilidade Urbana</w:t>
      </w:r>
      <w:r w:rsidR="00925D6C" w:rsidRPr="006167BF">
        <w:rPr>
          <w:rFonts w:ascii="Times New Roman" w:hAnsi="Times New Roman" w:cs="Times New Roman"/>
          <w:i/>
          <w:iCs/>
          <w:sz w:val="24"/>
          <w:szCs w:val="24"/>
        </w:rPr>
        <w:t xml:space="preserve">. </w:t>
      </w:r>
      <w:r w:rsidR="00925D6C" w:rsidRPr="006167BF">
        <w:rPr>
          <w:rFonts w:ascii="Times New Roman" w:hAnsi="Times New Roman" w:cs="Times New Roman"/>
          <w:b/>
          <w:bCs/>
          <w:sz w:val="24"/>
          <w:szCs w:val="24"/>
        </w:rPr>
        <w:t>Ministério das cidades,</w:t>
      </w:r>
      <w:r w:rsidRPr="006167BF">
        <w:rPr>
          <w:rFonts w:ascii="Times New Roman" w:hAnsi="Times New Roman" w:cs="Times New Roman"/>
          <w:i/>
          <w:iCs/>
          <w:sz w:val="24"/>
          <w:szCs w:val="24"/>
        </w:rPr>
        <w:t xml:space="preserve"> </w:t>
      </w:r>
      <w:r w:rsidRPr="006167BF">
        <w:rPr>
          <w:rFonts w:ascii="Times New Roman" w:hAnsi="Times New Roman" w:cs="Times New Roman"/>
          <w:sz w:val="24"/>
          <w:szCs w:val="24"/>
        </w:rPr>
        <w:t>2012</w:t>
      </w:r>
      <w:r w:rsidRPr="006167BF">
        <w:rPr>
          <w:rFonts w:ascii="Times New Roman" w:hAnsi="Times New Roman" w:cs="Times New Roman"/>
          <w:i/>
          <w:iCs/>
          <w:sz w:val="24"/>
          <w:szCs w:val="24"/>
        </w:rPr>
        <w:t xml:space="preserve">. </w:t>
      </w:r>
      <w:r w:rsidRPr="006167BF">
        <w:rPr>
          <w:rFonts w:ascii="Times New Roman" w:hAnsi="Times New Roman" w:cs="Times New Roman"/>
          <w:sz w:val="24"/>
          <w:szCs w:val="24"/>
        </w:rPr>
        <w:t>Disponível em: &lt;https://antigo.mdr.gov.br/images/stories/ArquivosSEMOB/cartilha_lei_12587.pdf&gt;. Acesso em: 25 de abril de 2021.</w:t>
      </w:r>
    </w:p>
    <w:p w14:paraId="4B47AC07" w14:textId="12427FE4" w:rsidR="00925D6C" w:rsidRPr="006167BF" w:rsidRDefault="00925D6C" w:rsidP="006167BF">
      <w:pPr>
        <w:spacing w:line="360" w:lineRule="auto"/>
        <w:jc w:val="both"/>
        <w:rPr>
          <w:rFonts w:ascii="Times New Roman" w:hAnsi="Times New Roman" w:cs="Times New Roman"/>
          <w:sz w:val="24"/>
          <w:szCs w:val="24"/>
        </w:rPr>
      </w:pPr>
      <w:r w:rsidRPr="006167BF">
        <w:rPr>
          <w:rFonts w:ascii="Times New Roman" w:hAnsi="Times New Roman" w:cs="Times New Roman"/>
          <w:i/>
          <w:iCs/>
          <w:sz w:val="24"/>
          <w:szCs w:val="24"/>
        </w:rPr>
        <w:t xml:space="preserve">Caderno Técnico para Projetos de mobilidade urbana, </w:t>
      </w:r>
      <w:r w:rsidRPr="006167BF">
        <w:rPr>
          <w:rFonts w:ascii="Times New Roman" w:hAnsi="Times New Roman" w:cs="Times New Roman"/>
          <w:sz w:val="24"/>
          <w:szCs w:val="24"/>
        </w:rPr>
        <w:t xml:space="preserve">2016. </w:t>
      </w:r>
      <w:proofErr w:type="spellStart"/>
      <w:r w:rsidRPr="006167BF">
        <w:rPr>
          <w:rFonts w:ascii="Times New Roman" w:hAnsi="Times New Roman" w:cs="Times New Roman"/>
          <w:b/>
          <w:bCs/>
          <w:sz w:val="24"/>
          <w:szCs w:val="24"/>
        </w:rPr>
        <w:t>SeMob</w:t>
      </w:r>
      <w:proofErr w:type="spellEnd"/>
      <w:r w:rsidRPr="006167BF">
        <w:rPr>
          <w:rFonts w:ascii="Times New Roman" w:hAnsi="Times New Roman" w:cs="Times New Roman"/>
          <w:b/>
          <w:bCs/>
          <w:sz w:val="24"/>
          <w:szCs w:val="24"/>
        </w:rPr>
        <w:t xml:space="preserve">, </w:t>
      </w:r>
      <w:r w:rsidRPr="006167BF">
        <w:rPr>
          <w:rFonts w:ascii="Times New Roman" w:hAnsi="Times New Roman" w:cs="Times New Roman"/>
          <w:sz w:val="24"/>
          <w:szCs w:val="24"/>
        </w:rPr>
        <w:t>2016. Disponível em: &lt;</w:t>
      </w:r>
      <w:r w:rsidRPr="006167BF">
        <w:rPr>
          <w:rFonts w:ascii="Times New Roman" w:hAnsi="Times New Roman" w:cs="Times New Roman"/>
        </w:rPr>
        <w:t xml:space="preserve"> </w:t>
      </w:r>
      <w:r w:rsidRPr="006167BF">
        <w:rPr>
          <w:rFonts w:ascii="Times New Roman" w:hAnsi="Times New Roman" w:cs="Times New Roman"/>
          <w:sz w:val="24"/>
          <w:szCs w:val="24"/>
        </w:rPr>
        <w:t>https://www.mobilize.org.br/midias/pesquisas/transporte-ativo---projetos-de-mobilidade-urbana.pdf&gt;. Acesso em: 25 de abril de 2021.</w:t>
      </w:r>
    </w:p>
    <w:p w14:paraId="1C30FDB6" w14:textId="50CD4D83" w:rsidR="00541941" w:rsidRPr="006167BF" w:rsidRDefault="00541941" w:rsidP="006167BF">
      <w:pPr>
        <w:spacing w:line="360" w:lineRule="auto"/>
        <w:jc w:val="both"/>
        <w:rPr>
          <w:rFonts w:ascii="Times New Roman" w:hAnsi="Times New Roman" w:cs="Times New Roman"/>
          <w:sz w:val="24"/>
          <w:szCs w:val="24"/>
        </w:rPr>
      </w:pPr>
      <w:r w:rsidRPr="006167BF">
        <w:rPr>
          <w:rFonts w:ascii="Times New Roman" w:hAnsi="Times New Roman" w:cs="Times New Roman"/>
          <w:sz w:val="24"/>
          <w:szCs w:val="24"/>
        </w:rPr>
        <w:t xml:space="preserve">RICCARDI, José Cláudio da Rosa. </w:t>
      </w:r>
      <w:r w:rsidRPr="006167BF">
        <w:rPr>
          <w:rFonts w:ascii="Times New Roman" w:hAnsi="Times New Roman" w:cs="Times New Roman"/>
          <w:i/>
          <w:iCs/>
          <w:sz w:val="24"/>
          <w:szCs w:val="24"/>
        </w:rPr>
        <w:t xml:space="preserve">Ciclovias e Ciclofaixas: critérios para localização e implantação. </w:t>
      </w:r>
      <w:r w:rsidRPr="006167BF">
        <w:rPr>
          <w:rFonts w:ascii="Times New Roman" w:hAnsi="Times New Roman" w:cs="Times New Roman"/>
          <w:b/>
          <w:bCs/>
          <w:sz w:val="24"/>
          <w:szCs w:val="24"/>
        </w:rPr>
        <w:t xml:space="preserve">UFRS, </w:t>
      </w:r>
      <w:r w:rsidRPr="006167BF">
        <w:rPr>
          <w:rFonts w:ascii="Times New Roman" w:hAnsi="Times New Roman" w:cs="Times New Roman"/>
          <w:sz w:val="24"/>
          <w:szCs w:val="24"/>
        </w:rPr>
        <w:t>2010. Disponível em: &lt;</w:t>
      </w:r>
      <w:r w:rsidRPr="006167BF">
        <w:rPr>
          <w:rFonts w:ascii="Times New Roman" w:hAnsi="Times New Roman" w:cs="Times New Roman"/>
        </w:rPr>
        <w:t xml:space="preserve"> </w:t>
      </w:r>
      <w:r w:rsidRPr="006167BF">
        <w:rPr>
          <w:rFonts w:ascii="Times New Roman" w:hAnsi="Times New Roman" w:cs="Times New Roman"/>
          <w:sz w:val="24"/>
          <w:szCs w:val="24"/>
        </w:rPr>
        <w:t>https://www.lume.ufrgs.br/bitstream/handle/10183/28577/000769157.pdf?sequence=1&gt;. Acesso em: 25 de abril de 2021.</w:t>
      </w:r>
    </w:p>
    <w:p w14:paraId="6F2370FB" w14:textId="4B019D10" w:rsidR="00E80569" w:rsidRPr="006167BF" w:rsidRDefault="00E80569" w:rsidP="006167BF">
      <w:pPr>
        <w:spacing w:line="360" w:lineRule="auto"/>
        <w:jc w:val="both"/>
        <w:rPr>
          <w:rFonts w:ascii="Times New Roman" w:hAnsi="Times New Roman" w:cs="Times New Roman"/>
          <w:sz w:val="24"/>
          <w:szCs w:val="24"/>
        </w:rPr>
      </w:pPr>
      <w:r w:rsidRPr="006167BF">
        <w:rPr>
          <w:rFonts w:ascii="Times New Roman" w:hAnsi="Times New Roman" w:cs="Times New Roman"/>
          <w:sz w:val="24"/>
          <w:szCs w:val="24"/>
        </w:rPr>
        <w:t xml:space="preserve">CRUZ, William. </w:t>
      </w:r>
      <w:r w:rsidRPr="006167BF">
        <w:rPr>
          <w:rFonts w:ascii="Times New Roman" w:hAnsi="Times New Roman" w:cs="Times New Roman"/>
          <w:i/>
          <w:iCs/>
          <w:sz w:val="24"/>
          <w:szCs w:val="24"/>
        </w:rPr>
        <w:t xml:space="preserve">Ciclovia, ciclofaixa, </w:t>
      </w:r>
      <w:proofErr w:type="spellStart"/>
      <w:r w:rsidRPr="006167BF">
        <w:rPr>
          <w:rFonts w:ascii="Times New Roman" w:hAnsi="Times New Roman" w:cs="Times New Roman"/>
          <w:i/>
          <w:iCs/>
          <w:sz w:val="24"/>
          <w:szCs w:val="24"/>
        </w:rPr>
        <w:t>ciclorrota</w:t>
      </w:r>
      <w:proofErr w:type="spellEnd"/>
      <w:r w:rsidRPr="006167BF">
        <w:rPr>
          <w:rFonts w:ascii="Times New Roman" w:hAnsi="Times New Roman" w:cs="Times New Roman"/>
          <w:i/>
          <w:iCs/>
          <w:sz w:val="24"/>
          <w:szCs w:val="24"/>
        </w:rPr>
        <w:t xml:space="preserve"> e espaço compartilhado. </w:t>
      </w:r>
      <w:r w:rsidRPr="006167BF">
        <w:rPr>
          <w:rFonts w:ascii="Times New Roman" w:hAnsi="Times New Roman" w:cs="Times New Roman"/>
          <w:b/>
          <w:bCs/>
          <w:sz w:val="24"/>
          <w:szCs w:val="24"/>
        </w:rPr>
        <w:t xml:space="preserve">Vá de bike, </w:t>
      </w:r>
      <w:r w:rsidRPr="006167BF">
        <w:rPr>
          <w:rFonts w:ascii="Times New Roman" w:hAnsi="Times New Roman" w:cs="Times New Roman"/>
          <w:sz w:val="24"/>
          <w:szCs w:val="24"/>
        </w:rPr>
        <w:t>2011. Disponível em: &lt;</w:t>
      </w:r>
      <w:r w:rsidRPr="006167BF">
        <w:rPr>
          <w:rFonts w:ascii="Times New Roman" w:hAnsi="Times New Roman" w:cs="Times New Roman"/>
        </w:rPr>
        <w:t xml:space="preserve"> </w:t>
      </w:r>
      <w:r w:rsidRPr="006167BF">
        <w:rPr>
          <w:rFonts w:ascii="Times New Roman" w:hAnsi="Times New Roman" w:cs="Times New Roman"/>
          <w:sz w:val="24"/>
          <w:szCs w:val="24"/>
        </w:rPr>
        <w:t>https://vadebike.org/2011/05/ciclovia-ciclofaixa-ciclo-rota-e-espaco-compartilhado/&gt;. Acesso em: 25 de abril de 2021.</w:t>
      </w:r>
    </w:p>
    <w:p w14:paraId="17F33BD7" w14:textId="613885B9" w:rsidR="00C81A4E" w:rsidRPr="00C81A4E" w:rsidRDefault="00C81A4E" w:rsidP="006167BF">
      <w:pPr>
        <w:spacing w:line="360" w:lineRule="auto"/>
        <w:jc w:val="both"/>
        <w:rPr>
          <w:rFonts w:ascii="Arial" w:hAnsi="Arial" w:cs="Arial"/>
          <w:sz w:val="24"/>
          <w:szCs w:val="24"/>
        </w:rPr>
      </w:pPr>
      <w:r w:rsidRPr="006167BF">
        <w:rPr>
          <w:rFonts w:ascii="Times New Roman" w:hAnsi="Times New Roman" w:cs="Times New Roman"/>
          <w:sz w:val="24"/>
          <w:szCs w:val="24"/>
        </w:rPr>
        <w:t xml:space="preserve">PAOLI, Mariana, et </w:t>
      </w:r>
      <w:proofErr w:type="spellStart"/>
      <w:r w:rsidRPr="006167BF">
        <w:rPr>
          <w:rFonts w:ascii="Times New Roman" w:hAnsi="Times New Roman" w:cs="Times New Roman"/>
          <w:sz w:val="24"/>
          <w:szCs w:val="24"/>
        </w:rPr>
        <w:t>all</w:t>
      </w:r>
      <w:proofErr w:type="spellEnd"/>
      <w:r w:rsidRPr="006167BF">
        <w:rPr>
          <w:rFonts w:ascii="Times New Roman" w:hAnsi="Times New Roman" w:cs="Times New Roman"/>
          <w:sz w:val="24"/>
          <w:szCs w:val="24"/>
        </w:rPr>
        <w:t xml:space="preserve">. </w:t>
      </w:r>
      <w:r w:rsidRPr="006167BF">
        <w:rPr>
          <w:rFonts w:ascii="Times New Roman" w:hAnsi="Times New Roman" w:cs="Times New Roman"/>
          <w:i/>
          <w:iCs/>
          <w:sz w:val="24"/>
          <w:szCs w:val="24"/>
        </w:rPr>
        <w:t xml:space="preserve">A bicicleta no campus da USP/SP: proposta de </w:t>
      </w:r>
      <w:proofErr w:type="spellStart"/>
      <w:r w:rsidRPr="006167BF">
        <w:rPr>
          <w:rFonts w:ascii="Times New Roman" w:hAnsi="Times New Roman" w:cs="Times New Roman"/>
          <w:i/>
          <w:iCs/>
          <w:sz w:val="24"/>
          <w:szCs w:val="24"/>
        </w:rPr>
        <w:t>ciclorede</w:t>
      </w:r>
      <w:proofErr w:type="spellEnd"/>
      <w:r w:rsidRPr="006167BF">
        <w:rPr>
          <w:rFonts w:ascii="Times New Roman" w:hAnsi="Times New Roman" w:cs="Times New Roman"/>
          <w:i/>
          <w:iCs/>
          <w:sz w:val="24"/>
          <w:szCs w:val="24"/>
        </w:rPr>
        <w:t xml:space="preserve"> e mobiliário urbano. </w:t>
      </w:r>
      <w:r w:rsidRPr="006167BF">
        <w:rPr>
          <w:rFonts w:ascii="Times New Roman" w:hAnsi="Times New Roman" w:cs="Times New Roman"/>
          <w:b/>
          <w:bCs/>
          <w:sz w:val="24"/>
          <w:szCs w:val="24"/>
        </w:rPr>
        <w:t xml:space="preserve">USP. </w:t>
      </w:r>
      <w:r w:rsidRPr="006167BF">
        <w:rPr>
          <w:rFonts w:ascii="Times New Roman" w:hAnsi="Times New Roman" w:cs="Times New Roman"/>
          <w:sz w:val="24"/>
          <w:szCs w:val="24"/>
        </w:rPr>
        <w:t>Disponível em: &lt;</w:t>
      </w:r>
      <w:r w:rsidRPr="006167BF">
        <w:rPr>
          <w:rFonts w:ascii="Times New Roman" w:hAnsi="Times New Roman" w:cs="Times New Roman"/>
        </w:rPr>
        <w:t xml:space="preserve"> </w:t>
      </w:r>
      <w:r w:rsidRPr="006167BF">
        <w:rPr>
          <w:rFonts w:ascii="Times New Roman" w:hAnsi="Times New Roman" w:cs="Times New Roman"/>
          <w:sz w:val="24"/>
          <w:szCs w:val="24"/>
        </w:rPr>
        <w:t>https://www.usp.br/nutau/CD/145.pdf&gt;. Acesso em: 25 de abril de 2021</w:t>
      </w:r>
      <w:r>
        <w:rPr>
          <w:rFonts w:ascii="Arial" w:hAnsi="Arial" w:cs="Arial"/>
          <w:sz w:val="24"/>
          <w:szCs w:val="24"/>
        </w:rPr>
        <w:t>.</w:t>
      </w:r>
    </w:p>
    <w:sectPr w:rsidR="00C81A4E" w:rsidRPr="00C81A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7B"/>
    <w:rsid w:val="000874B9"/>
    <w:rsid w:val="00171798"/>
    <w:rsid w:val="001964E9"/>
    <w:rsid w:val="00291C60"/>
    <w:rsid w:val="003B489C"/>
    <w:rsid w:val="00422C8A"/>
    <w:rsid w:val="00541941"/>
    <w:rsid w:val="00551461"/>
    <w:rsid w:val="00585C72"/>
    <w:rsid w:val="006167BF"/>
    <w:rsid w:val="006B5158"/>
    <w:rsid w:val="0090247B"/>
    <w:rsid w:val="00925D6C"/>
    <w:rsid w:val="00937117"/>
    <w:rsid w:val="00A2437B"/>
    <w:rsid w:val="00C50660"/>
    <w:rsid w:val="00C81A4E"/>
    <w:rsid w:val="00D655E1"/>
    <w:rsid w:val="00E80569"/>
    <w:rsid w:val="00F238AA"/>
    <w:rsid w:val="00FD1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5F9E"/>
  <w15:chartTrackingRefBased/>
  <w15:docId w15:val="{6F9BBE08-2C76-47FB-96A1-522AAFF3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37117"/>
    <w:rPr>
      <w:color w:val="0563C1" w:themeColor="hyperlink"/>
      <w:u w:val="single"/>
    </w:rPr>
  </w:style>
  <w:style w:type="character" w:styleId="MenoPendente">
    <w:name w:val="Unresolved Mention"/>
    <w:basedOn w:val="Fontepargpadro"/>
    <w:uiPriority w:val="99"/>
    <w:semiHidden/>
    <w:unhideWhenUsed/>
    <w:rsid w:val="00937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624</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Faustino</dc:creator>
  <cp:keywords/>
  <dc:description/>
  <cp:lastModifiedBy>Alessandra Fabrício</cp:lastModifiedBy>
  <cp:revision>3</cp:revision>
  <dcterms:created xsi:type="dcterms:W3CDTF">2021-04-26T00:31:00Z</dcterms:created>
  <dcterms:modified xsi:type="dcterms:W3CDTF">2023-05-04T02:13:00Z</dcterms:modified>
</cp:coreProperties>
</file>