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78" w:rsidRDefault="00537778" w:rsidP="00537778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sz w:val="24"/>
          <w:szCs w:val="24"/>
        </w:rPr>
        <w:t>O escravagismo africano</w:t>
      </w:r>
    </w:p>
    <w:p w:rsidR="00537778" w:rsidRPr="00537778" w:rsidRDefault="00537778" w:rsidP="00537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37778">
        <w:rPr>
          <w:rFonts w:ascii="Times New Roman" w:hAnsi="Times New Roman" w:cs="Times New Roman"/>
          <w:sz w:val="24"/>
          <w:szCs w:val="24"/>
        </w:rPr>
        <w:t>Francisco Hermes Batista Alencar</w:t>
      </w:r>
    </w:p>
    <w:p w:rsidR="00537778" w:rsidRPr="00537778" w:rsidRDefault="00537778" w:rsidP="00537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37778">
        <w:rPr>
          <w:rFonts w:ascii="Times New Roman" w:hAnsi="Times New Roman" w:cs="Times New Roman"/>
          <w:sz w:val="24"/>
          <w:szCs w:val="24"/>
        </w:rPr>
        <w:t>Maria Cilene Gomes Vieira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537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778" w:rsidRPr="00537778" w:rsidRDefault="00537778" w:rsidP="00537778">
      <w:pPr>
        <w:rPr>
          <w:rFonts w:ascii="Times New Roman" w:hAnsi="Times New Roman" w:cs="Times New Roman"/>
          <w:sz w:val="24"/>
          <w:szCs w:val="24"/>
        </w:rPr>
      </w:pPr>
    </w:p>
    <w:p w:rsidR="00537778" w:rsidRPr="00537778" w:rsidRDefault="00537778" w:rsidP="00DF378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37778">
        <w:rPr>
          <w:rFonts w:ascii="Times New Roman" w:hAnsi="Times New Roman" w:cs="Times New Roman"/>
          <w:sz w:val="24"/>
          <w:szCs w:val="24"/>
        </w:rPr>
        <w:t xml:space="preserve">O antropólogo senegalês </w:t>
      </w:r>
      <w:proofErr w:type="spellStart"/>
      <w:r w:rsidRPr="00537778">
        <w:rPr>
          <w:rFonts w:ascii="Times New Roman" w:hAnsi="Times New Roman" w:cs="Times New Roman"/>
          <w:sz w:val="24"/>
          <w:szCs w:val="24"/>
        </w:rPr>
        <w:t>Tidiane</w:t>
      </w:r>
      <w:proofErr w:type="spellEnd"/>
      <w:r w:rsidRPr="00537778">
        <w:rPr>
          <w:rFonts w:ascii="Times New Roman" w:hAnsi="Times New Roman" w:cs="Times New Roman"/>
          <w:sz w:val="24"/>
          <w:szCs w:val="24"/>
        </w:rPr>
        <w:t xml:space="preserve"> N'</w:t>
      </w:r>
      <w:proofErr w:type="spellStart"/>
      <w:r w:rsidRPr="00537778">
        <w:rPr>
          <w:rFonts w:ascii="Times New Roman" w:hAnsi="Times New Roman" w:cs="Times New Roman"/>
          <w:sz w:val="24"/>
          <w:szCs w:val="24"/>
        </w:rPr>
        <w:t>Diaye</w:t>
      </w:r>
      <w:proofErr w:type="spellEnd"/>
      <w:r w:rsidRPr="00537778">
        <w:rPr>
          <w:rFonts w:ascii="Times New Roman" w:hAnsi="Times New Roman" w:cs="Times New Roman"/>
          <w:sz w:val="24"/>
          <w:szCs w:val="24"/>
        </w:rPr>
        <w:t>, em sua obra Genocídio Velado, estima que do século VIII até o século XX, 17 milhões de africanos deixaram a África Subsaariana por via terrestre; pelas caravanas através do Saara, pela costa, ou pelo mar do oceano Índico, em direção aos reinos islâmicos. Outros estudiosos concordam com o número (entre 10 e 18 milhões [2]</w:t>
      </w:r>
      <w:proofErr w:type="gramStart"/>
      <w:r w:rsidRPr="00537778">
        <w:rPr>
          <w:rFonts w:ascii="Times New Roman" w:hAnsi="Times New Roman" w:cs="Times New Roman"/>
          <w:sz w:val="24"/>
          <w:szCs w:val="24"/>
        </w:rPr>
        <w:t>).O</w:t>
      </w:r>
      <w:proofErr w:type="gramEnd"/>
      <w:r w:rsidRPr="00537778">
        <w:rPr>
          <w:rFonts w:ascii="Times New Roman" w:hAnsi="Times New Roman" w:cs="Times New Roman"/>
          <w:sz w:val="24"/>
          <w:szCs w:val="24"/>
        </w:rPr>
        <w:t xml:space="preserve"> tráfico transatlântico, segundo ele, moveu 13 milhões [1]. </w:t>
      </w:r>
    </w:p>
    <w:p w:rsidR="00537778" w:rsidRPr="00537778" w:rsidRDefault="00537778" w:rsidP="00DF378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37778">
        <w:rPr>
          <w:rFonts w:ascii="Times New Roman" w:hAnsi="Times New Roman" w:cs="Times New Roman"/>
          <w:sz w:val="24"/>
          <w:szCs w:val="24"/>
        </w:rPr>
        <w:t xml:space="preserve">Importante salientar que, segundo o mesmo antropólogo, no continente americano (incluindo o Brasil), vivem hoje 70 milhões de descendentes das vítimas do tráfico transatlântico; já nos países árabes, não se tem essa mesma presença negra, pois era comum a castração dos homens capturados [1]. Paul </w:t>
      </w:r>
      <w:proofErr w:type="spellStart"/>
      <w:r w:rsidRPr="00537778">
        <w:rPr>
          <w:rFonts w:ascii="Times New Roman" w:hAnsi="Times New Roman" w:cs="Times New Roman"/>
          <w:sz w:val="24"/>
          <w:szCs w:val="24"/>
        </w:rPr>
        <w:t>Bairoch</w:t>
      </w:r>
      <w:proofErr w:type="spellEnd"/>
      <w:r w:rsidRPr="00537778">
        <w:rPr>
          <w:rFonts w:ascii="Times New Roman" w:hAnsi="Times New Roman" w:cs="Times New Roman"/>
          <w:sz w:val="24"/>
          <w:szCs w:val="24"/>
        </w:rPr>
        <w:t>, economista, diz: "dificilmente há vestígios de escravos negros na terra do Islã, por causa da generalização da castração, maus-tratos e mortalidade muito alta,"[2].</w:t>
      </w:r>
    </w:p>
    <w:p w:rsidR="00537778" w:rsidRPr="00537778" w:rsidRDefault="00537778" w:rsidP="00DF378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537778">
        <w:rPr>
          <w:rFonts w:ascii="Times New Roman" w:hAnsi="Times New Roman" w:cs="Times New Roman"/>
          <w:sz w:val="24"/>
          <w:szCs w:val="24"/>
        </w:rPr>
        <w:t>Tidiane</w:t>
      </w:r>
      <w:proofErr w:type="spellEnd"/>
      <w:r w:rsidRPr="00537778">
        <w:rPr>
          <w:rFonts w:ascii="Times New Roman" w:hAnsi="Times New Roman" w:cs="Times New Roman"/>
          <w:sz w:val="24"/>
          <w:szCs w:val="24"/>
        </w:rPr>
        <w:t xml:space="preserve"> N'</w:t>
      </w:r>
      <w:proofErr w:type="spellStart"/>
      <w:r w:rsidRPr="00537778">
        <w:rPr>
          <w:rFonts w:ascii="Times New Roman" w:hAnsi="Times New Roman" w:cs="Times New Roman"/>
          <w:sz w:val="24"/>
          <w:szCs w:val="24"/>
        </w:rPr>
        <w:t>Diaye</w:t>
      </w:r>
      <w:proofErr w:type="spellEnd"/>
      <w:r w:rsidRPr="00537778">
        <w:rPr>
          <w:rFonts w:ascii="Times New Roman" w:hAnsi="Times New Roman" w:cs="Times New Roman"/>
          <w:sz w:val="24"/>
          <w:szCs w:val="24"/>
        </w:rPr>
        <w:t xml:space="preserve"> afirma que este capítulo doloroso da deportação de africanos na terra do Islã é comparável a um genocídio. Essa deportação não se limitou à privação de liberdade e trabalho forçado, foi também e em grande parte, um verdadeiro empreendimento programado do que poderia ser chamado de "extinção étnica por castração" [2].</w:t>
      </w:r>
    </w:p>
    <w:p w:rsidR="00537778" w:rsidRPr="00537778" w:rsidRDefault="00537778" w:rsidP="00DF378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37778">
        <w:rPr>
          <w:rFonts w:ascii="Times New Roman" w:hAnsi="Times New Roman" w:cs="Times New Roman"/>
          <w:sz w:val="24"/>
          <w:szCs w:val="24"/>
        </w:rPr>
        <w:t xml:space="preserve">É bom salientar que oficialmente a escravidão perdurou no mundo islâmico por mil e trezentos anos, e foi abolida por último no Marrocos (1956), Arábia Saudita (1962) e finalmente Mauritânia (1981) [10], mas a imprensa denuncia que ainda esteja ocorrendo escravidão e até mercados de escravos no norte da África e em países árabes. Há relatos de ocorrências da venda de crianças no Senegal [11], mulheres na Arábia Saudita [12], e até mesmo um mercado de escravos online no Kuwait [13]. Países do Oriente médio e África Oriental só estão atrás da Coreia do Norte em número de escravos hoje, segundo estimativas da </w:t>
      </w:r>
      <w:proofErr w:type="gramStart"/>
      <w:r w:rsidRPr="00537778">
        <w:rPr>
          <w:rFonts w:ascii="Times New Roman" w:hAnsi="Times New Roman" w:cs="Times New Roman"/>
          <w:sz w:val="24"/>
          <w:szCs w:val="24"/>
        </w:rPr>
        <w:t>ONU  [</w:t>
      </w:r>
      <w:proofErr w:type="gramEnd"/>
      <w:r w:rsidRPr="00537778">
        <w:rPr>
          <w:rFonts w:ascii="Times New Roman" w:hAnsi="Times New Roman" w:cs="Times New Roman"/>
          <w:sz w:val="24"/>
          <w:szCs w:val="24"/>
        </w:rPr>
        <w:t>14].</w:t>
      </w:r>
    </w:p>
    <w:p w:rsidR="00537778" w:rsidRPr="00537778" w:rsidRDefault="00537778" w:rsidP="00DF378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37778">
        <w:rPr>
          <w:rFonts w:ascii="Times New Roman" w:hAnsi="Times New Roman" w:cs="Times New Roman"/>
          <w:sz w:val="24"/>
          <w:szCs w:val="24"/>
        </w:rPr>
        <w:t>Uma evidência desse costume enraizado é o relato de Gloria Maria, conhecida apresentadora brasileira que, ao passar em viagem pelo Marrocos, recebeu uma "proposta de compra", no valor de 200 camelos; certamente se a oferta houvera sido na Europa por um cristão, não seria recebida com mesmo bom humor com que lidaram com o marroquino [15].</w:t>
      </w:r>
    </w:p>
    <w:p w:rsidR="00505DFE" w:rsidRPr="00537778" w:rsidRDefault="00537778" w:rsidP="00DF378E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7778">
        <w:rPr>
          <w:rFonts w:ascii="Times New Roman" w:hAnsi="Times New Roman" w:cs="Times New Roman"/>
          <w:sz w:val="24"/>
          <w:szCs w:val="24"/>
        </w:rPr>
        <w:t xml:space="preserve">Para maior aprofundamento do assunto indico o documentário "Os Escravos Desconhecidos", baseado na obra do antropólogo </w:t>
      </w:r>
      <w:proofErr w:type="spellStart"/>
      <w:r w:rsidRPr="00537778">
        <w:rPr>
          <w:rFonts w:ascii="Times New Roman" w:hAnsi="Times New Roman" w:cs="Times New Roman"/>
          <w:sz w:val="24"/>
          <w:szCs w:val="24"/>
        </w:rPr>
        <w:t>Tidiane</w:t>
      </w:r>
      <w:proofErr w:type="spellEnd"/>
      <w:r w:rsidRPr="00537778">
        <w:rPr>
          <w:rFonts w:ascii="Times New Roman" w:hAnsi="Times New Roman" w:cs="Times New Roman"/>
          <w:sz w:val="24"/>
          <w:szCs w:val="24"/>
        </w:rPr>
        <w:t xml:space="preserve"> N'</w:t>
      </w:r>
      <w:proofErr w:type="spellStart"/>
      <w:r w:rsidRPr="00537778">
        <w:rPr>
          <w:rFonts w:ascii="Times New Roman" w:hAnsi="Times New Roman" w:cs="Times New Roman"/>
          <w:sz w:val="24"/>
          <w:szCs w:val="24"/>
        </w:rPr>
        <w:t>Diaye</w:t>
      </w:r>
      <w:proofErr w:type="spellEnd"/>
      <w:r w:rsidRPr="00537778">
        <w:rPr>
          <w:rFonts w:ascii="Times New Roman" w:hAnsi="Times New Roman" w:cs="Times New Roman"/>
          <w:sz w:val="24"/>
          <w:szCs w:val="24"/>
        </w:rPr>
        <w:t xml:space="preserve">, "Genocídio Velado", </w:t>
      </w:r>
      <w:proofErr w:type="gramStart"/>
      <w:r w:rsidRPr="00537778">
        <w:rPr>
          <w:rFonts w:ascii="Times New Roman" w:hAnsi="Times New Roman" w:cs="Times New Roman"/>
          <w:sz w:val="24"/>
          <w:szCs w:val="24"/>
        </w:rPr>
        <w:t>( https:</w:t>
      </w:r>
      <w:r>
        <w:rPr>
          <w:rFonts w:ascii="Times New Roman" w:hAnsi="Times New Roman" w:cs="Times New Roman"/>
          <w:sz w:val="24"/>
          <w:szCs w:val="24"/>
        </w:rPr>
        <w:t>//youtu.be/VDUN4fZPeNc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): </w:t>
      </w:r>
      <w:r w:rsidRPr="00537778">
        <w:rPr>
          <w:rFonts w:ascii="Times New Roman" w:hAnsi="Times New Roman" w:cs="Times New Roman"/>
          <w:sz w:val="24"/>
          <w:szCs w:val="24"/>
        </w:rPr>
        <w:t>Fontes nos comentários.</w:t>
      </w:r>
    </w:p>
    <w:sectPr w:rsidR="00505DFE" w:rsidRPr="005377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694" w:rsidRDefault="00180694" w:rsidP="00537778">
      <w:pPr>
        <w:spacing w:after="0" w:line="240" w:lineRule="auto"/>
      </w:pPr>
      <w:r>
        <w:separator/>
      </w:r>
    </w:p>
  </w:endnote>
  <w:endnote w:type="continuationSeparator" w:id="0">
    <w:p w:rsidR="00180694" w:rsidRDefault="00180694" w:rsidP="0053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694" w:rsidRDefault="00180694" w:rsidP="00537778">
      <w:pPr>
        <w:spacing w:after="0" w:line="240" w:lineRule="auto"/>
      </w:pPr>
      <w:r>
        <w:separator/>
      </w:r>
    </w:p>
  </w:footnote>
  <w:footnote w:type="continuationSeparator" w:id="0">
    <w:p w:rsidR="00180694" w:rsidRDefault="00180694" w:rsidP="00537778">
      <w:pPr>
        <w:spacing w:after="0" w:line="240" w:lineRule="auto"/>
      </w:pPr>
      <w:r>
        <w:continuationSeparator/>
      </w:r>
    </w:p>
  </w:footnote>
  <w:footnote w:id="1">
    <w:p w:rsidR="00537778" w:rsidRPr="00537778" w:rsidRDefault="00537778">
      <w:pPr>
        <w:pStyle w:val="Textodenotaderodap"/>
        <w:rPr>
          <w:rFonts w:ascii="Times New Roman" w:hAnsi="Times New Roman" w:cs="Times New Roman"/>
          <w:sz w:val="22"/>
          <w:szCs w:val="22"/>
        </w:rPr>
      </w:pPr>
      <w:r w:rsidRPr="00537778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 w:rsidRPr="00537778">
        <w:rPr>
          <w:rFonts w:ascii="Times New Roman" w:hAnsi="Times New Roman" w:cs="Times New Roman"/>
          <w:sz w:val="22"/>
          <w:szCs w:val="22"/>
        </w:rPr>
        <w:t xml:space="preserve"> Alencar e Vieira são psicopedagogos e mestres em ciências da educação e FACSU – Faculdade Sucesso de São Bento PB: </w:t>
      </w:r>
      <w:hyperlink r:id="rId1" w:history="1">
        <w:r w:rsidRPr="00537778">
          <w:rPr>
            <w:rStyle w:val="Hyperlink"/>
            <w:rFonts w:ascii="Times New Roman" w:hAnsi="Times New Roman" w:cs="Times New Roman"/>
            <w:sz w:val="22"/>
            <w:szCs w:val="22"/>
          </w:rPr>
          <w:t>fhermes20@gmail.com</w:t>
        </w:r>
      </w:hyperlink>
      <w:r w:rsidRPr="00537778">
        <w:rPr>
          <w:rFonts w:ascii="Times New Roman" w:hAnsi="Times New Roman" w:cs="Times New Roman"/>
          <w:sz w:val="22"/>
          <w:szCs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78"/>
    <w:rsid w:val="00180694"/>
    <w:rsid w:val="00505DFE"/>
    <w:rsid w:val="00537778"/>
    <w:rsid w:val="00D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793A"/>
  <w15:chartTrackingRefBased/>
  <w15:docId w15:val="{34737C50-B9D0-4FBA-8EDB-BF745F67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77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77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3777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377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hermes20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7540-CB72-41E4-91EE-9A0040B8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2020-06-21T13:12:00Z</dcterms:created>
  <dcterms:modified xsi:type="dcterms:W3CDTF">2020-06-21T13:25:00Z</dcterms:modified>
</cp:coreProperties>
</file>