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31" w:rsidRPr="00E56EAD" w:rsidRDefault="00D15A31" w:rsidP="00D15A31">
      <w:pPr>
        <w:spacing w:before="100" w:beforeAutospacing="1" w:after="100" w:afterAutospacing="1" w:line="30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color w:val="000000"/>
          <w:kern w:val="36"/>
          <w:sz w:val="40"/>
          <w:szCs w:val="48"/>
          <w:lang w:eastAsia="pt-BR"/>
        </w:rPr>
      </w:pPr>
      <w:r w:rsidRPr="00E56EAD">
        <w:rPr>
          <w:rFonts w:ascii="Bookman Old Style" w:eastAsia="Times New Roman" w:hAnsi="Bookman Old Style" w:cs="Times New Roman"/>
          <w:b/>
          <w:bCs/>
          <w:color w:val="000000"/>
          <w:kern w:val="36"/>
          <w:sz w:val="40"/>
          <w:szCs w:val="48"/>
          <w:lang w:eastAsia="pt-BR"/>
        </w:rPr>
        <w:t xml:space="preserve">O </w:t>
      </w:r>
      <w:r>
        <w:rPr>
          <w:rFonts w:ascii="Bookman Old Style" w:eastAsia="Times New Roman" w:hAnsi="Bookman Old Style" w:cs="Times New Roman"/>
          <w:b/>
          <w:bCs/>
          <w:color w:val="000000"/>
          <w:kern w:val="36"/>
          <w:sz w:val="40"/>
          <w:szCs w:val="48"/>
          <w:lang w:eastAsia="pt-BR"/>
        </w:rPr>
        <w:t>POSICIONAMENTO DA SUA EMPRESA PARA PASSAR PELA CRISE</w:t>
      </w:r>
    </w:p>
    <w:p w:rsidR="00D15A31" w:rsidRDefault="00D15A31" w:rsidP="00D15A31">
      <w:pPr>
        <w:spacing w:after="150" w:line="240" w:lineRule="auto"/>
        <w:ind w:right="3969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noProof/>
          <w:color w:val="2962FF"/>
          <w:lang w:eastAsia="pt-BR"/>
        </w:rPr>
        <w:drawing>
          <wp:anchor distT="0" distB="0" distL="114300" distR="114300" simplePos="0" relativeHeight="251660288" behindDoc="1" locked="0" layoutInCell="1" allowOverlap="1" wp14:anchorId="519349B6" wp14:editId="1A7FAE7A">
            <wp:simplePos x="0" y="0"/>
            <wp:positionH relativeFrom="margin">
              <wp:posOffset>3320415</wp:posOffset>
            </wp:positionH>
            <wp:positionV relativeFrom="margin">
              <wp:posOffset>985520</wp:posOffset>
            </wp:positionV>
            <wp:extent cx="2447925" cy="1981200"/>
            <wp:effectExtent l="0" t="0" r="9525" b="0"/>
            <wp:wrapNone/>
            <wp:docPr id="1" name="Imagem 1" descr="Conheça os números atualizados da covid-19 no Brasil e no mundo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heça os números atualizados da covid-19 no Brasil e no mundo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A5E">
        <w:rPr>
          <w:rFonts w:ascii="Bookman Old Style" w:eastAsia="Times New Roman" w:hAnsi="Bookman Old Style" w:cs="Times New Roman"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10CCD" wp14:editId="32F50564">
                <wp:simplePos x="0" y="0"/>
                <wp:positionH relativeFrom="column">
                  <wp:posOffset>4119880</wp:posOffset>
                </wp:positionH>
                <wp:positionV relativeFrom="paragraph">
                  <wp:posOffset>115570</wp:posOffset>
                </wp:positionV>
                <wp:extent cx="758190" cy="27178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A31" w:rsidRPr="00584A5E" w:rsidRDefault="00D15A31" w:rsidP="00D15A31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584A5E">
                              <w:rPr>
                                <w:rFonts w:ascii="Arial Rounded MT Bold" w:hAnsi="Arial Rounded MT Bold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CRISE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4.4pt;margin-top:9.1pt;width:59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" filled="f" stroked="f">
                <v:textbox>
                  <w:txbxContent>
                    <w:p w:rsidR="00D15A31" w:rsidRPr="00584A5E" w:rsidRDefault="00D15A31" w:rsidP="00D15A31">
                      <w:pPr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584A5E">
                        <w:rPr>
                          <w:rFonts w:ascii="Arial Rounded MT Bold" w:hAnsi="Arial Rounded MT Bold"/>
                          <w:b/>
                          <w:i/>
                          <w:color w:val="FFFFFF" w:themeColor="background1"/>
                          <w:sz w:val="24"/>
                        </w:rPr>
                        <w:t>CRISE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Ainda não há um momento para dizer quando ocorrerá a retomada do crescimento para a economia e com isso a </w:t>
      </w:r>
      <w:proofErr w:type="gramStart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alavancagem</w:t>
      </w:r>
      <w:proofErr w:type="gramEnd"/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 das empresas. O que pode ser analisado, é que, os diferentes setores empresariais demonstram uma recuperação diferenciada, sendo que, as prioridades de consumo e investimento da sociedade mudaram, imputando sobre os ombros das empresas a capacidade de adaptação ao novo mercado.</w:t>
      </w:r>
    </w:p>
    <w:p w:rsidR="00D15A31" w:rsidRPr="00A071A5" w:rsidRDefault="00D15A31" w:rsidP="00D15A31">
      <w:p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</w:pPr>
      <w:r w:rsidRPr="00A071A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Todas as empresas possuem suas forças e fraquezas particulares e 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apresentam</w:t>
      </w:r>
      <w:r w:rsidRPr="00A071A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 xml:space="preserve"> respostas diferentes paras as seguintes questões:</w:t>
      </w:r>
    </w:p>
    <w:p w:rsidR="00D15A31" w:rsidRPr="00BE1FD3" w:rsidRDefault="00D15A31" w:rsidP="00D15A31">
      <w:pPr>
        <w:pStyle w:val="PargrafodaLista"/>
        <w:numPr>
          <w:ilvl w:val="0"/>
          <w:numId w:val="1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Como a crise está afeta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ndo o mercado na qual a empresa compete</w:t>
      </w: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?</w:t>
      </w:r>
    </w:p>
    <w:p w:rsidR="00D15A31" w:rsidRPr="00BE1FD3" w:rsidRDefault="00D15A31" w:rsidP="00D15A31">
      <w:pPr>
        <w:pStyle w:val="PargrafodaLista"/>
        <w:numPr>
          <w:ilvl w:val="0"/>
          <w:numId w:val="1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 xml:space="preserve">Qual o posicionamento estratégico da empresa dentro do mercado em que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atua</w:t>
      </w: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?</w:t>
      </w:r>
      <w:bookmarkStart w:id="0" w:name="_GoBack"/>
      <w:bookmarkEnd w:id="0"/>
    </w:p>
    <w:p w:rsidR="00D15A31" w:rsidRPr="00BE1FD3" w:rsidRDefault="00D15A31" w:rsidP="00D15A31">
      <w:pPr>
        <w:pStyle w:val="PargrafodaLista"/>
        <w:numPr>
          <w:ilvl w:val="0"/>
          <w:numId w:val="1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Qual o nível de reservas financeiras a empresa possui para atravessar a crise?</w:t>
      </w:r>
    </w:p>
    <w:p w:rsidR="00D15A31" w:rsidRPr="00BE1FD3" w:rsidRDefault="00D15A31" w:rsidP="00D15A31">
      <w:pPr>
        <w:pStyle w:val="PargrafodaLista"/>
        <w:numPr>
          <w:ilvl w:val="0"/>
          <w:numId w:val="1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Qual o poder de adaptação da empresa às mudanças do perfil consumidor?</w:t>
      </w:r>
    </w:p>
    <w:p w:rsidR="00D15A31" w:rsidRDefault="00D15A31" w:rsidP="00D15A31">
      <w:p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A análise e repostas das perguntas vão indicar os movimentos que a sua empresa pode executar em uma realidade tão complexa, levando a construção de direcionadores para lastrear a formulação de um plano de ação específico para o seu negócio.</w:t>
      </w:r>
    </w:p>
    <w:p w:rsidR="00D15A31" w:rsidRDefault="00D15A31" w:rsidP="00D15A31">
      <w:p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>Para a implantação do seu plano de ação, serão necessárias ferramentas de gestão, que a empresa poderá buscar em construção de indicadores, montagem de um plano estratégico, desenvolvimento e/ou aprimoramento do sistema de informações gerenciais, utilização do BSC, utilização de PDCA, entre várias outras ferramentas, sempre observando:</w:t>
      </w:r>
    </w:p>
    <w:p w:rsidR="00D15A31" w:rsidRDefault="00D15A31" w:rsidP="00D15A31">
      <w:pPr>
        <w:pStyle w:val="PargrafodaLista"/>
        <w:numPr>
          <w:ilvl w:val="0"/>
          <w:numId w:val="2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Reduzir custos e investimentos –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 Promovendo o melhor desempenho das atividades, gerenciando os controles e consumo;</w:t>
      </w:r>
    </w:p>
    <w:p w:rsidR="00D15A31" w:rsidRDefault="00D15A31" w:rsidP="00D15A31">
      <w:pPr>
        <w:pStyle w:val="PargrafodaLista"/>
        <w:numPr>
          <w:ilvl w:val="0"/>
          <w:numId w:val="2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Aumentar receitas e margens –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 Aumentar o foco na força de vendas e trabalhar melhor a margem de cada um de seus produtos e/ou serviços;</w:t>
      </w:r>
    </w:p>
    <w:p w:rsidR="00D15A31" w:rsidRDefault="00D15A31" w:rsidP="00D15A31">
      <w:pPr>
        <w:pStyle w:val="PargrafodaLista"/>
        <w:numPr>
          <w:ilvl w:val="0"/>
          <w:numId w:val="2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Realocar recursos para as suas atividades –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 Trabalhar a estruturação da empresa, fortalecer a organização, fidelizar os clientes alvos, cumprir os prazos, realinhar as suas estratégias;</w:t>
      </w:r>
    </w:p>
    <w:p w:rsidR="00D15A31" w:rsidRPr="00970157" w:rsidRDefault="00D15A31" w:rsidP="00D15A31">
      <w:pPr>
        <w:pStyle w:val="PargrafodaLista"/>
        <w:numPr>
          <w:ilvl w:val="0"/>
          <w:numId w:val="2"/>
        </w:num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Estruturar movimentos arrojados –</w:t>
      </w: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t-BR"/>
        </w:rPr>
        <w:t xml:space="preserve"> Buscar oportunidades e parcerias no mercado.</w:t>
      </w:r>
    </w:p>
    <w:p w:rsidR="00D15A31" w:rsidRDefault="00D15A31" w:rsidP="00D15A31">
      <w:pPr>
        <w:spacing w:after="15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/>
          <w:sz w:val="32"/>
          <w:szCs w:val="24"/>
          <w:lang w:eastAsia="pt-BR"/>
        </w:rPr>
      </w:pPr>
    </w:p>
    <w:p w:rsidR="00D15A31" w:rsidRPr="00D15A31" w:rsidRDefault="00D15A31" w:rsidP="00D15A31">
      <w:pPr>
        <w:spacing w:after="150" w:line="240" w:lineRule="auto"/>
        <w:jc w:val="both"/>
        <w:outlineLvl w:val="2"/>
        <w:rPr>
          <w:rFonts w:ascii="Arial Black" w:eastAsia="Times New Roman" w:hAnsi="Arial Black" w:cs="Times New Roman"/>
          <w:b/>
          <w:bCs/>
          <w:sz w:val="32"/>
          <w:szCs w:val="24"/>
          <w:lang w:eastAsia="pt-BR"/>
        </w:rPr>
      </w:pPr>
      <w:r w:rsidRPr="00D15A31">
        <w:rPr>
          <w:rFonts w:ascii="Arial Black" w:eastAsia="Times New Roman" w:hAnsi="Arial Black" w:cs="Times New Roman"/>
          <w:b/>
          <w:bCs/>
          <w:sz w:val="32"/>
          <w:szCs w:val="24"/>
          <w:lang w:eastAsia="pt-BR"/>
        </w:rPr>
        <w:lastRenderedPageBreak/>
        <w:t xml:space="preserve">Mudanças do mercado </w:t>
      </w:r>
    </w:p>
    <w:p w:rsidR="00D15A31" w:rsidRDefault="00D15A31" w:rsidP="00D15A31">
      <w:pPr>
        <w:spacing w:after="15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A r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etomada do consumo após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a 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crise 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a pandemia do Covid-19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terá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diferentes 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comportamentos nas demandas em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distintos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setores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, segundo um trabalho de pesquisa realizado pela </w:t>
      </w:r>
      <w:proofErr w:type="spellStart"/>
      <w:r w:rsidRPr="00E6299B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t-BR"/>
        </w:rPr>
        <w:t>Bain</w:t>
      </w:r>
      <w:proofErr w:type="spellEnd"/>
      <w:r w:rsidRPr="00E6299B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E6299B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t-BR"/>
        </w:rPr>
        <w:t>Company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.</w:t>
      </w:r>
      <w:r w:rsidRPr="00E56EAD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</w:t>
      </w:r>
    </w:p>
    <w:p w:rsidR="00236D52" w:rsidRDefault="00236D52" w:rsidP="00D15A31">
      <w:pPr>
        <w:spacing w:after="15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36D52" w:rsidRPr="00236D52" w:rsidTr="00AA1471">
        <w:tc>
          <w:tcPr>
            <w:tcW w:w="4605" w:type="dxa"/>
            <w:vMerge w:val="restart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40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40"/>
                <w:szCs w:val="24"/>
              </w:rPr>
              <w:t>Disparou</w:t>
            </w:r>
          </w:p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8"/>
                <w:szCs w:val="24"/>
              </w:rPr>
              <w:t>E deve se manter em alta no longo prazo</w:t>
            </w: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Ensino a distância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D6E3BC" w:themeFill="accent3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Telemedicina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D6E3BC" w:themeFill="accent3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Nutrição e Saúde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D6E3BC" w:themeFill="accent3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Entretenimento Online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D6E3BC" w:themeFill="accent3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Plano de saúde e seguro de vida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D6E3BC" w:themeFill="accent3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D6E3BC" w:themeFill="accent3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Ferramentas para trabalho remoto</w:t>
            </w:r>
          </w:p>
        </w:tc>
      </w:tr>
      <w:tr w:rsidR="00236D52" w:rsidRPr="00236D52" w:rsidTr="00AA1471">
        <w:trPr>
          <w:trHeight w:val="57"/>
        </w:trPr>
        <w:tc>
          <w:tcPr>
            <w:tcW w:w="4605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6D52" w:rsidRPr="00236D52" w:rsidTr="00AA1471">
        <w:tc>
          <w:tcPr>
            <w:tcW w:w="4605" w:type="dxa"/>
            <w:vMerge w:val="restart"/>
            <w:shd w:val="clear" w:color="auto" w:fill="EAF1DD" w:themeFill="accent3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32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32"/>
                <w:szCs w:val="24"/>
              </w:rPr>
              <w:t>Disparou</w:t>
            </w:r>
          </w:p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Mas deve se estabilizar no longo prazo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Alimentação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AF1DD" w:themeFill="accent3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Produtos de limpeza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AF1DD" w:themeFill="accent3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 xml:space="preserve">Internet, banda larga e </w:t>
            </w:r>
            <w:proofErr w:type="gramStart"/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telefonia</w:t>
            </w:r>
            <w:proofErr w:type="gramEnd"/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AF1DD" w:themeFill="accent3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Produtos de preservação (álcool gel, máscaras</w:t>
            </w:r>
            <w:proofErr w:type="gramStart"/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236D52" w:rsidRPr="00236D52" w:rsidTr="00AA1471">
        <w:tc>
          <w:tcPr>
            <w:tcW w:w="4605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6D52" w:rsidRPr="00236D52" w:rsidTr="00AA1471">
        <w:tc>
          <w:tcPr>
            <w:tcW w:w="4605" w:type="dxa"/>
            <w:vMerge w:val="restart"/>
            <w:shd w:val="clear" w:color="auto" w:fill="F2DBDB" w:themeFill="accent2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32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32"/>
                <w:szCs w:val="24"/>
              </w:rPr>
              <w:t>Despencou</w:t>
            </w:r>
          </w:p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Mas pode ter pico em seguida</w:t>
            </w: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Eletrodomésticos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F2DBDB" w:themeFill="accent2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Produtos de beleza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F2DBDB" w:themeFill="accent2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 xml:space="preserve">Roupas, sapatos e </w:t>
            </w:r>
            <w:proofErr w:type="gramStart"/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acessórios</w:t>
            </w:r>
            <w:proofErr w:type="gramEnd"/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F2DBDB" w:themeFill="accent2" w:themeFillTint="33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Serviços de beleza (cabeleireiro)</w:t>
            </w:r>
          </w:p>
        </w:tc>
      </w:tr>
      <w:tr w:rsidR="00236D52" w:rsidRPr="00236D52" w:rsidTr="00AA1471">
        <w:tc>
          <w:tcPr>
            <w:tcW w:w="4605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36D52" w:rsidRPr="00236D52" w:rsidTr="00AA1471">
        <w:tc>
          <w:tcPr>
            <w:tcW w:w="4605" w:type="dxa"/>
            <w:vMerge w:val="restart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32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32"/>
                <w:szCs w:val="24"/>
              </w:rPr>
              <w:t>Despencou</w:t>
            </w:r>
          </w:p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E deve ter recuperação lenta</w:t>
            </w: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Academia de ginástica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5B8B7" w:themeFill="accent2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Eventos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5B8B7" w:themeFill="accent2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Cinemas e teatro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5B8B7" w:themeFill="accent2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Hotéis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5B8B7" w:themeFill="accent2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Viagem e turismo</w:t>
            </w:r>
          </w:p>
        </w:tc>
      </w:tr>
      <w:tr w:rsidR="00236D52" w:rsidRPr="00236D52" w:rsidTr="00AA1471">
        <w:tc>
          <w:tcPr>
            <w:tcW w:w="4605" w:type="dxa"/>
            <w:vMerge/>
            <w:shd w:val="clear" w:color="auto" w:fill="E5B8B7" w:themeFill="accent2" w:themeFillTint="66"/>
          </w:tcPr>
          <w:p w:rsidR="00236D52" w:rsidRPr="00236D52" w:rsidRDefault="00236D52" w:rsidP="00AA147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E5B8B7" w:themeFill="accent2" w:themeFillTint="66"/>
            <w:vAlign w:val="center"/>
          </w:tcPr>
          <w:p w:rsidR="00236D52" w:rsidRPr="00236D52" w:rsidRDefault="00236D52" w:rsidP="00AA147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36D52">
              <w:rPr>
                <w:rFonts w:ascii="Bookman Old Style" w:hAnsi="Bookman Old Style"/>
                <w:b/>
                <w:sz w:val="24"/>
                <w:szCs w:val="24"/>
              </w:rPr>
              <w:t>Restaurantes</w:t>
            </w:r>
          </w:p>
        </w:tc>
      </w:tr>
    </w:tbl>
    <w:p w:rsidR="00D15A31" w:rsidRDefault="00D15A31" w:rsidP="00D15A31">
      <w:pPr>
        <w:spacing w:after="150" w:line="288" w:lineRule="auto"/>
        <w:rPr>
          <w:rFonts w:ascii="Arial" w:eastAsia="Times New Roman" w:hAnsi="Arial" w:cs="Arial"/>
          <w:color w:val="000000"/>
          <w:sz w:val="18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1"/>
          <w:lang w:eastAsia="pt-BR"/>
        </w:rPr>
        <w:t xml:space="preserve"> </w:t>
      </w:r>
      <w:r w:rsidRPr="00E56EAD">
        <w:rPr>
          <w:rFonts w:ascii="Arial" w:eastAsia="Times New Roman" w:hAnsi="Arial" w:cs="Arial"/>
          <w:b/>
          <w:bCs/>
          <w:color w:val="000000"/>
          <w:sz w:val="18"/>
          <w:szCs w:val="21"/>
          <w:lang w:eastAsia="pt-BR"/>
        </w:rPr>
        <w:t>Fonte:</w:t>
      </w:r>
      <w:r w:rsidRPr="00E56EAD">
        <w:rPr>
          <w:rFonts w:ascii="Arial" w:eastAsia="Times New Roman" w:hAnsi="Arial" w:cs="Arial"/>
          <w:color w:val="000000"/>
          <w:sz w:val="18"/>
          <w:szCs w:val="21"/>
          <w:lang w:eastAsia="pt-BR"/>
        </w:rPr>
        <w:t xml:space="preserve"> </w:t>
      </w:r>
      <w:proofErr w:type="spellStart"/>
      <w:r w:rsidRPr="00E56EAD">
        <w:rPr>
          <w:rFonts w:ascii="Arial" w:eastAsia="Times New Roman" w:hAnsi="Arial" w:cs="Arial"/>
          <w:color w:val="000000"/>
          <w:sz w:val="18"/>
          <w:szCs w:val="21"/>
          <w:lang w:eastAsia="pt-BR"/>
        </w:rPr>
        <w:t>Bain</w:t>
      </w:r>
      <w:proofErr w:type="spellEnd"/>
      <w:r w:rsidRPr="00E56EAD">
        <w:rPr>
          <w:rFonts w:ascii="Arial" w:eastAsia="Times New Roman" w:hAnsi="Arial" w:cs="Arial"/>
          <w:color w:val="000000"/>
          <w:sz w:val="18"/>
          <w:szCs w:val="21"/>
          <w:lang w:eastAsia="pt-BR"/>
        </w:rPr>
        <w:t xml:space="preserve"> &amp; </w:t>
      </w:r>
      <w:proofErr w:type="spellStart"/>
      <w:r w:rsidRPr="00E56EAD">
        <w:rPr>
          <w:rFonts w:ascii="Arial" w:eastAsia="Times New Roman" w:hAnsi="Arial" w:cs="Arial"/>
          <w:color w:val="000000"/>
          <w:sz w:val="18"/>
          <w:szCs w:val="21"/>
          <w:lang w:eastAsia="pt-BR"/>
        </w:rPr>
        <w:t>Company</w:t>
      </w:r>
      <w:proofErr w:type="spellEnd"/>
    </w:p>
    <w:p w:rsidR="00D15A31" w:rsidRDefault="00D15A31" w:rsidP="00D15A31">
      <w:pPr>
        <w:spacing w:after="150" w:line="288" w:lineRule="auto"/>
        <w:rPr>
          <w:rFonts w:ascii="Arial" w:eastAsia="Times New Roman" w:hAnsi="Arial" w:cs="Arial"/>
          <w:color w:val="000000"/>
          <w:sz w:val="18"/>
          <w:szCs w:val="21"/>
          <w:lang w:eastAsia="pt-BR"/>
        </w:rPr>
      </w:pPr>
    </w:p>
    <w:p w:rsidR="00D15A31" w:rsidRPr="00D15A31" w:rsidRDefault="00D15A31" w:rsidP="00D15A31">
      <w:pPr>
        <w:shd w:val="clear" w:color="auto" w:fill="FFFFFF"/>
        <w:spacing w:line="240" w:lineRule="auto"/>
        <w:jc w:val="both"/>
        <w:rPr>
          <w:rFonts w:ascii="Arial Black" w:eastAsia="Times New Roman" w:hAnsi="Arial Black" w:cs="Times New Roman"/>
          <w:b/>
          <w:sz w:val="32"/>
          <w:szCs w:val="32"/>
          <w:lang w:eastAsia="pt-BR"/>
        </w:rPr>
      </w:pPr>
      <w:r w:rsidRPr="00D15A31">
        <w:rPr>
          <w:rFonts w:ascii="Arial Black" w:eastAsia="Times New Roman" w:hAnsi="Arial Black" w:cs="Times New Roman"/>
          <w:b/>
          <w:sz w:val="32"/>
          <w:szCs w:val="32"/>
          <w:lang w:eastAsia="pt-BR"/>
        </w:rPr>
        <w:lastRenderedPageBreak/>
        <w:t>Antecipando ao próximo estágio da crise</w:t>
      </w:r>
    </w:p>
    <w:p w:rsidR="00D15A31" w:rsidRDefault="00D15A31" w:rsidP="00D15A31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Com o avanço da pandemia do Covid-19 e após ela passar, teremos uma onda de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disrupção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em nossa economia, fazendo com que as pessoas e as empresas repensem seus comportamentos de consumo, trazendo desafios associados que não estamos acostumados a lidar, sendo necessário buscar um modelo administrativo para a empresa que se ajuste ao extremo nível de incerteza enfrentado atualmente.</w:t>
      </w:r>
    </w:p>
    <w:p w:rsidR="00D15A31" w:rsidRPr="00A071A5" w:rsidRDefault="00D15A31" w:rsidP="00D15A31">
      <w:pPr>
        <w:spacing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</w:pPr>
      <w:r w:rsidRPr="00A071A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>A queda acentuada na renda, devido ao desemprego e a reclusão de medidas adotadas para a preservação da saúde biológica vão gerar graves problemas na saúde financeira das empresas, causando consequências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 xml:space="preserve"> econômicas extensas que levarão </w:t>
      </w:r>
      <w:r w:rsidRPr="00A071A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 xml:space="preserve">um grande período de tempo para serem superadas, podendo </w:t>
      </w:r>
      <w:proofErr w:type="gramStart"/>
      <w:r w:rsidRPr="00A071A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>serem</w:t>
      </w:r>
      <w:proofErr w:type="gramEnd"/>
      <w:r w:rsidRPr="00A071A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 xml:space="preserve"> amenizadas pela utilização de duas alternativas práticas:</w:t>
      </w:r>
    </w:p>
    <w:p w:rsidR="00D15A31" w:rsidRDefault="00D15A31" w:rsidP="00D15A31">
      <w:pPr>
        <w:pStyle w:val="PargrafodaLista"/>
        <w:numPr>
          <w:ilvl w:val="0"/>
          <w:numId w:val="3"/>
        </w:numPr>
        <w:spacing w:after="20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 xml:space="preserve">Planejamento antecipado –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adiantar-se aos movimentos do mercado;</w:t>
      </w:r>
    </w:p>
    <w:p w:rsidR="00D15A31" w:rsidRDefault="00D15A31" w:rsidP="00D15A31">
      <w:pPr>
        <w:pStyle w:val="PargrafodaLista"/>
        <w:spacing w:after="20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D15A31" w:rsidRDefault="00D15A31" w:rsidP="00D15A31">
      <w:pPr>
        <w:pStyle w:val="PargrafodaLista"/>
        <w:numPr>
          <w:ilvl w:val="0"/>
          <w:numId w:val="3"/>
        </w:numPr>
        <w:spacing w:after="20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 w:rsidRPr="00BE1FD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>Trabalhar em vários horizontes –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estabelecer vários cenários para a empresa no futuro, estipular metas conforme cada cenário e definir os gatilhos que disparam ações nos momentos mais adequados.</w:t>
      </w:r>
    </w:p>
    <w:p w:rsidR="00D15A31" w:rsidRDefault="00D15A31" w:rsidP="00D15A31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Mesmo tendo altos níveis de incerteza é necessário a empresa operar com planejamento e em alta velocidade, buscando adequar-se as oportunidades do mercado e reestruturando as suas finanças para poder encarar da melhor forma possível a saída da crise. Óbvio que não irá acertar 100%, mas com o tempo e </w:t>
      </w:r>
      <w:proofErr w:type="gram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agilizando</w:t>
      </w:r>
      <w:proofErr w:type="gram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suas decisões baseado no maior número de informações possíveis, poderá refinar seu plano de ação, evoluindo para respostas mais sofisticadas.</w:t>
      </w:r>
    </w:p>
    <w:p w:rsidR="00D15A31" w:rsidRDefault="00D15A31" w:rsidP="00D15A31">
      <w:pPr>
        <w:shd w:val="clear" w:color="auto" w:fill="FFFFFF"/>
        <w:spacing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</w:p>
    <w:p w:rsidR="00D15A31" w:rsidRPr="0020699A" w:rsidRDefault="00D15A31" w:rsidP="00D15A3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</w:pPr>
      <w:r w:rsidRPr="0020699A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 xml:space="preserve">Vitor Paulo </w:t>
      </w:r>
      <w:proofErr w:type="spellStart"/>
      <w:r w:rsidRPr="0020699A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pt-BR"/>
        </w:rPr>
        <w:t>Maesta</w:t>
      </w:r>
      <w:proofErr w:type="spellEnd"/>
    </w:p>
    <w:p w:rsidR="00D15A31" w:rsidRDefault="00D15A31" w:rsidP="00D15A3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Consultor/Contador</w:t>
      </w:r>
    </w:p>
    <w:p w:rsidR="00C37B96" w:rsidRDefault="00C37B96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p w:rsidR="0099625C" w:rsidRDefault="0099625C"/>
    <w:sectPr w:rsidR="0099625C" w:rsidSect="00D15A3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56"/>
    <w:multiLevelType w:val="hybridMultilevel"/>
    <w:tmpl w:val="6E9A6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5053"/>
    <w:multiLevelType w:val="hybridMultilevel"/>
    <w:tmpl w:val="2EAAA0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78CD"/>
    <w:multiLevelType w:val="hybridMultilevel"/>
    <w:tmpl w:val="5AC81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31"/>
    <w:rsid w:val="00236D52"/>
    <w:rsid w:val="0099625C"/>
    <w:rsid w:val="00C37B96"/>
    <w:rsid w:val="00D15A31"/>
    <w:rsid w:val="00D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5A31"/>
    <w:pPr>
      <w:ind w:left="720"/>
      <w:contextualSpacing/>
    </w:pPr>
  </w:style>
  <w:style w:type="table" w:styleId="Tabelacomgrade">
    <w:name w:val="Table Grid"/>
    <w:basedOn w:val="Tabelanormal"/>
    <w:uiPriority w:val="59"/>
    <w:rsid w:val="0099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5A31"/>
    <w:pPr>
      <w:ind w:left="720"/>
      <w:contextualSpacing/>
    </w:pPr>
  </w:style>
  <w:style w:type="table" w:styleId="Tabelacomgrade">
    <w:name w:val="Table Grid"/>
    <w:basedOn w:val="Tabelanormal"/>
    <w:uiPriority w:val="59"/>
    <w:rsid w:val="0099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br/url?sa=i&amp;url=https://www.poder360.com.br/coronavirus/conheca-os-numeros-atualizados-da-covid-19-no-brasil-e-no-mundo-2/&amp;psig=AOvVaw0Sp1Ou-ix0NMaeX5nzq3dZ&amp;ust=1587747994442000&amp;source=images&amp;cd=vfe&amp;ved=0CAIQjRxqFwoTCNj707CE_-gCFQAAAAAdAAAAAB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2020-04-27T12:10:00Z</dcterms:created>
  <dcterms:modified xsi:type="dcterms:W3CDTF">2020-04-27T12:32:00Z</dcterms:modified>
</cp:coreProperties>
</file>