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46FC" w:rsidRDefault="00F746FC" w:rsidP="00F746FC">
      <w:pPr>
        <w:pStyle w:val="NormalWeb"/>
        <w:shd w:val="clear" w:color="auto" w:fill="FFFFFF"/>
        <w:spacing w:before="0" w:beforeAutospacing="0" w:after="135" w:afterAutospacing="0" w:line="345" w:lineRule="atLeast"/>
        <w:jc w:val="right"/>
        <w:rPr>
          <w:rFonts w:ascii="Arial" w:hAnsi="Arial" w:cs="Arial"/>
          <w:color w:val="333333"/>
        </w:rPr>
      </w:pPr>
      <w:r>
        <w:rPr>
          <w:rStyle w:val="Forte"/>
          <w:rFonts w:ascii="Arial" w:hAnsi="Arial" w:cs="Arial"/>
          <w:color w:val="333333"/>
        </w:rPr>
        <w:t>POR DR. LUCAS BERGER DA SILVA CRMV 15533</w:t>
      </w:r>
    </w:p>
    <w:p w:rsidR="00F746FC" w:rsidRDefault="00F746FC" w:rsidP="00F746FC">
      <w:pPr>
        <w:pStyle w:val="NormalWeb"/>
        <w:shd w:val="clear" w:color="auto" w:fill="FFFFFF"/>
        <w:spacing w:before="0" w:beforeAutospacing="0" w:after="135" w:afterAutospacing="0" w:line="345" w:lineRule="atLeast"/>
        <w:jc w:val="right"/>
        <w:rPr>
          <w:rFonts w:ascii="Arial" w:hAnsi="Arial" w:cs="Arial"/>
          <w:color w:val="333333"/>
        </w:rPr>
      </w:pPr>
      <w:hyperlink r:id="rId4" w:history="1">
        <w:r>
          <w:rPr>
            <w:rStyle w:val="Hyperlink"/>
            <w:rFonts w:ascii="Arial" w:hAnsi="Arial" w:cs="Arial"/>
            <w:b/>
            <w:bCs/>
            <w:color w:val="345D9F"/>
          </w:rPr>
          <w:t>lucasalfenas2003@yahoo.com.br</w:t>
        </w:r>
      </w:hyperlink>
    </w:p>
    <w:p w:rsidR="00F746FC" w:rsidRDefault="00F746FC" w:rsidP="00F746FC">
      <w:pPr>
        <w:pStyle w:val="NormalWeb"/>
        <w:shd w:val="clear" w:color="auto" w:fill="FFFFFF"/>
        <w:spacing w:before="0" w:beforeAutospacing="0" w:after="135" w:afterAutospacing="0" w:line="345" w:lineRule="atLeast"/>
        <w:jc w:val="righ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DATA 04/03/201</w:t>
      </w:r>
      <w:r w:rsidR="00920B8E">
        <w:rPr>
          <w:rFonts w:ascii="Arial" w:hAnsi="Arial" w:cs="Arial"/>
          <w:color w:val="333333"/>
        </w:rPr>
        <w:t>6</w:t>
      </w:r>
    </w:p>
    <w:p w:rsidR="00F746FC" w:rsidRPr="00F746FC" w:rsidRDefault="00F746FC" w:rsidP="00F746FC">
      <w:pPr>
        <w:jc w:val="center"/>
        <w:rPr>
          <w:rFonts w:ascii="Arial Black" w:hAnsi="Arial Black"/>
          <w:shd w:val="clear" w:color="auto" w:fill="FFFFFF"/>
        </w:rPr>
      </w:pPr>
      <w:bookmarkStart w:id="0" w:name="_GoBack"/>
      <w:r w:rsidRPr="00F746FC">
        <w:rPr>
          <w:rFonts w:ascii="Arial Black" w:hAnsi="Arial Black"/>
          <w:shd w:val="clear" w:color="auto" w:fill="FFFFFF"/>
        </w:rPr>
        <w:t>TRAT</w:t>
      </w:r>
      <w:r w:rsidR="00E33DAE">
        <w:rPr>
          <w:rFonts w:ascii="Arial Black" w:hAnsi="Arial Black"/>
          <w:shd w:val="clear" w:color="auto" w:fill="FFFFFF"/>
        </w:rPr>
        <w:t>A</w:t>
      </w:r>
      <w:r w:rsidRPr="00F746FC">
        <w:rPr>
          <w:rFonts w:ascii="Arial Black" w:hAnsi="Arial Black"/>
          <w:shd w:val="clear" w:color="auto" w:fill="FFFFFF"/>
        </w:rPr>
        <w:t>MENTO CLINIC</w:t>
      </w:r>
      <w:r w:rsidR="00E33DAE">
        <w:rPr>
          <w:rFonts w:ascii="Arial Black" w:hAnsi="Arial Black"/>
          <w:shd w:val="clear" w:color="auto" w:fill="FFFFFF"/>
        </w:rPr>
        <w:t>O</w:t>
      </w:r>
      <w:r w:rsidRPr="00F746FC">
        <w:rPr>
          <w:rFonts w:ascii="Arial Black" w:hAnsi="Arial Black"/>
          <w:shd w:val="clear" w:color="auto" w:fill="FFFFFF"/>
        </w:rPr>
        <w:t xml:space="preserve"> DO DIABETES EM CÃES E GATOS</w:t>
      </w:r>
    </w:p>
    <w:bookmarkEnd w:id="0"/>
    <w:p w:rsidR="00F746FC" w:rsidRDefault="00F746FC" w:rsidP="00F746FC">
      <w:pPr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       </w:t>
      </w:r>
      <w:r w:rsidRPr="00F746FC">
        <w:rPr>
          <w:rFonts w:ascii="Arial" w:hAnsi="Arial" w:cs="Arial"/>
          <w:shd w:val="clear" w:color="auto" w:fill="FFFFFF"/>
        </w:rPr>
        <w:t xml:space="preserve">Após o </w:t>
      </w:r>
      <w:r w:rsidR="00E33DAE" w:rsidRPr="00F746FC">
        <w:rPr>
          <w:rFonts w:ascii="Arial" w:hAnsi="Arial" w:cs="Arial"/>
          <w:shd w:val="clear" w:color="auto" w:fill="FFFFFF"/>
        </w:rPr>
        <w:t>diagnóstico</w:t>
      </w:r>
      <w:r w:rsidRPr="00F746FC">
        <w:rPr>
          <w:rFonts w:ascii="Arial" w:hAnsi="Arial" w:cs="Arial"/>
          <w:shd w:val="clear" w:color="auto" w:fill="FFFFFF"/>
        </w:rPr>
        <w:t xml:space="preserve"> da diabetes, utilizar os exames de hemoglobina glicosilada, </w:t>
      </w:r>
      <w:proofErr w:type="spellStart"/>
      <w:r w:rsidRPr="00F746FC">
        <w:rPr>
          <w:rFonts w:ascii="Arial" w:hAnsi="Arial" w:cs="Arial"/>
          <w:shd w:val="clear" w:color="auto" w:fill="FFFFFF"/>
        </w:rPr>
        <w:t>frutosamina</w:t>
      </w:r>
      <w:proofErr w:type="spellEnd"/>
      <w:r w:rsidRPr="00F746FC">
        <w:rPr>
          <w:rFonts w:ascii="Arial" w:hAnsi="Arial" w:cs="Arial"/>
          <w:shd w:val="clear" w:color="auto" w:fill="FFFFFF"/>
        </w:rPr>
        <w:t xml:space="preserve">, glicemia, deve-se iniciar com a terapia diferente para cada tipo, visando sempre reverter os efeitos catabólicos associados a falta ou a não produção de insulina, visando estabelecer uma homeostase </w:t>
      </w:r>
      <w:r w:rsidR="00E33DAE" w:rsidRPr="00F746FC">
        <w:rPr>
          <w:rFonts w:ascii="Arial" w:hAnsi="Arial" w:cs="Arial"/>
          <w:shd w:val="clear" w:color="auto" w:fill="FFFFFF"/>
        </w:rPr>
        <w:t>normal</w:t>
      </w:r>
      <w:r w:rsidRPr="00F746FC">
        <w:rPr>
          <w:rFonts w:ascii="Arial" w:hAnsi="Arial" w:cs="Arial"/>
          <w:shd w:val="clear" w:color="auto" w:fill="FFFFFF"/>
        </w:rPr>
        <w:t>, do metabolismo de carboidratos, proteínas e lipídeos, para controlar deve ser aplicadas insulinas diárias no diabetes tipo I.</w:t>
      </w:r>
    </w:p>
    <w:p w:rsidR="00F746FC" w:rsidRDefault="00F746FC" w:rsidP="00F746FC">
      <w:pPr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      A insulina comercial possui classificação de acordo com a sua duração e rapidez de ação, sendo que as insulinas comumente utilizadas no tratamento em um prazo mais longo é a insulina N.P.H., insulina </w:t>
      </w:r>
      <w:proofErr w:type="gramStart"/>
      <w:r>
        <w:rPr>
          <w:rFonts w:ascii="Arial" w:hAnsi="Arial" w:cs="Arial"/>
          <w:shd w:val="clear" w:color="auto" w:fill="FFFFFF"/>
        </w:rPr>
        <w:t>PZI  e</w:t>
      </w:r>
      <w:proofErr w:type="gramEnd"/>
      <w:r>
        <w:rPr>
          <w:rFonts w:ascii="Arial" w:hAnsi="Arial" w:cs="Arial"/>
          <w:shd w:val="clear" w:color="auto" w:fill="FFFFFF"/>
        </w:rPr>
        <w:t xml:space="preserve"> insulina regular.</w:t>
      </w:r>
    </w:p>
    <w:p w:rsidR="00F746FC" w:rsidRDefault="00F746FC" w:rsidP="00F746FC">
      <w:pPr>
        <w:jc w:val="both"/>
        <w:rPr>
          <w:rFonts w:ascii="Arial" w:hAnsi="Arial" w:cs="Arial"/>
          <w:shd w:val="clear" w:color="auto" w:fill="FFFFFF"/>
        </w:rPr>
      </w:pPr>
      <w:r w:rsidRPr="00F746FC">
        <w:rPr>
          <w:rFonts w:ascii="Arial" w:hAnsi="Arial" w:cs="Arial"/>
          <w:b/>
          <w:bCs/>
          <w:i/>
          <w:iCs/>
          <w:shd w:val="clear" w:color="auto" w:fill="FFFFFF"/>
        </w:rPr>
        <w:t>Descomplicando a o tratamento</w:t>
      </w:r>
      <w:r>
        <w:rPr>
          <w:rFonts w:ascii="Arial" w:hAnsi="Arial" w:cs="Arial"/>
          <w:b/>
          <w:bCs/>
          <w:i/>
          <w:iCs/>
          <w:shd w:val="clear" w:color="auto" w:fill="FFFFFF"/>
        </w:rPr>
        <w:t xml:space="preserve">: </w:t>
      </w:r>
      <w:r>
        <w:rPr>
          <w:rFonts w:ascii="Arial" w:hAnsi="Arial" w:cs="Arial"/>
          <w:shd w:val="clear" w:color="auto" w:fill="FFFFFF"/>
        </w:rPr>
        <w:t xml:space="preserve">após o </w:t>
      </w:r>
      <w:r w:rsidR="00E33DAE">
        <w:rPr>
          <w:rFonts w:ascii="Arial" w:hAnsi="Arial" w:cs="Arial"/>
          <w:shd w:val="clear" w:color="auto" w:fill="FFFFFF"/>
        </w:rPr>
        <w:t>diagnóstico</w:t>
      </w:r>
      <w:r>
        <w:rPr>
          <w:rFonts w:ascii="Arial" w:hAnsi="Arial" w:cs="Arial"/>
          <w:shd w:val="clear" w:color="auto" w:fill="FFFFFF"/>
        </w:rPr>
        <w:t xml:space="preserve"> do d</w:t>
      </w:r>
      <w:r w:rsidR="00A97A82">
        <w:rPr>
          <w:rFonts w:ascii="Arial" w:hAnsi="Arial" w:cs="Arial"/>
          <w:shd w:val="clear" w:color="auto" w:fill="FFFFFF"/>
        </w:rPr>
        <w:t xml:space="preserve">iabetes tipo I, deve ser administradas diariamente insulina para controle da </w:t>
      </w:r>
      <w:proofErr w:type="spellStart"/>
      <w:r w:rsidR="00A97A82">
        <w:rPr>
          <w:rFonts w:ascii="Arial" w:hAnsi="Arial" w:cs="Arial"/>
          <w:shd w:val="clear" w:color="auto" w:fill="FFFFFF"/>
        </w:rPr>
        <w:t>enfermidade.De</w:t>
      </w:r>
      <w:proofErr w:type="spellEnd"/>
      <w:r w:rsidR="00A97A82">
        <w:rPr>
          <w:rFonts w:ascii="Arial" w:hAnsi="Arial" w:cs="Arial"/>
          <w:shd w:val="clear" w:color="auto" w:fill="FFFFFF"/>
        </w:rPr>
        <w:t xml:space="preserve"> forma mais rotineira a insulina NPH é mais utilizada em cães em gatos em estado cetoacidose optar a insulina regular, após retira-se desse quadro passar a utilização de insulina de ação longa ou se notar melhora discreta melhora de ação intermediaria, alguns profissionais optam, em felinos, por utilizar a insulina </w:t>
      </w:r>
      <w:proofErr w:type="spellStart"/>
      <w:r w:rsidR="00A97A82">
        <w:rPr>
          <w:rFonts w:ascii="Arial" w:hAnsi="Arial" w:cs="Arial"/>
          <w:shd w:val="clear" w:color="auto" w:fill="FFFFFF"/>
        </w:rPr>
        <w:t>PZi</w:t>
      </w:r>
      <w:proofErr w:type="spellEnd"/>
      <w:r w:rsidR="00A97A82">
        <w:rPr>
          <w:rFonts w:ascii="Arial" w:hAnsi="Arial" w:cs="Arial"/>
          <w:shd w:val="clear" w:color="auto" w:fill="FFFFFF"/>
        </w:rPr>
        <w:t xml:space="preserve">, iniciando por 1-3 U.I. por gato ao dia, modificando e ajustando a dose a medida que necessário, sendo que muitas vezes essas possam ser passadas para uma aplicação a cada 12 horas. Deve-se utilizar seringas especificas, pois além de possuírem a dose de forma mais fáceis de serem calculadas, sua agulha é especifica para isso sendo menos dolorosas e pouco </w:t>
      </w:r>
      <w:r w:rsidR="00E33DAE">
        <w:rPr>
          <w:rFonts w:ascii="Arial" w:hAnsi="Arial" w:cs="Arial"/>
          <w:shd w:val="clear" w:color="auto" w:fill="FFFFFF"/>
        </w:rPr>
        <w:t>conteúdo</w:t>
      </w:r>
      <w:r w:rsidR="00A97A82">
        <w:rPr>
          <w:rFonts w:ascii="Arial" w:hAnsi="Arial" w:cs="Arial"/>
          <w:shd w:val="clear" w:color="auto" w:fill="FFFFFF"/>
        </w:rPr>
        <w:t xml:space="preserve"> se mantem na seringa.</w:t>
      </w:r>
    </w:p>
    <w:p w:rsidR="00752036" w:rsidRDefault="00A97A82" w:rsidP="00F746FC">
      <w:pPr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         Existem cuidados apropriados de se conversar a medicação protegendo de mudanças bruscas de temperatura (calor excessivo ou frio extremo)</w:t>
      </w:r>
      <w:r w:rsidR="005920A0">
        <w:rPr>
          <w:rFonts w:ascii="Arial" w:hAnsi="Arial" w:cs="Arial"/>
          <w:shd w:val="clear" w:color="auto" w:fill="FFFFFF"/>
        </w:rPr>
        <w:t>, optando sempre em manter em refrigeração</w:t>
      </w:r>
      <w:r>
        <w:rPr>
          <w:rFonts w:ascii="Arial" w:hAnsi="Arial" w:cs="Arial"/>
          <w:shd w:val="clear" w:color="auto" w:fill="FFFFFF"/>
        </w:rPr>
        <w:t>, sempre quando for aplicar mistura de forma devaga</w:t>
      </w:r>
      <w:r w:rsidR="005920A0">
        <w:rPr>
          <w:rFonts w:ascii="Arial" w:hAnsi="Arial" w:cs="Arial"/>
          <w:shd w:val="clear" w:color="auto" w:fill="FFFFFF"/>
        </w:rPr>
        <w:t>r, não agitando de forma rápida ou bruta, sendo necessária aquecer a temperatura ambiente antes de aplicar, sendo a prega do pescoço o local de eleição para aplicação, o incorreto manejo durante a retirada do conteúdo do frasco ou a inadequada aplicação é os grandes responsáveis por uma falta de resposta da terapêutica adotada.</w:t>
      </w:r>
    </w:p>
    <w:p w:rsidR="00E33DAE" w:rsidRDefault="00752036" w:rsidP="00F746FC">
      <w:pPr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         </w:t>
      </w:r>
      <w:r w:rsidR="008A163A">
        <w:rPr>
          <w:rFonts w:ascii="Arial" w:hAnsi="Arial" w:cs="Arial"/>
          <w:shd w:val="clear" w:color="auto" w:fill="FFFFFF"/>
        </w:rPr>
        <w:t xml:space="preserve">Quando aplicado a insulina NPH em cães, sua ação ocorre após 1 a 3 horas, sendo que o pico plasmático é em 4 a 8 horas, tempo por duração de 12 a 24 horas. Considerada de ação menos potente, a insulina PZI, possui um tempo de duração maior. O efeito de reduzir a glicemia, ocorre quando a insulina atinge seu pico plasmático, a fim de se evitar hipoglicemia, deve se instituir o manejo alimentar </w:t>
      </w:r>
      <w:r w:rsidR="00E33DAE">
        <w:rPr>
          <w:rFonts w:ascii="Arial" w:hAnsi="Arial" w:cs="Arial"/>
          <w:shd w:val="clear" w:color="auto" w:fill="FFFFFF"/>
        </w:rPr>
        <w:t>no período anterior de maior atividade da insulina (2-8 horas após).</w:t>
      </w:r>
    </w:p>
    <w:p w:rsidR="00752036" w:rsidRDefault="00E33DAE" w:rsidP="00F746FC">
      <w:pPr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            A insulina de origem suína é a que menos resulta em reações imunológicas em cães se comparado a bovina ou a mista entre ambas as espécies. Deve se ter em mente que o local de aplicação, atividade física, peso, dosagem e a origem da insulina afetam a ação da insulina (por reduzir ou aumentar a absorção) </w:t>
      </w:r>
      <w:r w:rsidR="00920B8E">
        <w:rPr>
          <w:rFonts w:ascii="Arial" w:hAnsi="Arial" w:cs="Arial"/>
          <w:shd w:val="clear" w:color="auto" w:fill="FFFFFF"/>
        </w:rPr>
        <w:t>e o seu tempo de ação. As insulinas NPH e a PZI encontradas no mercado são a de 100 Unidades Internacionais (</w:t>
      </w:r>
      <w:proofErr w:type="gramStart"/>
      <w:r w:rsidR="00920B8E">
        <w:rPr>
          <w:rFonts w:ascii="Arial" w:hAnsi="Arial" w:cs="Arial"/>
          <w:shd w:val="clear" w:color="auto" w:fill="FFFFFF"/>
        </w:rPr>
        <w:t>U.I.)/</w:t>
      </w:r>
      <w:proofErr w:type="gramEnd"/>
      <w:r w:rsidR="00920B8E">
        <w:rPr>
          <w:rFonts w:ascii="Arial" w:hAnsi="Arial" w:cs="Arial"/>
          <w:shd w:val="clear" w:color="auto" w:fill="FFFFFF"/>
        </w:rPr>
        <w:t xml:space="preserve">ml, por utilizarmos indivíduos pequenos de baixo peso corpóreo, aonde muitas vezes utilizamos de doses extremamente baixas, recomenda-se diluir em solução salina a fim de facilitar administração para os responsáveis. Devendo preparar uma diluição </w:t>
      </w:r>
      <w:r w:rsidR="00920B8E">
        <w:rPr>
          <w:rFonts w:ascii="Arial" w:hAnsi="Arial" w:cs="Arial"/>
          <w:shd w:val="clear" w:color="auto" w:fill="FFFFFF"/>
        </w:rPr>
        <w:lastRenderedPageBreak/>
        <w:t>de 1:10 aonde uma seringa contendo 100 U.I., cheia da mistura, terá 10 U.I. de insulina. Embora muitos farmacologistas, relutem em aceitar a diluição, por ocorre instabilidade de moléculas, a pratica é corriqueira na rotina</w:t>
      </w:r>
      <w:r w:rsidR="00D84441">
        <w:rPr>
          <w:rFonts w:ascii="Arial" w:hAnsi="Arial" w:cs="Arial"/>
          <w:shd w:val="clear" w:color="auto" w:fill="FFFFFF"/>
        </w:rPr>
        <w:t>.</w:t>
      </w:r>
    </w:p>
    <w:p w:rsidR="00FD5E73" w:rsidRDefault="00D84441" w:rsidP="00F746FC">
      <w:pPr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       De forma pratica, na rotina clínica, a terapêutica mais utilizada é a preconizada por Nelson</w:t>
      </w:r>
      <w:r w:rsidR="00FD5E73">
        <w:rPr>
          <w:rFonts w:ascii="Arial" w:hAnsi="Arial" w:cs="Arial"/>
          <w:shd w:val="clear" w:color="auto" w:fill="FFFFFF"/>
        </w:rPr>
        <w:t xml:space="preserve"> &amp; Couto</w:t>
      </w:r>
      <w:r>
        <w:rPr>
          <w:rFonts w:ascii="Arial" w:hAnsi="Arial" w:cs="Arial"/>
          <w:shd w:val="clear" w:color="auto" w:fill="FFFFFF"/>
        </w:rPr>
        <w:t xml:space="preserve"> (1985), aonde em casos de </w:t>
      </w:r>
      <w:proofErr w:type="spellStart"/>
      <w:r>
        <w:rPr>
          <w:rFonts w:ascii="Arial" w:hAnsi="Arial" w:cs="Arial"/>
          <w:shd w:val="clear" w:color="auto" w:fill="FFFFFF"/>
        </w:rPr>
        <w:t>instabilização</w:t>
      </w:r>
      <w:proofErr w:type="spellEnd"/>
      <w:r>
        <w:rPr>
          <w:rFonts w:ascii="Arial" w:hAnsi="Arial" w:cs="Arial"/>
          <w:shd w:val="clear" w:color="auto" w:fill="FFFFFF"/>
        </w:rPr>
        <w:t xml:space="preserve"> ou inicio da insulinoterapia, o animal deve ser hospitalizado, opta-se sempre por iniciar com a insulina NPH, em dose única pela manhã, aonde cães com menos de 15Kg recebem cerca de 1U.I./kg e os cãe</w:t>
      </w:r>
      <w:r w:rsidR="00FD5E73">
        <w:rPr>
          <w:rFonts w:ascii="Arial" w:hAnsi="Arial" w:cs="Arial"/>
          <w:shd w:val="clear" w:color="auto" w:fill="FFFFFF"/>
        </w:rPr>
        <w:t xml:space="preserve">s maiores mais de 15Kg recebem cerca de 0,5 U.I/Kg. Entretanto ele recomenda que se inicie sempre com doses baixas, uma vez que é mais fácil o controle de uma hiperglicemia do que de crises </w:t>
      </w:r>
      <w:proofErr w:type="spellStart"/>
      <w:r w:rsidR="00FD5E73">
        <w:rPr>
          <w:rFonts w:ascii="Arial" w:hAnsi="Arial" w:cs="Arial"/>
          <w:shd w:val="clear" w:color="auto" w:fill="FFFFFF"/>
        </w:rPr>
        <w:t>hipoglicemicas</w:t>
      </w:r>
      <w:proofErr w:type="spellEnd"/>
      <w:r w:rsidR="00FD5E73">
        <w:rPr>
          <w:rFonts w:ascii="Arial" w:hAnsi="Arial" w:cs="Arial"/>
          <w:shd w:val="clear" w:color="auto" w:fill="FFFFFF"/>
        </w:rPr>
        <w:t>.</w:t>
      </w:r>
      <w:r>
        <w:rPr>
          <w:rFonts w:ascii="Arial" w:hAnsi="Arial" w:cs="Arial"/>
          <w:shd w:val="clear" w:color="auto" w:fill="FFFFFF"/>
        </w:rPr>
        <w:t xml:space="preserve"> </w:t>
      </w:r>
    </w:p>
    <w:p w:rsidR="00D84441" w:rsidRDefault="00FD5E73" w:rsidP="00F746FC">
      <w:pPr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        Já iniciado a insulinoterapia estes cães devem receber dietas especificas para seu peso, aonde cães pequenos devem receber cerca de 75 Kcal/Kg de peso ao dia, enquanto os cães maiores cerca de 40 Kcal/Kg/dia, sendo que devem ser administradas de forma dividida, ou seja metade logo após a aplicação de insulina e a outra metade de 6 a 12 horas mais tarde. A resposta dura de 2-4 dias para equilibrar a </w:t>
      </w:r>
      <w:proofErr w:type="spellStart"/>
      <w:r>
        <w:rPr>
          <w:rFonts w:ascii="Arial" w:hAnsi="Arial" w:cs="Arial"/>
          <w:shd w:val="clear" w:color="auto" w:fill="FFFFFF"/>
        </w:rPr>
        <w:t>hoemostase</w:t>
      </w:r>
      <w:proofErr w:type="spellEnd"/>
      <w:r>
        <w:rPr>
          <w:rFonts w:ascii="Arial" w:hAnsi="Arial" w:cs="Arial"/>
          <w:shd w:val="clear" w:color="auto" w:fill="FFFFFF"/>
        </w:rPr>
        <w:t xml:space="preserve"> de glicose, logo após o inicio do tratamento, ou após qualquer mudança de dose ou ajuste da conduta adotada, deve-se utilizar durante a estabilização (hospitalização) a curva glicêmica aonde devem ser medidas a cada 2 horas por 24 horas, aonde os valores devem ser monitorados para a fim de ajuste da dose (</w:t>
      </w:r>
      <w:proofErr w:type="spellStart"/>
      <w:r>
        <w:rPr>
          <w:rFonts w:ascii="Arial" w:hAnsi="Arial" w:cs="Arial"/>
          <w:shd w:val="clear" w:color="auto" w:fill="FFFFFF"/>
        </w:rPr>
        <w:t>sid</w:t>
      </w:r>
      <w:proofErr w:type="spellEnd"/>
      <w:r>
        <w:rPr>
          <w:rFonts w:ascii="Arial" w:hAnsi="Arial" w:cs="Arial"/>
          <w:shd w:val="clear" w:color="auto" w:fill="FFFFFF"/>
        </w:rPr>
        <w:t xml:space="preserve"> ou </w:t>
      </w:r>
      <w:proofErr w:type="spellStart"/>
      <w:r>
        <w:rPr>
          <w:rFonts w:ascii="Arial" w:hAnsi="Arial" w:cs="Arial"/>
          <w:shd w:val="clear" w:color="auto" w:fill="FFFFFF"/>
        </w:rPr>
        <w:t>bid</w:t>
      </w:r>
      <w:proofErr w:type="spellEnd"/>
      <w:r>
        <w:rPr>
          <w:rFonts w:ascii="Arial" w:hAnsi="Arial" w:cs="Arial"/>
          <w:shd w:val="clear" w:color="auto" w:fill="FFFFFF"/>
        </w:rPr>
        <w:t xml:space="preserve">), </w:t>
      </w:r>
      <w:r w:rsidR="009B6FB9">
        <w:rPr>
          <w:rFonts w:ascii="Arial" w:hAnsi="Arial" w:cs="Arial"/>
          <w:shd w:val="clear" w:color="auto" w:fill="FFFFFF"/>
        </w:rPr>
        <w:t>avaliando se os picos ou declínios ocorrem em momentos específicos (prandial, pós prandial, após aplicação antes da aplicação) com este dados em mãos mante-se a manutenção, permitindo-se assim determinar o tempo, o feito em cada paciente. Lembrando que nessa fase poderão ser necessárias alterações na posologia, no tipo de insulina, frequência de administração e formas de alimentação, até se obter um controle desejado, recomendando que se faça essa curva a cada 3 meses ou caso note alterações clinicas.</w:t>
      </w:r>
      <w:r>
        <w:rPr>
          <w:rFonts w:ascii="Arial" w:hAnsi="Arial" w:cs="Arial"/>
          <w:shd w:val="clear" w:color="auto" w:fill="FFFFFF"/>
        </w:rPr>
        <w:t xml:space="preserve">  </w:t>
      </w:r>
      <w:r w:rsidR="00D84441">
        <w:rPr>
          <w:rFonts w:ascii="Arial" w:hAnsi="Arial" w:cs="Arial"/>
          <w:shd w:val="clear" w:color="auto" w:fill="FFFFFF"/>
        </w:rPr>
        <w:t xml:space="preserve"> </w:t>
      </w:r>
    </w:p>
    <w:p w:rsidR="009B6FB9" w:rsidRPr="009B6FB9" w:rsidRDefault="009B6FB9" w:rsidP="009B6FB9">
      <w:pPr>
        <w:pStyle w:val="SemEspaamento"/>
        <w:jc w:val="center"/>
        <w:rPr>
          <w:rFonts w:ascii="Arial Black" w:hAnsi="Arial Black"/>
          <w:b/>
          <w:lang w:val="en-US"/>
        </w:rPr>
      </w:pPr>
      <w:r w:rsidRPr="009B6FB9">
        <w:rPr>
          <w:rFonts w:ascii="Arial" w:hAnsi="Arial" w:cs="Arial"/>
          <w:shd w:val="clear" w:color="auto" w:fill="FFFFFF"/>
          <w:lang w:val="en-US"/>
        </w:rPr>
        <w:t xml:space="preserve">         </w:t>
      </w:r>
      <w:r w:rsidRPr="009B6FB9">
        <w:rPr>
          <w:rFonts w:ascii="Arial Black" w:hAnsi="Arial Black"/>
          <w:b/>
          <w:lang w:val="en-US"/>
        </w:rPr>
        <w:t>REFERÊNCIAS</w:t>
      </w:r>
    </w:p>
    <w:p w:rsidR="009B6FB9" w:rsidRPr="009B6FB9" w:rsidRDefault="009B6FB9" w:rsidP="009B6FB9">
      <w:pPr>
        <w:pStyle w:val="SemEspaamento"/>
        <w:ind w:firstLine="708"/>
        <w:jc w:val="both"/>
        <w:rPr>
          <w:rFonts w:ascii="Arial" w:hAnsi="Arial" w:cs="Arial"/>
        </w:rPr>
      </w:pPr>
      <w:r w:rsidRPr="009B6FB9">
        <w:rPr>
          <w:rFonts w:ascii="Arial" w:hAnsi="Arial" w:cs="Arial"/>
          <w:lang w:val="en-US"/>
        </w:rPr>
        <w:t xml:space="preserve">BOYSEN, S.R. </w:t>
      </w:r>
      <w:r w:rsidRPr="009B6FB9">
        <w:rPr>
          <w:rFonts w:ascii="Arial" w:hAnsi="Arial" w:cs="Arial"/>
          <w:b/>
          <w:i/>
          <w:lang w:val="en-US"/>
        </w:rPr>
        <w:t>Fluid and electrolyte therapy in endocrine disorders: diabetes mellitus and hypoadrenocorticism. Veterinary Clinics of North America</w:t>
      </w:r>
      <w:r w:rsidRPr="009B6FB9">
        <w:rPr>
          <w:rFonts w:ascii="Arial" w:hAnsi="Arial" w:cs="Arial"/>
          <w:lang w:val="en-US"/>
        </w:rPr>
        <w:t xml:space="preserve">: Small Animal Practice, Philadelphia, v.38, p.699-717, 2008. </w:t>
      </w:r>
      <w:r w:rsidRPr="009B6FB9">
        <w:rPr>
          <w:rFonts w:ascii="Arial" w:hAnsi="Arial" w:cs="Arial"/>
        </w:rPr>
        <w:t xml:space="preserve">Disponível em: http://www.vetsmall.theclinics.com/article/S0195-5616(08)00003-X/pdf. Acesso em 15 nov. 2017. </w:t>
      </w:r>
    </w:p>
    <w:p w:rsidR="009B6FB9" w:rsidRPr="009B6FB9" w:rsidRDefault="009B6FB9" w:rsidP="009B6FB9">
      <w:pPr>
        <w:pStyle w:val="SemEspaamento"/>
        <w:ind w:firstLine="708"/>
        <w:jc w:val="both"/>
        <w:rPr>
          <w:rFonts w:ascii="Arial" w:hAnsi="Arial" w:cs="Arial"/>
        </w:rPr>
      </w:pPr>
      <w:r w:rsidRPr="009B6FB9">
        <w:rPr>
          <w:rFonts w:ascii="Arial" w:hAnsi="Arial" w:cs="Arial"/>
        </w:rPr>
        <w:t xml:space="preserve">BIRCHARD, S.J.; SHERDING, R.G. </w:t>
      </w:r>
      <w:r w:rsidRPr="009B6FB9">
        <w:rPr>
          <w:rFonts w:ascii="Arial" w:hAnsi="Arial" w:cs="Arial"/>
          <w:b/>
          <w:i/>
        </w:rPr>
        <w:t>Manual Saunders - Clinica de Pequenos Animais</w:t>
      </w:r>
      <w:r w:rsidRPr="009B6FB9">
        <w:rPr>
          <w:rFonts w:ascii="Arial" w:hAnsi="Arial" w:cs="Arial"/>
          <w:b/>
        </w:rPr>
        <w:t>.</w:t>
      </w:r>
      <w:r w:rsidRPr="009B6FB9">
        <w:rPr>
          <w:rFonts w:ascii="Arial" w:hAnsi="Arial" w:cs="Arial"/>
        </w:rPr>
        <w:t xml:space="preserve"> 3ed. São </w:t>
      </w:r>
      <w:proofErr w:type="spellStart"/>
      <w:r w:rsidRPr="009B6FB9">
        <w:rPr>
          <w:rFonts w:ascii="Arial" w:hAnsi="Arial" w:cs="Arial"/>
        </w:rPr>
        <w:t>Paulo:Roca</w:t>
      </w:r>
      <w:proofErr w:type="spellEnd"/>
      <w:r w:rsidRPr="009B6FB9">
        <w:rPr>
          <w:rFonts w:ascii="Arial" w:hAnsi="Arial" w:cs="Arial"/>
        </w:rPr>
        <w:t>, 2008. 2072p.</w:t>
      </w:r>
    </w:p>
    <w:p w:rsidR="009B6FB9" w:rsidRPr="009B6FB9" w:rsidRDefault="009B6FB9" w:rsidP="009B6FB9">
      <w:pPr>
        <w:pStyle w:val="SemEspaamento"/>
        <w:ind w:firstLine="708"/>
        <w:jc w:val="both"/>
        <w:rPr>
          <w:rFonts w:ascii="Arial" w:hAnsi="Arial" w:cs="Arial"/>
          <w:lang w:val="en-US"/>
        </w:rPr>
      </w:pPr>
      <w:r w:rsidRPr="009B6FB9">
        <w:rPr>
          <w:rFonts w:ascii="Arial" w:hAnsi="Arial" w:cs="Arial"/>
        </w:rPr>
        <w:t xml:space="preserve">BRUYETTE, D.S. </w:t>
      </w:r>
      <w:proofErr w:type="spellStart"/>
      <w:r w:rsidRPr="009B6FB9">
        <w:rPr>
          <w:rFonts w:ascii="Arial" w:hAnsi="Arial" w:cs="Arial"/>
          <w:b/>
          <w:i/>
        </w:rPr>
        <w:t>Diabetic</w:t>
      </w:r>
      <w:proofErr w:type="spellEnd"/>
      <w:r w:rsidRPr="009B6FB9">
        <w:rPr>
          <w:rFonts w:ascii="Arial" w:hAnsi="Arial" w:cs="Arial"/>
          <w:b/>
          <w:i/>
        </w:rPr>
        <w:t xml:space="preserve"> </w:t>
      </w:r>
      <w:proofErr w:type="spellStart"/>
      <w:r w:rsidRPr="009B6FB9">
        <w:rPr>
          <w:rFonts w:ascii="Arial" w:hAnsi="Arial" w:cs="Arial"/>
          <w:b/>
          <w:i/>
        </w:rPr>
        <w:t>ketoacidosis</w:t>
      </w:r>
      <w:proofErr w:type="spellEnd"/>
      <w:r w:rsidRPr="009B6FB9">
        <w:rPr>
          <w:rFonts w:ascii="Arial" w:hAnsi="Arial" w:cs="Arial"/>
          <w:b/>
          <w:i/>
        </w:rPr>
        <w:t xml:space="preserve">. </w:t>
      </w:r>
      <w:r w:rsidRPr="009B6FB9">
        <w:rPr>
          <w:rFonts w:ascii="Arial" w:hAnsi="Arial" w:cs="Arial"/>
          <w:b/>
          <w:i/>
          <w:lang w:val="en-US"/>
        </w:rPr>
        <w:t>Seminars in Veterinary Medicine and Surgery (Small Animal)</w:t>
      </w:r>
      <w:r w:rsidRPr="009B6FB9">
        <w:rPr>
          <w:rFonts w:ascii="Arial" w:hAnsi="Arial" w:cs="Arial"/>
          <w:lang w:val="en-US"/>
        </w:rPr>
        <w:t xml:space="preserve">, Orlando, v.12, n.4, p239-247, 1997. </w:t>
      </w:r>
    </w:p>
    <w:p w:rsidR="009B6FB9" w:rsidRPr="009B6FB9" w:rsidRDefault="009B6FB9" w:rsidP="009B6FB9">
      <w:pPr>
        <w:pStyle w:val="SemEspaamento"/>
        <w:ind w:firstLine="708"/>
        <w:jc w:val="both"/>
        <w:rPr>
          <w:rFonts w:ascii="Arial" w:hAnsi="Arial" w:cs="Arial"/>
          <w:lang w:val="en-US"/>
        </w:rPr>
      </w:pPr>
      <w:r w:rsidRPr="009B6FB9">
        <w:rPr>
          <w:rFonts w:ascii="Arial" w:hAnsi="Arial" w:cs="Arial"/>
        </w:rPr>
        <w:t xml:space="preserve">BUSH, B.M. </w:t>
      </w:r>
      <w:r w:rsidRPr="009B6FB9">
        <w:rPr>
          <w:rFonts w:ascii="Arial" w:hAnsi="Arial" w:cs="Arial"/>
          <w:i/>
        </w:rPr>
        <w:t>Interpretação de resultados laboratoriais para clínicos de pequenos animais</w:t>
      </w:r>
      <w:r w:rsidRPr="009B6FB9">
        <w:rPr>
          <w:rFonts w:ascii="Arial" w:hAnsi="Arial" w:cs="Arial"/>
        </w:rPr>
        <w:t xml:space="preserve">. </w:t>
      </w:r>
      <w:r w:rsidRPr="009B6FB9">
        <w:rPr>
          <w:rFonts w:ascii="Arial" w:hAnsi="Arial" w:cs="Arial"/>
          <w:lang w:val="en-US"/>
        </w:rPr>
        <w:t xml:space="preserve">Roca: São Paulo, 2004. 376p. </w:t>
      </w:r>
    </w:p>
    <w:p w:rsidR="009B6FB9" w:rsidRPr="009B6FB9" w:rsidRDefault="009B6FB9" w:rsidP="009B6FB9">
      <w:pPr>
        <w:pStyle w:val="SemEspaamento"/>
        <w:ind w:firstLine="708"/>
        <w:jc w:val="both"/>
        <w:rPr>
          <w:rFonts w:ascii="Arial" w:hAnsi="Arial" w:cs="Arial"/>
          <w:lang w:val="en-US"/>
        </w:rPr>
      </w:pPr>
      <w:r w:rsidRPr="009B6FB9">
        <w:rPr>
          <w:rFonts w:ascii="Arial" w:hAnsi="Arial" w:cs="Arial"/>
          <w:lang w:val="en-US"/>
        </w:rPr>
        <w:t xml:space="preserve">CHASTAIN, C.B. </w:t>
      </w:r>
      <w:r w:rsidRPr="009B6FB9">
        <w:rPr>
          <w:rFonts w:ascii="Arial" w:hAnsi="Arial" w:cs="Arial"/>
          <w:b/>
          <w:i/>
          <w:lang w:val="en-US"/>
        </w:rPr>
        <w:t>Intensive care of dogs and cats with diabetic ketoacidosis</w:t>
      </w:r>
      <w:r w:rsidRPr="009B6FB9">
        <w:rPr>
          <w:rFonts w:ascii="Arial" w:hAnsi="Arial" w:cs="Arial"/>
          <w:lang w:val="en-US"/>
        </w:rPr>
        <w:t xml:space="preserve">. Journal of the American Veterinary Medical Association, Ithaca, v.170, n.10, p.972-978, 1981. </w:t>
      </w:r>
    </w:p>
    <w:p w:rsidR="009B6FB9" w:rsidRPr="009B6FB9" w:rsidRDefault="009B6FB9" w:rsidP="009B6FB9">
      <w:pPr>
        <w:pStyle w:val="SemEspaamento"/>
        <w:ind w:firstLine="708"/>
        <w:jc w:val="both"/>
        <w:rPr>
          <w:rFonts w:ascii="Arial" w:hAnsi="Arial" w:cs="Arial"/>
        </w:rPr>
      </w:pPr>
      <w:r w:rsidRPr="009B6FB9">
        <w:rPr>
          <w:rFonts w:ascii="Arial" w:hAnsi="Arial" w:cs="Arial"/>
        </w:rPr>
        <w:t xml:space="preserve">DE MARCO, V.E. </w:t>
      </w:r>
      <w:r w:rsidRPr="009B6FB9">
        <w:rPr>
          <w:rFonts w:ascii="Arial" w:hAnsi="Arial" w:cs="Arial"/>
          <w:b/>
          <w:i/>
        </w:rPr>
        <w:t>Diagnóstico de diabetes mellitus na espécie canina e avaliação a longo prazo da terapia insulínica através das concentrações sérica de hemoglobina glicosilada</w:t>
      </w:r>
      <w:r w:rsidRPr="009B6FB9">
        <w:rPr>
          <w:rFonts w:ascii="Arial" w:hAnsi="Arial" w:cs="Arial"/>
          <w:b/>
        </w:rPr>
        <w:t xml:space="preserve">. </w:t>
      </w:r>
      <w:r w:rsidRPr="009B6FB9">
        <w:rPr>
          <w:rFonts w:ascii="Arial" w:hAnsi="Arial" w:cs="Arial"/>
        </w:rPr>
        <w:t xml:space="preserve">Revista de Educação Continuada do CRMV-SP, São Paulo, v.2, p.23- 28, 1999. Disponível em: http://www.hostcentral.com.br/crmv/PDF/v2n2a05.pdf. Acesso em: 15 nov. 2017.  </w:t>
      </w:r>
    </w:p>
    <w:p w:rsidR="009B6FB9" w:rsidRPr="009B6FB9" w:rsidRDefault="009B6FB9" w:rsidP="009B6FB9">
      <w:pPr>
        <w:pStyle w:val="SemEspaamento"/>
        <w:ind w:firstLine="708"/>
        <w:jc w:val="both"/>
        <w:rPr>
          <w:rFonts w:ascii="Arial" w:hAnsi="Arial" w:cs="Arial"/>
        </w:rPr>
      </w:pPr>
      <w:r w:rsidRPr="009B6FB9">
        <w:rPr>
          <w:rFonts w:ascii="Arial" w:hAnsi="Arial" w:cs="Arial"/>
          <w:lang w:val="en-US"/>
        </w:rPr>
        <w:t xml:space="preserve">DUARTE, R. A. </w:t>
      </w:r>
      <w:r w:rsidRPr="009B6FB9">
        <w:rPr>
          <w:rFonts w:ascii="Arial" w:hAnsi="Arial" w:cs="Arial"/>
          <w:b/>
          <w:i/>
          <w:lang w:val="en-US"/>
        </w:rPr>
        <w:t>Accuracy of serum â-hydroxybutyrate managements for the diagnosis of diabetic ketoacidosis in 116 dogs</w:t>
      </w:r>
      <w:r w:rsidRPr="009B6FB9">
        <w:rPr>
          <w:rFonts w:ascii="Arial" w:hAnsi="Arial" w:cs="Arial"/>
          <w:lang w:val="en-US"/>
        </w:rPr>
        <w:t xml:space="preserve">. Journal of veterinary internal medicine, Philadelphia v.166, p.411-417, 2002. </w:t>
      </w:r>
      <w:proofErr w:type="spellStart"/>
      <w:r w:rsidRPr="009B6FB9">
        <w:rPr>
          <w:rFonts w:ascii="Arial" w:hAnsi="Arial" w:cs="Arial"/>
          <w:lang w:val="en-US"/>
        </w:rPr>
        <w:t>Disponível</w:t>
      </w:r>
      <w:proofErr w:type="spellEnd"/>
      <w:r w:rsidRPr="009B6FB9">
        <w:rPr>
          <w:rFonts w:ascii="Arial" w:hAnsi="Arial" w:cs="Arial"/>
          <w:lang w:val="en-US"/>
        </w:rPr>
        <w:t xml:space="preserve"> </w:t>
      </w:r>
      <w:proofErr w:type="spellStart"/>
      <w:r w:rsidRPr="009B6FB9">
        <w:rPr>
          <w:rFonts w:ascii="Arial" w:hAnsi="Arial" w:cs="Arial"/>
          <w:lang w:val="en-US"/>
        </w:rPr>
        <w:t>em</w:t>
      </w:r>
      <w:proofErr w:type="spellEnd"/>
      <w:r w:rsidRPr="009B6FB9">
        <w:rPr>
          <w:rFonts w:ascii="Arial" w:hAnsi="Arial" w:cs="Arial"/>
          <w:lang w:val="en-US"/>
        </w:rPr>
        <w:t xml:space="preserve">: </w:t>
      </w:r>
      <w:hyperlink r:id="rId5" w:history="1">
        <w:r w:rsidRPr="009B6FB9">
          <w:rPr>
            <w:rStyle w:val="Hyperlink"/>
            <w:rFonts w:ascii="Arial" w:hAnsi="Arial" w:cs="Arial"/>
            <w:lang w:val="en-US"/>
          </w:rPr>
          <w:t>http://www.doi.wiley.com/10.111//j1939-1676.2002.tb01258.x</w:t>
        </w:r>
      </w:hyperlink>
      <w:r w:rsidRPr="009B6FB9">
        <w:rPr>
          <w:rFonts w:ascii="Arial" w:hAnsi="Arial" w:cs="Arial"/>
          <w:lang w:val="en-US"/>
        </w:rPr>
        <w:t xml:space="preserve">. </w:t>
      </w:r>
      <w:r w:rsidRPr="009B6FB9">
        <w:rPr>
          <w:rFonts w:ascii="Arial" w:hAnsi="Arial" w:cs="Arial"/>
        </w:rPr>
        <w:t xml:space="preserve">Acesso em: 15 nov. 2017. </w:t>
      </w:r>
    </w:p>
    <w:p w:rsidR="009B6FB9" w:rsidRPr="009B6FB9" w:rsidRDefault="009B6FB9" w:rsidP="009B6FB9">
      <w:pPr>
        <w:pStyle w:val="SemEspaamento"/>
        <w:ind w:firstLine="708"/>
        <w:jc w:val="both"/>
        <w:rPr>
          <w:rFonts w:ascii="Arial" w:hAnsi="Arial" w:cs="Arial"/>
          <w:lang w:val="en-US"/>
        </w:rPr>
      </w:pPr>
      <w:r w:rsidRPr="009B6FB9">
        <w:rPr>
          <w:rFonts w:ascii="Arial" w:hAnsi="Arial" w:cs="Arial"/>
        </w:rPr>
        <w:lastRenderedPageBreak/>
        <w:t xml:space="preserve">FELDMAN, E.C.; NELSON, R.W. </w:t>
      </w:r>
      <w:proofErr w:type="spellStart"/>
      <w:r w:rsidRPr="009B6FB9">
        <w:rPr>
          <w:rFonts w:ascii="Arial" w:hAnsi="Arial" w:cs="Arial"/>
          <w:b/>
          <w:i/>
        </w:rPr>
        <w:t>Diabetic</w:t>
      </w:r>
      <w:proofErr w:type="spellEnd"/>
      <w:r w:rsidRPr="009B6FB9">
        <w:rPr>
          <w:rFonts w:ascii="Arial" w:hAnsi="Arial" w:cs="Arial"/>
          <w:b/>
          <w:i/>
        </w:rPr>
        <w:t xml:space="preserve"> </w:t>
      </w:r>
      <w:proofErr w:type="spellStart"/>
      <w:r w:rsidRPr="009B6FB9">
        <w:rPr>
          <w:rFonts w:ascii="Arial" w:hAnsi="Arial" w:cs="Arial"/>
          <w:b/>
          <w:i/>
        </w:rPr>
        <w:t>ketoacidosis</w:t>
      </w:r>
      <w:proofErr w:type="spellEnd"/>
      <w:r w:rsidRPr="009B6FB9">
        <w:rPr>
          <w:rFonts w:ascii="Arial" w:hAnsi="Arial" w:cs="Arial"/>
          <w:b/>
          <w:i/>
        </w:rPr>
        <w:t xml:space="preserve">. </w:t>
      </w:r>
      <w:r w:rsidRPr="009B6FB9">
        <w:rPr>
          <w:rFonts w:ascii="Arial" w:hAnsi="Arial" w:cs="Arial"/>
          <w:b/>
          <w:i/>
          <w:lang w:val="en-US"/>
        </w:rPr>
        <w:t>In: Canine and feline endocrinology and reproduction</w:t>
      </w:r>
      <w:r w:rsidRPr="009B6FB9">
        <w:rPr>
          <w:rFonts w:ascii="Arial" w:hAnsi="Arial" w:cs="Arial"/>
          <w:lang w:val="en-US"/>
        </w:rPr>
        <w:t xml:space="preserve">. 2.ed. Philadelphia: Saunders, 1996. p.392- 421. </w:t>
      </w:r>
    </w:p>
    <w:p w:rsidR="009B6FB9" w:rsidRPr="009B6FB9" w:rsidRDefault="009B6FB9" w:rsidP="009B6FB9">
      <w:pPr>
        <w:pStyle w:val="NormalWeb"/>
        <w:shd w:val="clear" w:color="auto" w:fill="FFFFFF"/>
        <w:spacing w:before="0" w:beforeAutospacing="0" w:after="135" w:afterAutospacing="0" w:line="345" w:lineRule="atLeast"/>
        <w:jc w:val="both"/>
        <w:rPr>
          <w:rFonts w:ascii="Arial" w:hAnsi="Arial" w:cs="Arial"/>
          <w:sz w:val="22"/>
          <w:szCs w:val="22"/>
          <w:lang w:val="en-US"/>
        </w:rPr>
      </w:pPr>
      <w:r w:rsidRPr="009B6FB9">
        <w:rPr>
          <w:rFonts w:ascii="Arial" w:hAnsi="Arial" w:cs="Arial"/>
          <w:color w:val="333333"/>
          <w:sz w:val="22"/>
          <w:szCs w:val="22"/>
        </w:rPr>
        <w:t xml:space="preserve">           </w:t>
      </w:r>
      <w:r w:rsidRPr="009B6FB9">
        <w:rPr>
          <w:rFonts w:ascii="Arial" w:hAnsi="Arial" w:cs="Arial"/>
          <w:color w:val="333333"/>
          <w:sz w:val="22"/>
          <w:szCs w:val="22"/>
        </w:rPr>
        <w:t>SILVA, L.B. </w:t>
      </w:r>
      <w:r w:rsidRPr="009B6FB9">
        <w:rPr>
          <w:rStyle w:val="nfase"/>
          <w:rFonts w:ascii="Arial" w:hAnsi="Arial" w:cs="Arial"/>
          <w:b/>
          <w:bCs/>
          <w:color w:val="333333"/>
          <w:sz w:val="22"/>
          <w:szCs w:val="22"/>
        </w:rPr>
        <w:t>Cetoacidose diabética canina. </w:t>
      </w:r>
      <w:r w:rsidRPr="009B6FB9">
        <w:rPr>
          <w:rFonts w:ascii="Arial" w:hAnsi="Arial" w:cs="Arial"/>
          <w:color w:val="333333"/>
          <w:sz w:val="22"/>
          <w:szCs w:val="22"/>
        </w:rPr>
        <w:t>São Paulo</w:t>
      </w:r>
      <w:r w:rsidRPr="009B6FB9">
        <w:rPr>
          <w:rStyle w:val="nfase"/>
          <w:rFonts w:ascii="Arial" w:hAnsi="Arial" w:cs="Arial"/>
          <w:b/>
          <w:bCs/>
          <w:color w:val="333333"/>
          <w:sz w:val="22"/>
          <w:szCs w:val="22"/>
        </w:rPr>
        <w:t>, </w:t>
      </w:r>
      <w:r w:rsidRPr="009B6FB9">
        <w:rPr>
          <w:rFonts w:ascii="Arial" w:hAnsi="Arial" w:cs="Arial"/>
          <w:color w:val="333333"/>
          <w:sz w:val="22"/>
          <w:szCs w:val="22"/>
        </w:rPr>
        <w:t>2017. Disponível em: </w:t>
      </w:r>
      <w:hyperlink r:id="rId6" w:history="1">
        <w:r w:rsidRPr="009B6FB9">
          <w:rPr>
            <w:rStyle w:val="Hyperlink"/>
            <w:rFonts w:ascii="Arial" w:hAnsi="Arial" w:cs="Arial"/>
            <w:b/>
            <w:bCs/>
            <w:color w:val="345D9F"/>
            <w:sz w:val="22"/>
            <w:szCs w:val="22"/>
          </w:rPr>
          <w:t>www.webartigos.com/artigos/cetoacidose-diabetica-canina/155499</w:t>
        </w:r>
      </w:hyperlink>
      <w:r w:rsidRPr="009B6FB9">
        <w:rPr>
          <w:rFonts w:ascii="Arial" w:hAnsi="Arial" w:cs="Arial"/>
          <w:color w:val="333333"/>
          <w:sz w:val="22"/>
          <w:szCs w:val="22"/>
        </w:rPr>
        <w:t>. Acesso em 02 Mar. 2018</w:t>
      </w:r>
    </w:p>
    <w:p w:rsidR="009B6FB9" w:rsidRPr="009B6FB9" w:rsidRDefault="009B6FB9" w:rsidP="009B6FB9">
      <w:pPr>
        <w:pStyle w:val="SemEspaamento"/>
        <w:ind w:firstLine="708"/>
        <w:jc w:val="both"/>
        <w:rPr>
          <w:rFonts w:ascii="Arial" w:hAnsi="Arial" w:cs="Arial"/>
          <w:lang w:val="en-US"/>
        </w:rPr>
      </w:pPr>
      <w:r w:rsidRPr="009B6FB9">
        <w:rPr>
          <w:rFonts w:ascii="Arial" w:hAnsi="Arial" w:cs="Arial"/>
          <w:lang w:val="en-US"/>
        </w:rPr>
        <w:t xml:space="preserve">MACINTIRE, D.K. </w:t>
      </w:r>
      <w:r w:rsidRPr="009B6FB9">
        <w:rPr>
          <w:rFonts w:ascii="Arial" w:hAnsi="Arial" w:cs="Arial"/>
          <w:b/>
          <w:i/>
          <w:lang w:val="en-US"/>
        </w:rPr>
        <w:t>Treatment of diabetic ketoacidosis in dog by continuous low-dose intravenous infusion of insulin</w:t>
      </w:r>
      <w:r w:rsidRPr="009B6FB9">
        <w:rPr>
          <w:rFonts w:ascii="Arial" w:hAnsi="Arial" w:cs="Arial"/>
          <w:lang w:val="en-US"/>
        </w:rPr>
        <w:t>. Journal of the American Veterinary Medical Association, Ithaca, v.202, n.8, p.1266-1272, 1993.</w:t>
      </w:r>
    </w:p>
    <w:p w:rsidR="009B6FB9" w:rsidRPr="009B6FB9" w:rsidRDefault="009B6FB9" w:rsidP="009B6FB9">
      <w:pPr>
        <w:pStyle w:val="SemEspaamento"/>
        <w:ind w:firstLine="708"/>
        <w:jc w:val="both"/>
        <w:rPr>
          <w:rFonts w:ascii="Arial" w:hAnsi="Arial" w:cs="Arial"/>
          <w:lang w:val="en-US"/>
        </w:rPr>
      </w:pPr>
      <w:r w:rsidRPr="009B6FB9">
        <w:rPr>
          <w:rFonts w:ascii="Arial" w:hAnsi="Arial" w:cs="Arial"/>
          <w:lang w:val="en-US"/>
        </w:rPr>
        <w:t xml:space="preserve"> </w:t>
      </w:r>
      <w:r w:rsidRPr="009B6FB9">
        <w:rPr>
          <w:rFonts w:ascii="Arial" w:hAnsi="Arial" w:cs="Arial"/>
        </w:rPr>
        <w:t xml:space="preserve">NELSON, R.W.; COUTO, C.G. </w:t>
      </w:r>
      <w:r w:rsidRPr="009B6FB9">
        <w:rPr>
          <w:rFonts w:ascii="Arial" w:hAnsi="Arial" w:cs="Arial"/>
          <w:b/>
          <w:i/>
        </w:rPr>
        <w:t>Medicina interna de pequenos animais</w:t>
      </w:r>
      <w:r w:rsidRPr="009B6FB9">
        <w:rPr>
          <w:rFonts w:ascii="Arial" w:hAnsi="Arial" w:cs="Arial"/>
        </w:rPr>
        <w:t xml:space="preserve">. </w:t>
      </w:r>
      <w:r w:rsidRPr="009B6FB9">
        <w:rPr>
          <w:rFonts w:ascii="Arial" w:hAnsi="Arial" w:cs="Arial"/>
          <w:lang w:val="en-US"/>
        </w:rPr>
        <w:t xml:space="preserve">3.ed. Rio de Janeiro: Guanabara </w:t>
      </w:r>
      <w:proofErr w:type="spellStart"/>
      <w:r w:rsidRPr="009B6FB9">
        <w:rPr>
          <w:rFonts w:ascii="Arial" w:hAnsi="Arial" w:cs="Arial"/>
          <w:lang w:val="en-US"/>
        </w:rPr>
        <w:t>Koogan</w:t>
      </w:r>
      <w:proofErr w:type="spellEnd"/>
      <w:r w:rsidRPr="009B6FB9">
        <w:rPr>
          <w:rFonts w:ascii="Arial" w:hAnsi="Arial" w:cs="Arial"/>
          <w:lang w:val="en-US"/>
        </w:rPr>
        <w:t xml:space="preserve">, 2006. p.701-743. </w:t>
      </w:r>
    </w:p>
    <w:p w:rsidR="009B6FB9" w:rsidRPr="009B6FB9" w:rsidRDefault="009B6FB9" w:rsidP="009B6FB9">
      <w:pPr>
        <w:pStyle w:val="SemEspaamento"/>
        <w:ind w:firstLine="708"/>
        <w:jc w:val="both"/>
        <w:rPr>
          <w:rFonts w:ascii="Arial" w:hAnsi="Arial" w:cs="Arial"/>
        </w:rPr>
      </w:pPr>
      <w:r w:rsidRPr="009B6FB9">
        <w:rPr>
          <w:rFonts w:ascii="Arial" w:hAnsi="Arial" w:cs="Arial"/>
          <w:lang w:val="en-US"/>
        </w:rPr>
        <w:t xml:space="preserve">PINEDA, M.H.; DOOLEY, M.P. </w:t>
      </w:r>
      <w:r w:rsidRPr="009B6FB9">
        <w:rPr>
          <w:rFonts w:ascii="Arial" w:hAnsi="Arial" w:cs="Arial"/>
          <w:b/>
          <w:i/>
          <w:lang w:val="en-US"/>
        </w:rPr>
        <w:t>McDonald´s veterinary endocrinology and reproduction</w:t>
      </w:r>
      <w:r w:rsidRPr="009B6FB9">
        <w:rPr>
          <w:rFonts w:ascii="Arial" w:hAnsi="Arial" w:cs="Arial"/>
          <w:lang w:val="en-US"/>
        </w:rPr>
        <w:t xml:space="preserve">. 5.ed. Iowa: Blackwell, 2003. </w:t>
      </w:r>
      <w:r w:rsidRPr="009B6FB9">
        <w:rPr>
          <w:rFonts w:ascii="Arial" w:hAnsi="Arial" w:cs="Arial"/>
        </w:rPr>
        <w:t>556p.</w:t>
      </w:r>
    </w:p>
    <w:p w:rsidR="009B6FB9" w:rsidRPr="009B6FB9" w:rsidRDefault="009B6FB9" w:rsidP="009B6FB9">
      <w:pPr>
        <w:pStyle w:val="SemEspaamento"/>
        <w:ind w:firstLine="708"/>
        <w:jc w:val="both"/>
        <w:rPr>
          <w:rFonts w:ascii="Arial" w:hAnsi="Arial" w:cs="Arial"/>
          <w:lang w:val="en-US"/>
        </w:rPr>
      </w:pPr>
      <w:r w:rsidRPr="009B6FB9">
        <w:rPr>
          <w:rFonts w:ascii="Arial" w:hAnsi="Arial" w:cs="Arial"/>
        </w:rPr>
        <w:t xml:space="preserve">PÖPPL, A.G.; GONZÁLEZ, F.H.D. </w:t>
      </w:r>
      <w:r w:rsidRPr="009B6FB9">
        <w:rPr>
          <w:rFonts w:ascii="Arial" w:hAnsi="Arial" w:cs="Arial"/>
          <w:b/>
          <w:i/>
        </w:rPr>
        <w:t>Aspectos epidemiológicos e clínico-laboratoriais da diabetes mellitus em cães</w:t>
      </w:r>
      <w:r w:rsidRPr="009B6FB9">
        <w:rPr>
          <w:rFonts w:ascii="Arial" w:hAnsi="Arial" w:cs="Arial"/>
        </w:rPr>
        <w:t xml:space="preserve">. Acta </w:t>
      </w:r>
      <w:proofErr w:type="spellStart"/>
      <w:r w:rsidRPr="009B6FB9">
        <w:rPr>
          <w:rFonts w:ascii="Arial" w:hAnsi="Arial" w:cs="Arial"/>
        </w:rPr>
        <w:t>Scientiae</w:t>
      </w:r>
      <w:proofErr w:type="spellEnd"/>
      <w:r w:rsidRPr="009B6FB9">
        <w:rPr>
          <w:rFonts w:ascii="Arial" w:hAnsi="Arial" w:cs="Arial"/>
        </w:rPr>
        <w:t xml:space="preserve"> </w:t>
      </w:r>
      <w:proofErr w:type="spellStart"/>
      <w:r w:rsidRPr="009B6FB9">
        <w:rPr>
          <w:rFonts w:ascii="Arial" w:hAnsi="Arial" w:cs="Arial"/>
        </w:rPr>
        <w:t>Veterinariae</w:t>
      </w:r>
      <w:proofErr w:type="spellEnd"/>
      <w:r w:rsidRPr="009B6FB9">
        <w:rPr>
          <w:rFonts w:ascii="Arial" w:hAnsi="Arial" w:cs="Arial"/>
        </w:rPr>
        <w:t xml:space="preserve">, Porto Alegre, v.33, n.1, p.33-40, 2005. Disponível em: </w:t>
      </w:r>
      <w:proofErr w:type="gramStart"/>
      <w:r w:rsidRPr="009B6FB9">
        <w:rPr>
          <w:rFonts w:ascii="Arial" w:hAnsi="Arial" w:cs="Arial"/>
        </w:rPr>
        <w:t>http://www.ufrgs.br/actavet/33-1/artigo605.pdf .</w:t>
      </w:r>
      <w:proofErr w:type="gramEnd"/>
      <w:r w:rsidRPr="009B6FB9">
        <w:rPr>
          <w:rFonts w:ascii="Arial" w:hAnsi="Arial" w:cs="Arial"/>
        </w:rPr>
        <w:t xml:space="preserve"> </w:t>
      </w:r>
      <w:proofErr w:type="spellStart"/>
      <w:r w:rsidRPr="009B6FB9">
        <w:rPr>
          <w:rFonts w:ascii="Arial" w:hAnsi="Arial" w:cs="Arial"/>
          <w:lang w:val="en-US"/>
        </w:rPr>
        <w:t>Acesso</w:t>
      </w:r>
      <w:proofErr w:type="spellEnd"/>
      <w:r w:rsidRPr="009B6FB9">
        <w:rPr>
          <w:rFonts w:ascii="Arial" w:hAnsi="Arial" w:cs="Arial"/>
          <w:lang w:val="en-US"/>
        </w:rPr>
        <w:t xml:space="preserve"> </w:t>
      </w:r>
      <w:proofErr w:type="spellStart"/>
      <w:r w:rsidRPr="009B6FB9">
        <w:rPr>
          <w:rFonts w:ascii="Arial" w:hAnsi="Arial" w:cs="Arial"/>
          <w:lang w:val="en-US"/>
        </w:rPr>
        <w:t>em</w:t>
      </w:r>
      <w:proofErr w:type="spellEnd"/>
      <w:r w:rsidRPr="009B6FB9">
        <w:rPr>
          <w:rFonts w:ascii="Arial" w:hAnsi="Arial" w:cs="Arial"/>
          <w:lang w:val="en-US"/>
        </w:rPr>
        <w:t xml:space="preserve">: 15 </w:t>
      </w:r>
      <w:proofErr w:type="spellStart"/>
      <w:r w:rsidRPr="009B6FB9">
        <w:rPr>
          <w:rFonts w:ascii="Arial" w:hAnsi="Arial" w:cs="Arial"/>
          <w:lang w:val="en-US"/>
        </w:rPr>
        <w:t>nov.</w:t>
      </w:r>
      <w:proofErr w:type="spellEnd"/>
      <w:r w:rsidRPr="009B6FB9">
        <w:rPr>
          <w:rFonts w:ascii="Arial" w:hAnsi="Arial" w:cs="Arial"/>
          <w:lang w:val="en-US"/>
        </w:rPr>
        <w:t xml:space="preserve"> 2017.</w:t>
      </w:r>
    </w:p>
    <w:p w:rsidR="009B6FB9" w:rsidRPr="009B6FB9" w:rsidRDefault="009B6FB9" w:rsidP="009B6FB9">
      <w:pPr>
        <w:pStyle w:val="SemEspaamento"/>
        <w:ind w:firstLine="708"/>
        <w:jc w:val="both"/>
        <w:rPr>
          <w:rFonts w:ascii="Arial" w:hAnsi="Arial" w:cs="Arial"/>
        </w:rPr>
      </w:pPr>
      <w:r w:rsidRPr="009B6FB9">
        <w:rPr>
          <w:rFonts w:ascii="Arial" w:hAnsi="Arial" w:cs="Arial"/>
          <w:lang w:val="en-US"/>
        </w:rPr>
        <w:t xml:space="preserve"> DI TOMMASO, M. et al. </w:t>
      </w:r>
      <w:r w:rsidRPr="009B6FB9">
        <w:rPr>
          <w:rFonts w:ascii="Arial" w:hAnsi="Arial" w:cs="Arial"/>
          <w:b/>
          <w:i/>
          <w:lang w:val="en-US"/>
        </w:rPr>
        <w:t>Evaluation of a portable meter to measure ketonemia and comparison with ketonuria for the diagnosis of canine diabetic ketoacidosis</w:t>
      </w:r>
      <w:r w:rsidRPr="009B6FB9">
        <w:rPr>
          <w:rFonts w:ascii="Arial" w:hAnsi="Arial" w:cs="Arial"/>
          <w:lang w:val="en-US"/>
        </w:rPr>
        <w:t xml:space="preserve">. Journal of veterinary internal medicine, Philadelphia, v.23, p.466-471, 2009. </w:t>
      </w:r>
      <w:proofErr w:type="spellStart"/>
      <w:r w:rsidRPr="009B6FB9">
        <w:rPr>
          <w:rFonts w:ascii="Arial" w:hAnsi="Arial" w:cs="Arial"/>
          <w:lang w:val="en-US"/>
        </w:rPr>
        <w:t>Disponível</w:t>
      </w:r>
      <w:proofErr w:type="spellEnd"/>
      <w:r w:rsidRPr="009B6FB9">
        <w:rPr>
          <w:rFonts w:ascii="Arial" w:hAnsi="Arial" w:cs="Arial"/>
          <w:lang w:val="en-US"/>
        </w:rPr>
        <w:t xml:space="preserve"> </w:t>
      </w:r>
      <w:proofErr w:type="spellStart"/>
      <w:r w:rsidRPr="009B6FB9">
        <w:rPr>
          <w:rFonts w:ascii="Arial" w:hAnsi="Arial" w:cs="Arial"/>
          <w:lang w:val="en-US"/>
        </w:rPr>
        <w:t>em</w:t>
      </w:r>
      <w:proofErr w:type="spellEnd"/>
      <w:r w:rsidRPr="009B6FB9">
        <w:rPr>
          <w:rFonts w:ascii="Arial" w:hAnsi="Arial" w:cs="Arial"/>
          <w:lang w:val="en-US"/>
        </w:rPr>
        <w:t xml:space="preserve">: </w:t>
      </w:r>
      <w:hyperlink r:id="rId7" w:history="1">
        <w:r w:rsidRPr="009B6FB9">
          <w:rPr>
            <w:rStyle w:val="Hyperlink"/>
            <w:rFonts w:ascii="Arial" w:hAnsi="Arial" w:cs="Arial"/>
            <w:lang w:val="en-US"/>
          </w:rPr>
          <w:t>http://www3.interscie.willey.com/cgi-bin/fulltext/12232398/PDFSTART</w:t>
        </w:r>
      </w:hyperlink>
      <w:r w:rsidRPr="009B6FB9">
        <w:rPr>
          <w:rFonts w:ascii="Arial" w:hAnsi="Arial" w:cs="Arial"/>
          <w:lang w:val="en-US"/>
        </w:rPr>
        <w:t xml:space="preserve">. </w:t>
      </w:r>
      <w:r w:rsidRPr="009B6FB9">
        <w:rPr>
          <w:rFonts w:ascii="Arial" w:hAnsi="Arial" w:cs="Arial"/>
        </w:rPr>
        <w:t xml:space="preserve">Acesso em: 15 nov. 2015. </w:t>
      </w:r>
    </w:p>
    <w:p w:rsidR="00E33DAE" w:rsidRPr="009B6FB9" w:rsidRDefault="00E33DAE" w:rsidP="00F746FC">
      <w:pPr>
        <w:jc w:val="both"/>
        <w:rPr>
          <w:rFonts w:ascii="Arial" w:hAnsi="Arial" w:cs="Arial"/>
          <w:shd w:val="clear" w:color="auto" w:fill="FFFFFF"/>
        </w:rPr>
      </w:pPr>
    </w:p>
    <w:sectPr w:rsidR="00E33DAE" w:rsidRPr="009B6FB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6FC"/>
    <w:rsid w:val="005920A0"/>
    <w:rsid w:val="00752036"/>
    <w:rsid w:val="008A163A"/>
    <w:rsid w:val="00920B8E"/>
    <w:rsid w:val="009B6FB9"/>
    <w:rsid w:val="00A97A82"/>
    <w:rsid w:val="00D84441"/>
    <w:rsid w:val="00E33DAE"/>
    <w:rsid w:val="00F746FC"/>
    <w:rsid w:val="00FD5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FC00C"/>
  <w15:chartTrackingRefBased/>
  <w15:docId w15:val="{944247ED-082D-411B-9D33-4EC94F982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74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746FC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F746FC"/>
    <w:rPr>
      <w:color w:val="0000FF"/>
      <w:u w:val="single"/>
    </w:rPr>
  </w:style>
  <w:style w:type="paragraph" w:styleId="SemEspaamento">
    <w:name w:val="No Spacing"/>
    <w:uiPriority w:val="1"/>
    <w:qFormat/>
    <w:rsid w:val="009B6FB9"/>
    <w:pPr>
      <w:spacing w:after="0" w:line="240" w:lineRule="auto"/>
    </w:pPr>
    <w:rPr>
      <w:rFonts w:ascii="Calibri" w:eastAsia="Calibri" w:hAnsi="Calibri" w:cs="Times New Roman"/>
    </w:rPr>
  </w:style>
  <w:style w:type="character" w:styleId="nfase">
    <w:name w:val="Emphasis"/>
    <w:basedOn w:val="Fontepargpadro"/>
    <w:uiPriority w:val="20"/>
    <w:qFormat/>
    <w:rsid w:val="009B6F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22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3.interscie.willey.com/cgi-bin/fulltext/12232398/PDFSTAR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ebartigos.com/artigos/cetoacidose-diabetica-canina/155499" TargetMode="External"/><Relationship Id="rId5" Type="http://schemas.openxmlformats.org/officeDocument/2006/relationships/hyperlink" Target="http://www.doi.wiley.com/10.111//j1939-1676.2002.tb01258.x" TargetMode="External"/><Relationship Id="rId4" Type="http://schemas.openxmlformats.org/officeDocument/2006/relationships/hyperlink" Target="mailto:lucasalfenas2003@yahoo.com.br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1343</Words>
  <Characters>7257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 grassi primes</dc:creator>
  <cp:keywords/>
  <dc:description/>
  <cp:lastModifiedBy>wilson grassi primes</cp:lastModifiedBy>
  <cp:revision>1</cp:revision>
  <dcterms:created xsi:type="dcterms:W3CDTF">2019-08-15T02:05:00Z</dcterms:created>
  <dcterms:modified xsi:type="dcterms:W3CDTF">2019-08-15T04:03:00Z</dcterms:modified>
</cp:coreProperties>
</file>