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2B46" w14:textId="0875E62C" w:rsidR="00F82FDC" w:rsidRDefault="00F82FDC" w:rsidP="00F82FDC">
      <w:pPr>
        <w:spacing w:after="0" w:line="360" w:lineRule="auto"/>
        <w:jc w:val="center"/>
        <w:rPr>
          <w:rFonts w:ascii="Times New Roman" w:hAnsi="Times New Roman" w:cs="Times New Roman"/>
          <w:b/>
          <w:sz w:val="24"/>
          <w:szCs w:val="24"/>
        </w:rPr>
      </w:pPr>
      <w:r w:rsidRPr="00F82FDC">
        <w:rPr>
          <w:rFonts w:ascii="Times New Roman" w:hAnsi="Times New Roman" w:cs="Times New Roman"/>
          <w:b/>
          <w:sz w:val="24"/>
          <w:szCs w:val="24"/>
        </w:rPr>
        <w:t>Os limites constitucionais da atipicidade dos Meios Executivos na efetivação das decisões que reconhecem o dever de pagar quantia certa no Código de Processo Civil.</w:t>
      </w:r>
      <w:r w:rsidRPr="00F82FDC">
        <w:rPr>
          <w:rStyle w:val="Refdenotaderodap"/>
          <w:rFonts w:ascii="Times New Roman" w:hAnsi="Times New Roman" w:cs="Times New Roman"/>
          <w:b/>
          <w:sz w:val="20"/>
          <w:szCs w:val="20"/>
        </w:rPr>
        <w:footnoteReference w:id="1"/>
      </w:r>
    </w:p>
    <w:p w14:paraId="4C852B47" w14:textId="77777777" w:rsidR="00F82FDC" w:rsidRPr="00F82FDC" w:rsidRDefault="00F82FDC" w:rsidP="00F82FDC">
      <w:pPr>
        <w:spacing w:after="0" w:line="360" w:lineRule="auto"/>
        <w:jc w:val="center"/>
        <w:rPr>
          <w:rFonts w:ascii="Times New Roman" w:hAnsi="Times New Roman" w:cs="Times New Roman"/>
          <w:sz w:val="24"/>
          <w:szCs w:val="24"/>
        </w:rPr>
      </w:pPr>
    </w:p>
    <w:p w14:paraId="4C852B48" w14:textId="23705E6D" w:rsidR="00F82FDC" w:rsidRPr="001A0541" w:rsidRDefault="00F82FDC" w:rsidP="00F82FDC">
      <w:pPr>
        <w:spacing w:after="0" w:line="360" w:lineRule="auto"/>
        <w:jc w:val="right"/>
        <w:rPr>
          <w:rFonts w:ascii="Times New Roman" w:hAnsi="Times New Roman" w:cs="Times New Roman"/>
          <w:sz w:val="24"/>
          <w:szCs w:val="24"/>
          <w:vertAlign w:val="superscript"/>
        </w:rPr>
      </w:pPr>
      <w:r>
        <w:rPr>
          <w:rFonts w:ascii="Times New Roman" w:hAnsi="Times New Roman" w:cs="Times New Roman"/>
          <w:sz w:val="24"/>
          <w:szCs w:val="24"/>
        </w:rPr>
        <w:t>Jéssica Carolina Cardoso Bittencourt Moraes</w:t>
      </w:r>
      <w:r w:rsidR="001876A3">
        <w:rPr>
          <w:rStyle w:val="Refdenotaderodap"/>
          <w:rFonts w:ascii="Times New Roman" w:hAnsi="Times New Roman" w:cs="Times New Roman"/>
          <w:sz w:val="24"/>
          <w:szCs w:val="24"/>
        </w:rPr>
        <w:footnoteReference w:id="2"/>
      </w:r>
    </w:p>
    <w:p w14:paraId="4C852B4C" w14:textId="77777777" w:rsidR="001A0541" w:rsidRDefault="001A0541" w:rsidP="00F82FDC">
      <w:pPr>
        <w:spacing w:after="0" w:line="360" w:lineRule="auto"/>
        <w:jc w:val="right"/>
        <w:rPr>
          <w:rFonts w:ascii="Times New Roman" w:hAnsi="Times New Roman" w:cs="Times New Roman"/>
          <w:sz w:val="24"/>
          <w:szCs w:val="24"/>
        </w:rPr>
      </w:pPr>
    </w:p>
    <w:p w14:paraId="4C852B4D" w14:textId="77777777" w:rsidR="001A0541" w:rsidRDefault="001A0541" w:rsidP="001A0541">
      <w:pPr>
        <w:spacing w:after="0" w:line="360" w:lineRule="auto"/>
        <w:jc w:val="center"/>
        <w:rPr>
          <w:rFonts w:ascii="Times New Roman" w:hAnsi="Times New Roman" w:cs="Times New Roman"/>
          <w:b/>
          <w:sz w:val="24"/>
          <w:szCs w:val="24"/>
        </w:rPr>
      </w:pPr>
      <w:r w:rsidRPr="001A0541">
        <w:rPr>
          <w:rFonts w:ascii="Times New Roman" w:hAnsi="Times New Roman" w:cs="Times New Roman"/>
          <w:b/>
          <w:sz w:val="24"/>
          <w:szCs w:val="24"/>
        </w:rPr>
        <w:t>RESUMO</w:t>
      </w:r>
    </w:p>
    <w:p w14:paraId="4C852B4E" w14:textId="77777777" w:rsidR="00115009" w:rsidRDefault="00115009" w:rsidP="001A0541">
      <w:pPr>
        <w:spacing w:after="0" w:line="360" w:lineRule="auto"/>
        <w:jc w:val="center"/>
        <w:rPr>
          <w:rFonts w:ascii="Times New Roman" w:hAnsi="Times New Roman" w:cs="Times New Roman"/>
          <w:sz w:val="24"/>
          <w:szCs w:val="24"/>
        </w:rPr>
      </w:pPr>
    </w:p>
    <w:p w14:paraId="4C852B4F" w14:textId="77777777" w:rsidR="00115009" w:rsidRDefault="005B5A74" w:rsidP="001150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É possível que a autoridade judicial escolha meios executivos atípicos em busca da efetivação das decisões judiciais. Por serem atípicos, a definição de qual meio será escolhido para este fim recai na criatividade da autoridade judicial que é responsável por designar o mais adequado. Isso levanta questionamentos sobre os limites que recaem sobre essa </w:t>
      </w:r>
      <w:r w:rsidR="00790B78">
        <w:rPr>
          <w:rFonts w:ascii="Times New Roman" w:hAnsi="Times New Roman" w:cs="Times New Roman"/>
          <w:sz w:val="24"/>
          <w:szCs w:val="24"/>
        </w:rPr>
        <w:t>possibilidade de se utilizar de meios executivos atípicos. Diante dessas considerações, foi necessário definir referenciais teóricos que permitam o estudo objetivo dessas questões a fim de buscar a compreensão deste tema e respostas à problemática discutida. Assim, primeiramente é preciso descrever a história que resultou nos meios atípicos que são eficazes para a cobrança de títulos executivos judiciais. Após isso, analisar as características e as situações que se pode aplicar uma medida atípica para a execução de um título judicial. Por fim, explicar os limites constitucionais da execução através dos meios atípicos.</w:t>
      </w:r>
    </w:p>
    <w:p w14:paraId="4C852B50" w14:textId="77777777" w:rsidR="00115009" w:rsidRPr="00115009" w:rsidRDefault="00115009" w:rsidP="001A0541">
      <w:pPr>
        <w:spacing w:after="0" w:line="360" w:lineRule="auto"/>
        <w:jc w:val="center"/>
        <w:rPr>
          <w:rFonts w:ascii="Times New Roman" w:hAnsi="Times New Roman" w:cs="Times New Roman"/>
          <w:sz w:val="24"/>
          <w:szCs w:val="24"/>
        </w:rPr>
      </w:pPr>
    </w:p>
    <w:p w14:paraId="4C852B51" w14:textId="77777777" w:rsidR="004578C2" w:rsidRPr="00115009" w:rsidRDefault="001A0541" w:rsidP="00F82FDC">
      <w:pPr>
        <w:spacing w:after="0" w:line="360" w:lineRule="auto"/>
        <w:jc w:val="both"/>
        <w:rPr>
          <w:rFonts w:ascii="Times New Roman" w:hAnsi="Times New Roman" w:cs="Times New Roman"/>
          <w:sz w:val="24"/>
          <w:szCs w:val="24"/>
        </w:rPr>
      </w:pPr>
      <w:r w:rsidRPr="001A0541">
        <w:rPr>
          <w:rFonts w:ascii="Times New Roman" w:hAnsi="Times New Roman" w:cs="Times New Roman"/>
          <w:b/>
          <w:sz w:val="24"/>
          <w:szCs w:val="24"/>
        </w:rPr>
        <w:t>Palavras-chave:</w:t>
      </w:r>
      <w:r w:rsidR="00115009">
        <w:rPr>
          <w:rFonts w:ascii="Times New Roman" w:hAnsi="Times New Roman" w:cs="Times New Roman"/>
          <w:sz w:val="24"/>
          <w:szCs w:val="24"/>
        </w:rPr>
        <w:t xml:space="preserve"> Execução Civil. Atipicidade dos Meios Executivos. Constituição Federal. Código de Processo Civil.</w:t>
      </w:r>
    </w:p>
    <w:p w14:paraId="4C852B52" w14:textId="77777777" w:rsidR="00790B78" w:rsidRPr="001A0541" w:rsidRDefault="00790B78" w:rsidP="00F82FDC">
      <w:pPr>
        <w:spacing w:after="0" w:line="360" w:lineRule="auto"/>
        <w:jc w:val="both"/>
        <w:rPr>
          <w:rFonts w:ascii="Times New Roman" w:hAnsi="Times New Roman" w:cs="Times New Roman"/>
          <w:sz w:val="24"/>
          <w:szCs w:val="24"/>
        </w:rPr>
      </w:pPr>
    </w:p>
    <w:p w14:paraId="4C852B53" w14:textId="77777777" w:rsidR="001A0541" w:rsidRDefault="001A0541" w:rsidP="001A0541">
      <w:pPr>
        <w:spacing w:after="0" w:line="360" w:lineRule="auto"/>
        <w:jc w:val="both"/>
        <w:rPr>
          <w:rFonts w:ascii="Times New Roman" w:hAnsi="Times New Roman" w:cs="Times New Roman"/>
          <w:b/>
          <w:sz w:val="24"/>
          <w:szCs w:val="24"/>
        </w:rPr>
      </w:pPr>
      <w:r w:rsidRPr="00BE6BFE">
        <w:rPr>
          <w:rFonts w:ascii="Times New Roman" w:hAnsi="Times New Roman" w:cs="Times New Roman"/>
          <w:b/>
          <w:sz w:val="24"/>
          <w:szCs w:val="24"/>
        </w:rPr>
        <w:t>1 INTRODUÇÃO</w:t>
      </w:r>
    </w:p>
    <w:p w14:paraId="4C852B54" w14:textId="77777777" w:rsidR="001A0541" w:rsidRDefault="001A0541" w:rsidP="001A0541">
      <w:pPr>
        <w:spacing w:after="0" w:line="360" w:lineRule="auto"/>
        <w:jc w:val="both"/>
        <w:rPr>
          <w:rFonts w:ascii="Times New Roman" w:hAnsi="Times New Roman" w:cs="Times New Roman"/>
          <w:sz w:val="24"/>
          <w:szCs w:val="24"/>
        </w:rPr>
      </w:pPr>
    </w:p>
    <w:p w14:paraId="4C852B55"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Antiguidade Clássica as pessoas que não assumiam as suas dividas estas eram escravizadas para que cumprissem com a sua obrigação de pagar o valor devido, já no Direito Romano, essa situação mudou, agora ao invés de escravizar, os credores pegavam os bens dos devedores e ficavam com eles, como forma de pagamento da dívida. </w:t>
      </w:r>
    </w:p>
    <w:p w14:paraId="4C852B56"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disso, o Código de Processo Civil trouxe ao seu texto, a possibilidade de o credor, ao entrar em juízo, poder pegar o patrimônio do devedor como forma de quitação da dívida, onde é competência do Juiz ir atrás de bens do devedor que consiga pagar o valor devido por inteiro, ou pelo menos uma parte desta. </w:t>
      </w:r>
    </w:p>
    <w:p w14:paraId="4C852B57"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Com isso, o que se percebeu, é que muitas vezes não é encontrado patrimônio algum do devedor para que este possa pagar a quantia certa, fazendo com que muitas vezes o credor ficasse sem o que deveria receber. No Novo Código de Processo Civil, foi colocado em seu texto, no artigo 139, inciso IV, que o Juiz pode usar de meios executivos atípicos para que os devedores pagassem a quantia certa. </w:t>
      </w:r>
    </w:p>
    <w:p w14:paraId="4C852B58"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o caso de um julgado que será analisado no decorrer deste estudo, onde o devedor devia mais de 1 milhão de reais, e teve um casamento dos sonhos. O Juiz como autoridade competente, pegou todos os presentes adquiridos pelo casal na cerimônia de casamento, para que fosse pago uma parte das dívidas do noivo.</w:t>
      </w:r>
    </w:p>
    <w:p w14:paraId="4C852B59"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Juiz usou de todos os meios que podia para encontrar o patrimônio do noivo, mas nada foi achado, e o modo pelo qual o juiz encontrou para que o devedor pagasse a quantia certa foi apreendendo os bens dos noivos para que fosse paga parte da dívida.</w:t>
      </w:r>
    </w:p>
    <w:p w14:paraId="4C852B5A"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é um exemplo claro e polêmico das medidas alternativas encontradas pelos Juízes para que os devedores paguem suas dívidas, além de estarem sendo os meios mais eficazes da execução de título executivo judicial, já que por muitas vezes o processo ficava parado por não se ter o patrimônio para o pagamento da quantia certa devida pelo indivíduo.</w:t>
      </w:r>
    </w:p>
    <w:p w14:paraId="4C852B5B"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o que se pretende saber é até que ponto esses meios executivos atípicos são benéficos para ambas as partes, até onde o direito de um não atingiria o direito do outro?</w:t>
      </w:r>
    </w:p>
    <w:p w14:paraId="4C852B5C"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complexidade dos Códigos e normas brasileiras requer cada vez mais pesquisas que se dediquem a aprofundar e elucidar certos temas. Devido à extensão do conteúdo disponível, constantes atualizações e aumento de demandas, algumas matérias acabam por não receberem a devida atenção. Sendo assim, é absolutamente relevante a exploração acerca da atipicidade dos Meios Executivos na efetivação das decisões que reconhecem o dever de pagar quantia certa, a fim de buscar o aperfeiçoamento na compreensão deste assunto.</w:t>
      </w:r>
    </w:p>
    <w:p w14:paraId="4C852B5D" w14:textId="77777777" w:rsidR="00D2412D" w:rsidRDefault="00D2412D" w:rsidP="00D2412D">
      <w:pPr>
        <w:spacing w:after="0" w:line="360" w:lineRule="auto"/>
        <w:ind w:firstLine="1134"/>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 xml:space="preserve">Com base no que foi dito acima, é fácil ilustrar que o motivo principal na escolha do conteúdo discutido é garantir </w:t>
      </w:r>
      <w:r>
        <w:rPr>
          <w:rFonts w:ascii="Times New Roman" w:eastAsia="Times New Roman" w:hAnsi="Times New Roman" w:cs="Times New Roman"/>
          <w:sz w:val="24"/>
          <w:szCs w:val="24"/>
        </w:rPr>
        <w:t xml:space="preserve">o conhecimento e a informação sobre o tema. Feito isso, espera-se que possam ser evitadas possíveis falhas na compreensão e aplicação dessas matérias. Essas medidas servem para potencializar o estudo e apreensão deste conteúdo.  </w:t>
      </w:r>
    </w:p>
    <w:p w14:paraId="4C852B5E"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motivo secundário é proporcionar a atenção devida sobre tal assunto. A atipicidade possibilita uma gama variada de alternativas que induzam ao pagamento da quantia certa devida. Porém, este estudo será importante ao analisar os dois lados desse assunto já que de um lado há o direito do credor de receber o que lhe é devido e da outra parte que pode ter alguns direitos limitados em prol da execução da dívida como veremos nos casos que aqui serão </w:t>
      </w:r>
      <w:r>
        <w:rPr>
          <w:rFonts w:ascii="Times New Roman" w:hAnsi="Times New Roman" w:cs="Times New Roman"/>
          <w:sz w:val="24"/>
          <w:szCs w:val="24"/>
        </w:rPr>
        <w:lastRenderedPageBreak/>
        <w:t>debatidos. Sem dúvida, essa explicação esmiuçada afirma a imprescindibilidade da temática analisada.</w:t>
      </w:r>
    </w:p>
    <w:p w14:paraId="4C852B5F" w14:textId="77777777" w:rsidR="00D2412D" w:rsidRDefault="00D2412D" w:rsidP="00D2412D">
      <w:pPr>
        <w:spacing w:after="0" w:line="360" w:lineRule="auto"/>
        <w:ind w:firstLine="113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É importante também para alertar sobre as novidades e as dificuldades que podem surgir diante da atipicidade dos Meios de Execução. Ao fazer isso, é fundamental estudar este tema para observar os limites que essa atipicidade encontra de forma a não prejudicar as garantias constitucionais e fundamentais que todos brasileiros possuem. Diante do exposto, é possível observar que uma boa pesquisa minimiza duvidas e ineficiência quanto ao emprego de tais matérias.</w:t>
      </w:r>
    </w:p>
    <w:p w14:paraId="4C852B60" w14:textId="77777777" w:rsidR="00D2412D" w:rsidRDefault="00D2412D" w:rsidP="00D2412D">
      <w:pPr>
        <w:spacing w:after="0" w:line="360" w:lineRule="auto"/>
        <w:ind w:firstLine="1134"/>
        <w:jc w:val="both"/>
        <w:rPr>
          <w:rFonts w:ascii="Times New Roman" w:hAnsi="Times New Roman" w:cs="Times New Roman"/>
          <w:sz w:val="24"/>
          <w:szCs w:val="24"/>
        </w:rPr>
      </w:pPr>
      <w:r w:rsidRPr="00D2412D">
        <w:rPr>
          <w:rFonts w:ascii="Times New Roman" w:hAnsi="Times New Roman" w:cs="Times New Roman"/>
          <w:sz w:val="24"/>
          <w:szCs w:val="24"/>
        </w:rPr>
        <w:t>Dessa forma, objetiva-se demonstrar a possibilidade de o Juiz escolher meios atípicos de execução da sentença que reconhece o dever de pagar quantia certa. Para isso é preciso descrever a história que resultou nos meios atípicos que são eficazes para a cobrança de títulos executivos judiciais. Assim como, analisar as características e as situações que se pode aplicar uma medida atípica para a execução de um título judicial. Por fim, explicar os limites constitucionais da execução dos meios atípicos.</w:t>
      </w:r>
    </w:p>
    <w:p w14:paraId="4C852B61" w14:textId="77777777" w:rsidR="00D2412D" w:rsidRDefault="00D2412D" w:rsidP="00D2412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trabalho foi desenvolvido de modo a explicar os aspectos relacionados à atuação judicial de acordo com a atipicidade dos Meios de Execução das decisões que reconheçam o dever de pagar quantia certa segundo o novo Código de Processo Civil, envolvendo entendimento jurisprudencial relevante e as principais noções doutrinárias disponíveis. </w:t>
      </w:r>
    </w:p>
    <w:p w14:paraId="4C852B62" w14:textId="77777777" w:rsidR="00D2412D" w:rsidRDefault="00D2412D" w:rsidP="00D2412D">
      <w:pPr>
        <w:widowControl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Foram elaboradas pesquisas para abordar, avaliar e minuciar o tema abordado para a exploração mais objetiva e precisa sobre o assunto. O objetivo apresentou hipóteses abrangentes e específicas, para fundamentar e ressaltar o que se quer ser estudado. Dispôs-se de referências bibliográficas e documentais, a fim de encontrar argumentos para solucionar o problema tratado.</w:t>
      </w:r>
    </w:p>
    <w:p w14:paraId="4C852B63" w14:textId="77777777" w:rsidR="00D2412D" w:rsidRDefault="00D2412D" w:rsidP="00D2412D">
      <w:pPr>
        <w:widowControl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Portanto, esta pesquisa se caracteriza como exploratória quanto aos objetivos, uma vez que a intenção foi explorar determinado problema e elaborar hipóteses na tentativa de soluciona-lo e quanto aos procedimentos, a caráter evidente é o de pesquisa bibliográfica e documental (GIL, 2010).</w:t>
      </w:r>
    </w:p>
    <w:p w14:paraId="4C852B64" w14:textId="1F479FC5" w:rsidR="00D2412D" w:rsidRPr="001A0541" w:rsidRDefault="00D2412D" w:rsidP="001A0541">
      <w:pPr>
        <w:spacing w:after="0" w:line="360" w:lineRule="auto"/>
        <w:jc w:val="both"/>
        <w:rPr>
          <w:rFonts w:ascii="Times New Roman" w:hAnsi="Times New Roman" w:cs="Times New Roman"/>
          <w:sz w:val="24"/>
          <w:szCs w:val="24"/>
        </w:rPr>
      </w:pPr>
    </w:p>
    <w:p w14:paraId="4C852B65" w14:textId="77777777" w:rsidR="001A0541" w:rsidRDefault="001A0541" w:rsidP="001A05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FUNDAMENTAÇÃO TEÓRICA</w:t>
      </w:r>
    </w:p>
    <w:p w14:paraId="4C852B66" w14:textId="77777777" w:rsidR="001A0541" w:rsidRDefault="001A0541" w:rsidP="001A0541">
      <w:pPr>
        <w:spacing w:after="0" w:line="360" w:lineRule="auto"/>
        <w:jc w:val="both"/>
        <w:rPr>
          <w:rFonts w:ascii="Times New Roman" w:hAnsi="Times New Roman" w:cs="Times New Roman"/>
          <w:b/>
          <w:sz w:val="24"/>
          <w:szCs w:val="24"/>
        </w:rPr>
      </w:pPr>
    </w:p>
    <w:p w14:paraId="4C852B67" w14:textId="77777777" w:rsidR="001A0541" w:rsidRDefault="001A0541" w:rsidP="001A05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A História que resultou nos meios atípicos </w:t>
      </w:r>
      <w:r w:rsidR="00FC40A9">
        <w:rPr>
          <w:rFonts w:ascii="Times New Roman" w:hAnsi="Times New Roman" w:cs="Times New Roman"/>
          <w:b/>
          <w:sz w:val="24"/>
          <w:szCs w:val="24"/>
        </w:rPr>
        <w:t>de execução</w:t>
      </w:r>
    </w:p>
    <w:p w14:paraId="4C852B68" w14:textId="77777777" w:rsidR="00FC40A9" w:rsidRDefault="00FC40A9" w:rsidP="001A0541">
      <w:pPr>
        <w:spacing w:after="0" w:line="360" w:lineRule="auto"/>
        <w:jc w:val="both"/>
        <w:rPr>
          <w:rFonts w:ascii="Times New Roman" w:hAnsi="Times New Roman" w:cs="Times New Roman"/>
          <w:b/>
          <w:sz w:val="24"/>
          <w:szCs w:val="24"/>
        </w:rPr>
      </w:pPr>
    </w:p>
    <w:p w14:paraId="4C852B69" w14:textId="77777777" w:rsidR="001A0541" w:rsidRDefault="001A0541" w:rsidP="001A05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supracitado, na antiguidade as pessoas executavam as suas dívidas de diversas formas, como a morte ou a escravidão, e com o passar dos tempos notou-se que seria </w:t>
      </w:r>
      <w:r>
        <w:rPr>
          <w:rFonts w:ascii="Times New Roman" w:hAnsi="Times New Roman" w:cs="Times New Roman"/>
          <w:sz w:val="24"/>
          <w:szCs w:val="24"/>
        </w:rPr>
        <w:lastRenderedPageBreak/>
        <w:t>melhor e mais eficaz a cobrança da dívida de acordo com o patrimônio do executado</w:t>
      </w:r>
      <w:r w:rsidR="00FC40A9">
        <w:rPr>
          <w:rFonts w:ascii="Times New Roman" w:hAnsi="Times New Roman" w:cs="Times New Roman"/>
          <w:sz w:val="24"/>
          <w:szCs w:val="24"/>
        </w:rPr>
        <w:t>. Assim,</w:t>
      </w:r>
      <w:r>
        <w:rPr>
          <w:rFonts w:ascii="Times New Roman" w:hAnsi="Times New Roman" w:cs="Times New Roman"/>
          <w:sz w:val="24"/>
          <w:szCs w:val="24"/>
        </w:rPr>
        <w:t xml:space="preserve"> positivaram-se normas que dizem respeito ao processo de execução. O antigo Código de Processo Civil Brasileiro já trazia positivação a respeito e inclusive dava poder ao juiz para que este pudesse, por meio dos </w:t>
      </w:r>
      <w:proofErr w:type="spellStart"/>
      <w:r w:rsidRPr="00F27365">
        <w:rPr>
          <w:rFonts w:ascii="Times New Roman" w:hAnsi="Times New Roman" w:cs="Times New Roman"/>
          <w:i/>
          <w:sz w:val="24"/>
          <w:szCs w:val="24"/>
        </w:rPr>
        <w:t>astreintes</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sidRPr="00F27365">
        <w:rPr>
          <w:rFonts w:ascii="Times New Roman" w:hAnsi="Times New Roman" w:cs="Times New Roman"/>
          <w:sz w:val="24"/>
          <w:szCs w:val="24"/>
        </w:rPr>
        <w:t>“</w:t>
      </w:r>
      <w:r w:rsidRPr="00F27365">
        <w:rPr>
          <w:rFonts w:ascii="Times New Roman" w:hAnsi="Times New Roman" w:cs="Times New Roman"/>
          <w:sz w:val="24"/>
          <w:szCs w:val="24"/>
          <w:shd w:val="clear" w:color="auto" w:fill="FFFFFF"/>
        </w:rPr>
        <w:t>isto é, de multa diária pelo atraso no cumprimento da decisão”</w:t>
      </w:r>
      <w:r>
        <w:rPr>
          <w:rFonts w:ascii="Times New Roman" w:hAnsi="Times New Roman" w:cs="Times New Roman"/>
          <w:sz w:val="24"/>
          <w:szCs w:val="24"/>
          <w:shd w:val="clear" w:color="auto" w:fill="FFFFFF"/>
        </w:rPr>
        <w:t xml:space="preserve"> (CÂMARA, 2016) onde segundo o autor seria possível </w:t>
      </w:r>
      <w:r>
        <w:rPr>
          <w:rFonts w:ascii="Times New Roman" w:hAnsi="Times New Roman" w:cs="Times New Roman"/>
          <w:sz w:val="24"/>
          <w:szCs w:val="24"/>
        </w:rPr>
        <w:t xml:space="preserve">cobrar multas de 10% caso a obrigação </w:t>
      </w:r>
      <w:r w:rsidR="00B438AC">
        <w:rPr>
          <w:rFonts w:ascii="Times New Roman" w:hAnsi="Times New Roman" w:cs="Times New Roman"/>
          <w:sz w:val="24"/>
          <w:szCs w:val="24"/>
        </w:rPr>
        <w:t xml:space="preserve">não </w:t>
      </w:r>
      <w:r>
        <w:rPr>
          <w:rFonts w:ascii="Times New Roman" w:hAnsi="Times New Roman" w:cs="Times New Roman"/>
          <w:sz w:val="24"/>
          <w:szCs w:val="24"/>
        </w:rPr>
        <w:t>fosse cumprida num espaço de tempo.</w:t>
      </w:r>
    </w:p>
    <w:p w14:paraId="4C852B6A" w14:textId="77777777" w:rsidR="008851E9" w:rsidRPr="00113FB9" w:rsidRDefault="00B438AC" w:rsidP="008851E9">
      <w:pPr>
        <w:spacing w:after="0" w:line="360" w:lineRule="auto"/>
        <w:ind w:firstLine="1134"/>
        <w:jc w:val="both"/>
        <w:rPr>
          <w:rFonts w:ascii="Times New Roman" w:hAnsi="Times New Roman" w:cs="Times New Roman"/>
          <w:sz w:val="24"/>
          <w:szCs w:val="24"/>
        </w:rPr>
      </w:pPr>
      <w:r w:rsidRPr="00113FB9">
        <w:rPr>
          <w:rFonts w:ascii="Times New Roman" w:hAnsi="Times New Roman" w:cs="Times New Roman"/>
          <w:sz w:val="24"/>
          <w:szCs w:val="24"/>
        </w:rPr>
        <w:t>No Código Processual Civil de 1973 (BRASIL) já existia uma previsão que possibilitava a escolha</w:t>
      </w:r>
      <w:r w:rsidR="008926E3">
        <w:rPr>
          <w:rFonts w:ascii="Times New Roman" w:hAnsi="Times New Roman" w:cs="Times New Roman"/>
          <w:sz w:val="24"/>
          <w:szCs w:val="24"/>
        </w:rPr>
        <w:t xml:space="preserve"> de meios executivos atípicos para efetivar</w:t>
      </w:r>
      <w:r w:rsidRPr="00113FB9">
        <w:rPr>
          <w:rFonts w:ascii="Times New Roman" w:hAnsi="Times New Roman" w:cs="Times New Roman"/>
          <w:sz w:val="24"/>
          <w:szCs w:val="24"/>
        </w:rPr>
        <w:t xml:space="preserve"> uma decisão judicial. No entanto essa previsão</w:t>
      </w:r>
      <w:r w:rsidR="008851E9" w:rsidRPr="00113FB9">
        <w:rPr>
          <w:rFonts w:ascii="Times New Roman" w:hAnsi="Times New Roman" w:cs="Times New Roman"/>
          <w:sz w:val="24"/>
          <w:szCs w:val="24"/>
        </w:rPr>
        <w:t>,</w:t>
      </w:r>
      <w:r w:rsidRPr="00113FB9">
        <w:rPr>
          <w:rFonts w:ascii="Times New Roman" w:hAnsi="Times New Roman" w:cs="Times New Roman"/>
          <w:sz w:val="24"/>
          <w:szCs w:val="24"/>
        </w:rPr>
        <w:t xml:space="preserve"> que consta no a</w:t>
      </w:r>
      <w:r w:rsidR="008851E9" w:rsidRPr="00113FB9">
        <w:rPr>
          <w:rFonts w:ascii="Times New Roman" w:hAnsi="Times New Roman" w:cs="Times New Roman"/>
          <w:sz w:val="24"/>
          <w:szCs w:val="24"/>
        </w:rPr>
        <w:t>rtigo 461 do referido CPC de 73, só fazia referência</w:t>
      </w:r>
      <w:r w:rsidR="00FC40A9">
        <w:rPr>
          <w:rFonts w:ascii="Times New Roman" w:hAnsi="Times New Roman" w:cs="Times New Roman"/>
          <w:sz w:val="24"/>
          <w:szCs w:val="24"/>
        </w:rPr>
        <w:t>,</w:t>
      </w:r>
      <w:r w:rsidR="008851E9" w:rsidRPr="00113FB9">
        <w:rPr>
          <w:rFonts w:ascii="Times New Roman" w:hAnsi="Times New Roman" w:cs="Times New Roman"/>
          <w:sz w:val="24"/>
          <w:szCs w:val="24"/>
        </w:rPr>
        <w:t xml:space="preserve"> de forma expressa</w:t>
      </w:r>
      <w:r w:rsidR="00FC40A9">
        <w:rPr>
          <w:rFonts w:ascii="Times New Roman" w:hAnsi="Times New Roman" w:cs="Times New Roman"/>
          <w:sz w:val="24"/>
          <w:szCs w:val="24"/>
        </w:rPr>
        <w:t>,</w:t>
      </w:r>
      <w:r w:rsidR="008851E9" w:rsidRPr="00113FB9">
        <w:rPr>
          <w:rFonts w:ascii="Times New Roman" w:hAnsi="Times New Roman" w:cs="Times New Roman"/>
          <w:sz w:val="24"/>
          <w:szCs w:val="24"/>
        </w:rPr>
        <w:t xml:space="preserve"> às obrigações de fazer ou não fazer como se pode observar a seguir:</w:t>
      </w:r>
    </w:p>
    <w:p w14:paraId="4C852B6B" w14:textId="77777777" w:rsidR="00B438AC" w:rsidRPr="00113FB9" w:rsidRDefault="00386BD0" w:rsidP="008851E9">
      <w:pPr>
        <w:spacing w:after="0" w:line="240" w:lineRule="auto"/>
        <w:ind w:left="2268"/>
        <w:jc w:val="both"/>
        <w:rPr>
          <w:rFonts w:ascii="Times New Roman" w:hAnsi="Times New Roman" w:cs="Times New Roman"/>
          <w:sz w:val="24"/>
          <w:szCs w:val="24"/>
        </w:rPr>
      </w:pPr>
      <w:r w:rsidRPr="00113FB9">
        <w:rPr>
          <w:rFonts w:ascii="Times New Roman" w:hAnsi="Times New Roman" w:cs="Times New Roman"/>
          <w:sz w:val="20"/>
          <w:szCs w:val="20"/>
          <w:shd w:val="clear" w:color="auto" w:fill="FFFFFF"/>
        </w:rPr>
        <w:t>Art. 461. Na ação que tenha por objeto o cumprimento de obrigação de fazer ou não fazer, o juiz concederá a tutela específica da obrigação ou, se procedente o pedido, determinará providências que assegurem o resultado prático equivalente ao do adimplemento.</w:t>
      </w:r>
      <w:r w:rsidR="008851E9" w:rsidRPr="00113FB9">
        <w:rPr>
          <w:rFonts w:ascii="Times New Roman" w:hAnsi="Times New Roman" w:cs="Times New Roman"/>
          <w:sz w:val="20"/>
          <w:szCs w:val="20"/>
          <w:shd w:val="clear" w:color="auto" w:fill="FFFFFF"/>
        </w:rPr>
        <w:t xml:space="preserve"> (BRASIL, p. [?], 1973).</w:t>
      </w:r>
    </w:p>
    <w:p w14:paraId="4C852B6C" w14:textId="77777777" w:rsidR="008851E9" w:rsidRPr="00113FB9" w:rsidRDefault="008851E9" w:rsidP="001A0541">
      <w:pPr>
        <w:spacing w:after="0" w:line="360" w:lineRule="auto"/>
        <w:ind w:firstLine="1134"/>
        <w:jc w:val="both"/>
        <w:rPr>
          <w:rFonts w:ascii="Times New Roman" w:hAnsi="Times New Roman" w:cs="Times New Roman"/>
          <w:sz w:val="24"/>
          <w:szCs w:val="24"/>
        </w:rPr>
      </w:pPr>
      <w:r w:rsidRPr="00113FB9">
        <w:rPr>
          <w:rFonts w:ascii="Times New Roman" w:hAnsi="Times New Roman" w:cs="Times New Roman"/>
          <w:sz w:val="24"/>
          <w:szCs w:val="24"/>
        </w:rPr>
        <w:t>Portanto ao prever que o juiz poderia determinar as providências necessárias e adequadas a assegurar a quitação da dívida tratada ocorreu a possibilidade de se escolher medidas atípicas, ou seja, diversas das medidas previstas pelo CPC</w:t>
      </w:r>
      <w:r w:rsidR="00FC40A9">
        <w:rPr>
          <w:rFonts w:ascii="Times New Roman" w:hAnsi="Times New Roman" w:cs="Times New Roman"/>
          <w:sz w:val="24"/>
          <w:szCs w:val="24"/>
        </w:rPr>
        <w:t>,</w:t>
      </w:r>
      <w:r w:rsidR="00113FB9" w:rsidRPr="00113FB9">
        <w:rPr>
          <w:rFonts w:ascii="Times New Roman" w:hAnsi="Times New Roman" w:cs="Times New Roman"/>
          <w:sz w:val="24"/>
          <w:szCs w:val="24"/>
        </w:rPr>
        <w:t xml:space="preserve"> de forma expr</w:t>
      </w:r>
      <w:r w:rsidR="00FC40A9">
        <w:rPr>
          <w:rFonts w:ascii="Times New Roman" w:hAnsi="Times New Roman" w:cs="Times New Roman"/>
          <w:sz w:val="24"/>
          <w:szCs w:val="24"/>
        </w:rPr>
        <w:t xml:space="preserve">essa, </w:t>
      </w:r>
      <w:r w:rsidR="00113FB9" w:rsidRPr="00113FB9">
        <w:rPr>
          <w:rFonts w:ascii="Times New Roman" w:hAnsi="Times New Roman" w:cs="Times New Roman"/>
          <w:sz w:val="24"/>
          <w:szCs w:val="24"/>
        </w:rPr>
        <w:t>cabendo ao juiz determinar qual seria a medida conveniente</w:t>
      </w:r>
      <w:r w:rsidR="00FC40A9">
        <w:rPr>
          <w:rFonts w:ascii="Times New Roman" w:hAnsi="Times New Roman" w:cs="Times New Roman"/>
          <w:sz w:val="24"/>
          <w:szCs w:val="24"/>
        </w:rPr>
        <w:t xml:space="preserve"> para efetivar a execução além daquelas previstas no Código Civil</w:t>
      </w:r>
      <w:r w:rsidRPr="00113FB9">
        <w:rPr>
          <w:rFonts w:ascii="Times New Roman" w:hAnsi="Times New Roman" w:cs="Times New Roman"/>
          <w:sz w:val="24"/>
          <w:szCs w:val="24"/>
        </w:rPr>
        <w:t>.</w:t>
      </w:r>
      <w:r w:rsidR="007E212D">
        <w:rPr>
          <w:rFonts w:ascii="Times New Roman" w:hAnsi="Times New Roman" w:cs="Times New Roman"/>
          <w:sz w:val="24"/>
          <w:szCs w:val="24"/>
        </w:rPr>
        <w:t xml:space="preserve"> Como pode ser constatado, para que a medida atípica fosse escolhida ela precisaria ser necessária e adequada o caso possibilitando novas formas de efetivar a execução de obrigação de fazer ou não fazer. </w:t>
      </w:r>
    </w:p>
    <w:p w14:paraId="4C852B6D" w14:textId="77777777" w:rsidR="001A0541" w:rsidRDefault="00FC40A9" w:rsidP="001A0541">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Dessa forma, c</w:t>
      </w:r>
      <w:r w:rsidR="001A0541" w:rsidRPr="00113FB9">
        <w:rPr>
          <w:rFonts w:ascii="Times New Roman" w:hAnsi="Times New Roman" w:cs="Times New Roman"/>
          <w:sz w:val="24"/>
          <w:szCs w:val="24"/>
        </w:rPr>
        <w:t>om o passar do tempo</w:t>
      </w:r>
      <w:r>
        <w:rPr>
          <w:rFonts w:ascii="Times New Roman" w:hAnsi="Times New Roman" w:cs="Times New Roman"/>
          <w:sz w:val="24"/>
          <w:szCs w:val="24"/>
        </w:rPr>
        <w:t>,</w:t>
      </w:r>
      <w:r w:rsidR="001A0541" w:rsidRPr="00113FB9">
        <w:rPr>
          <w:rFonts w:ascii="Times New Roman" w:hAnsi="Times New Roman" w:cs="Times New Roman"/>
          <w:sz w:val="24"/>
          <w:szCs w:val="24"/>
        </w:rPr>
        <w:t xml:space="preserve"> as medidas positivadas no nosso</w:t>
      </w:r>
      <w:r w:rsidR="001A0541">
        <w:rPr>
          <w:rFonts w:ascii="Times New Roman" w:hAnsi="Times New Roman" w:cs="Times New Roman"/>
          <w:sz w:val="24"/>
          <w:szCs w:val="24"/>
        </w:rPr>
        <w:t xml:space="preserve"> código passaram a ser insuficientes para que os executados quitassem seus débitos uma vez que existem diversos artifícios para a ocultaçã</w:t>
      </w:r>
      <w:r>
        <w:rPr>
          <w:rFonts w:ascii="Times New Roman" w:hAnsi="Times New Roman" w:cs="Times New Roman"/>
          <w:sz w:val="24"/>
          <w:szCs w:val="24"/>
        </w:rPr>
        <w:t>o do patrimônio de um indivíduo. O</w:t>
      </w:r>
      <w:r w:rsidR="001A0541">
        <w:rPr>
          <w:rFonts w:ascii="Times New Roman" w:hAnsi="Times New Roman" w:cs="Times New Roman"/>
          <w:sz w:val="24"/>
          <w:szCs w:val="24"/>
        </w:rPr>
        <w:t xml:space="preserve"> novo Código de Processo Civil de 2015 trouxe inovações em seus artigos para que fosse possível pressionar o demandado a cumprir suas obrigações, conforme afirma Alexandre Câmara (2016). Assim, criam-se meios </w:t>
      </w:r>
      <w:r w:rsidR="001A0541" w:rsidRPr="00F27365">
        <w:rPr>
          <w:rFonts w:ascii="Times New Roman" w:hAnsi="Times New Roman" w:cs="Times New Roman"/>
          <w:sz w:val="24"/>
          <w:szCs w:val="24"/>
        </w:rPr>
        <w:t>“</w:t>
      </w:r>
      <w:r w:rsidR="001A0541" w:rsidRPr="00F27365">
        <w:rPr>
          <w:rFonts w:ascii="Times New Roman" w:hAnsi="Times New Roman" w:cs="Times New Roman"/>
          <w:sz w:val="24"/>
          <w:szCs w:val="24"/>
          <w:shd w:val="clear" w:color="auto" w:fill="FFFFFF"/>
        </w:rPr>
        <w:t>para compelir o devedor a cumprir obrigações pecuniárias reconhecidas em decisão judicial”</w:t>
      </w:r>
      <w:r w:rsidR="001A0541">
        <w:rPr>
          <w:rFonts w:ascii="Times New Roman" w:hAnsi="Times New Roman" w:cs="Times New Roman"/>
          <w:sz w:val="24"/>
          <w:szCs w:val="24"/>
          <w:shd w:val="clear" w:color="auto" w:fill="FFFFFF"/>
        </w:rPr>
        <w:t xml:space="preserve"> (CÂMARA, 2016), não somente a cobrança de </w:t>
      </w:r>
      <w:proofErr w:type="spellStart"/>
      <w:r w:rsidR="001A0541" w:rsidRPr="00F27365">
        <w:rPr>
          <w:rFonts w:ascii="Times New Roman" w:hAnsi="Times New Roman" w:cs="Times New Roman"/>
          <w:i/>
          <w:sz w:val="24"/>
          <w:szCs w:val="24"/>
          <w:shd w:val="clear" w:color="auto" w:fill="FFFFFF"/>
        </w:rPr>
        <w:t>astreintes</w:t>
      </w:r>
      <w:proofErr w:type="spellEnd"/>
      <w:r w:rsidR="001A0541">
        <w:rPr>
          <w:rFonts w:ascii="Times New Roman" w:hAnsi="Times New Roman" w:cs="Times New Roman"/>
          <w:sz w:val="24"/>
          <w:szCs w:val="24"/>
          <w:shd w:val="clear" w:color="auto" w:fill="FFFFFF"/>
        </w:rPr>
        <w:t>, para que se consiga uma maior eficácia na execução das obrigações adquiridas por conta do processo judicial.</w:t>
      </w:r>
    </w:p>
    <w:p w14:paraId="4C852B6E" w14:textId="77777777" w:rsidR="00FC40A9" w:rsidRDefault="001A0541" w:rsidP="001A0541">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O artigo 139, IV afirma a capacidade do juiz de </w:t>
      </w:r>
      <w:r w:rsidRPr="00F97EFD">
        <w:rPr>
          <w:rFonts w:ascii="Times New Roman" w:hAnsi="Times New Roman" w:cs="Times New Roman"/>
          <w:sz w:val="24"/>
          <w:szCs w:val="24"/>
          <w:shd w:val="clear" w:color="auto" w:fill="FFFFFF"/>
        </w:rPr>
        <w:t>“</w:t>
      </w:r>
      <w:r w:rsidRPr="00F97EFD">
        <w:rPr>
          <w:rFonts w:ascii="Times New Roman" w:hAnsi="Times New Roman" w:cs="Times New Roman"/>
          <w:color w:val="000000"/>
          <w:sz w:val="24"/>
          <w:szCs w:val="24"/>
        </w:rPr>
        <w:t>determinar todas as medidas indutivas, coercitivas, mandamentais ou sub-rogatórias necessárias para assegurar o cumprimento de ordem judicial, inclusive nas ações que tenham por objeto prestação pecuniária”</w:t>
      </w:r>
      <w:r>
        <w:rPr>
          <w:rFonts w:ascii="Times New Roman" w:hAnsi="Times New Roman" w:cs="Times New Roman"/>
          <w:color w:val="000000"/>
          <w:sz w:val="24"/>
          <w:szCs w:val="24"/>
        </w:rPr>
        <w:t xml:space="preserve"> (BRASIL, 2015). </w:t>
      </w:r>
      <w:r w:rsidR="00FC40A9">
        <w:rPr>
          <w:rFonts w:ascii="Times New Roman" w:hAnsi="Times New Roman" w:cs="Times New Roman"/>
          <w:color w:val="000000"/>
          <w:sz w:val="24"/>
          <w:szCs w:val="24"/>
        </w:rPr>
        <w:t xml:space="preserve">Assim, o novo Código Civil (2015) estendeu a possibilidade de escolher medidas atípicas de execução até mesmo para as obrigações pecuniárias. </w:t>
      </w:r>
    </w:p>
    <w:p w14:paraId="4C852B6F" w14:textId="77777777" w:rsidR="00EF0915" w:rsidRPr="00EF0915" w:rsidRDefault="00EF0915" w:rsidP="00EF0915">
      <w:pPr>
        <w:spacing w:after="0" w:line="240" w:lineRule="auto"/>
        <w:ind w:left="2268"/>
        <w:jc w:val="both"/>
        <w:rPr>
          <w:rFonts w:ascii="Times New Roman" w:hAnsi="Times New Roman" w:cs="Times New Roman"/>
          <w:color w:val="000000"/>
          <w:sz w:val="20"/>
          <w:szCs w:val="20"/>
        </w:rPr>
      </w:pPr>
      <w:r w:rsidRPr="00EF0915">
        <w:rPr>
          <w:rFonts w:ascii="Times New Roman" w:hAnsi="Times New Roman" w:cs="Times New Roman"/>
          <w:color w:val="000000"/>
          <w:sz w:val="20"/>
          <w:szCs w:val="20"/>
        </w:rPr>
        <w:t>Isso equivale a dizer que, com tal técnica processual, foi mantida a ruptura, iniciada pelas reformas processuais do CPC/73, em relação ao princípio da ti</w:t>
      </w:r>
      <w:r>
        <w:rPr>
          <w:rFonts w:ascii="Times New Roman" w:hAnsi="Times New Roman" w:cs="Times New Roman"/>
          <w:color w:val="000000"/>
          <w:sz w:val="20"/>
          <w:szCs w:val="20"/>
        </w:rPr>
        <w:t xml:space="preserve">picidade dos </w:t>
      </w:r>
      <w:r>
        <w:rPr>
          <w:rFonts w:ascii="Times New Roman" w:hAnsi="Times New Roman" w:cs="Times New Roman"/>
          <w:color w:val="000000"/>
          <w:sz w:val="20"/>
          <w:szCs w:val="20"/>
        </w:rPr>
        <w:lastRenderedPageBreak/>
        <w:t>meios executivos.</w:t>
      </w:r>
      <w:r w:rsidRPr="00EF0915">
        <w:rPr>
          <w:rFonts w:ascii="Times New Roman" w:hAnsi="Times New Roman" w:cs="Times New Roman"/>
          <w:color w:val="000000"/>
          <w:sz w:val="20"/>
          <w:szCs w:val="20"/>
        </w:rPr>
        <w:t xml:space="preserve"> Segundo expõe Cássio </w:t>
      </w:r>
      <w:proofErr w:type="spellStart"/>
      <w:r w:rsidRPr="00EF0915">
        <w:rPr>
          <w:rFonts w:ascii="Times New Roman" w:hAnsi="Times New Roman" w:cs="Times New Roman"/>
          <w:color w:val="000000"/>
          <w:sz w:val="20"/>
          <w:szCs w:val="20"/>
        </w:rPr>
        <w:t>Scarpinella</w:t>
      </w:r>
      <w:proofErr w:type="spellEnd"/>
      <w:r w:rsidRPr="00EF0915">
        <w:rPr>
          <w:rFonts w:ascii="Times New Roman" w:hAnsi="Times New Roman" w:cs="Times New Roman"/>
          <w:color w:val="000000"/>
          <w:sz w:val="20"/>
          <w:szCs w:val="20"/>
        </w:rPr>
        <w:t xml:space="preserve"> Bueno, o que distingue esse novo mod</w:t>
      </w:r>
      <w:r>
        <w:rPr>
          <w:rFonts w:ascii="Times New Roman" w:hAnsi="Times New Roman" w:cs="Times New Roman"/>
          <w:color w:val="000000"/>
          <w:sz w:val="20"/>
          <w:szCs w:val="20"/>
        </w:rPr>
        <w:t>elo executivo "é, pois, sua ati</w:t>
      </w:r>
      <w:r w:rsidRPr="00EF0915">
        <w:rPr>
          <w:rFonts w:ascii="Times New Roman" w:hAnsi="Times New Roman" w:cs="Times New Roman"/>
          <w:color w:val="000000"/>
          <w:sz w:val="20"/>
          <w:szCs w:val="20"/>
        </w:rPr>
        <w:t>picidade, assim entendida a possibilidade de o magistrado ser criativo o suficiente para criar modelos executivos que mais se mostrem idóneos para dar ao credor a satisfação que o inadi</w:t>
      </w:r>
      <w:r>
        <w:rPr>
          <w:rFonts w:ascii="Times New Roman" w:hAnsi="Times New Roman" w:cs="Times New Roman"/>
          <w:color w:val="000000"/>
          <w:sz w:val="20"/>
          <w:szCs w:val="20"/>
        </w:rPr>
        <w:t>mplemento do devedor lhe vedou”</w:t>
      </w:r>
      <w:r w:rsidRPr="00EF0915">
        <w:rPr>
          <w:rFonts w:ascii="Times New Roman" w:hAnsi="Times New Roman" w:cs="Times New Roman"/>
          <w:color w:val="000000"/>
          <w:sz w:val="20"/>
          <w:szCs w:val="20"/>
        </w:rPr>
        <w:t>. O multissecular dogma - fortemente sedimentado pela influência dos postulados do liberalismo - de que a atividade executiva só poderia invadir a esfera jurídica do demandado mediante meios executivos prefixados no texto legal, perdeu sua força. Passa a ser dever do juiz aquilatar a técnica processual que melhor se harmoniza com as carências do direito material em jogo.</w:t>
      </w:r>
      <w:r>
        <w:rPr>
          <w:rFonts w:ascii="Times New Roman" w:hAnsi="Times New Roman" w:cs="Times New Roman"/>
          <w:color w:val="000000"/>
          <w:sz w:val="20"/>
          <w:szCs w:val="20"/>
        </w:rPr>
        <w:t xml:space="preserve"> (ZARONI; VITORELLI, p. 66, 2016)</w:t>
      </w:r>
    </w:p>
    <w:p w14:paraId="4C852B70" w14:textId="77777777" w:rsidR="001A0541" w:rsidRDefault="001A0541" w:rsidP="001A0541">
      <w:pPr>
        <w:spacing w:after="0" w:line="360" w:lineRule="auto"/>
        <w:ind w:firstLine="1134"/>
        <w:jc w:val="both"/>
        <w:rPr>
          <w:rFonts w:ascii="Times New Roman" w:hAnsi="Times New Roman" w:cs="Times New Roman"/>
          <w:b/>
          <w:sz w:val="24"/>
          <w:szCs w:val="24"/>
        </w:rPr>
      </w:pPr>
      <w:r>
        <w:rPr>
          <w:rFonts w:ascii="Times New Roman" w:hAnsi="Times New Roman" w:cs="Times New Roman"/>
          <w:color w:val="000000"/>
          <w:sz w:val="24"/>
          <w:szCs w:val="24"/>
        </w:rPr>
        <w:t xml:space="preserve">Outra novidade trazida pelo código de 2015, segundo Alexandre Câmara (2016) é a </w:t>
      </w:r>
      <w:r w:rsidRPr="00093328">
        <w:rPr>
          <w:rFonts w:ascii="Times New Roman" w:hAnsi="Times New Roman" w:cs="Times New Roman"/>
          <w:color w:val="000000"/>
          <w:sz w:val="24"/>
          <w:szCs w:val="24"/>
        </w:rPr>
        <w:t>capacidade de</w:t>
      </w:r>
      <w:r>
        <w:rPr>
          <w:rFonts w:ascii="Times New Roman" w:hAnsi="Times New Roman" w:cs="Times New Roman"/>
          <w:color w:val="000000"/>
          <w:sz w:val="24"/>
          <w:szCs w:val="24"/>
        </w:rPr>
        <w:t>, conforme o artigo 139, VI,</w:t>
      </w:r>
      <w:r>
        <w:rPr>
          <w:rFonts w:ascii="Arial" w:hAnsi="Arial" w:cs="Arial"/>
          <w:color w:val="000000"/>
        </w:rPr>
        <w:t xml:space="preserve"> </w:t>
      </w:r>
      <w:r w:rsidRPr="00093328">
        <w:rPr>
          <w:rFonts w:ascii="Times New Roman" w:hAnsi="Times New Roman" w:cs="Times New Roman"/>
          <w:sz w:val="24"/>
          <w:szCs w:val="24"/>
        </w:rPr>
        <w:t>“dilatar os prazos processuais e alterar a ordem de produção dos meios de prova, adequando-os às necessidades do conflito de modo a conferir maior efetividade à tutela do direito”</w:t>
      </w:r>
      <w:r>
        <w:rPr>
          <w:rFonts w:ascii="Times New Roman" w:hAnsi="Times New Roman" w:cs="Times New Roman"/>
          <w:sz w:val="24"/>
          <w:szCs w:val="24"/>
        </w:rPr>
        <w:t xml:space="preserve"> (BRASIL, 2015) por parte do juiz, o que garante uma maior maleabilidade do processo em função das partes, uma vez que alguns ritos processuais dependem de uma maior flexibilização do tempo para a preparação das partes.</w:t>
      </w:r>
    </w:p>
    <w:p w14:paraId="4C852B71" w14:textId="77777777" w:rsidR="001A0541" w:rsidRDefault="001A0541" w:rsidP="001A0541">
      <w:pPr>
        <w:spacing w:after="0" w:line="360" w:lineRule="auto"/>
        <w:jc w:val="both"/>
        <w:rPr>
          <w:rFonts w:ascii="Times New Roman" w:hAnsi="Times New Roman" w:cs="Times New Roman"/>
          <w:b/>
          <w:sz w:val="24"/>
          <w:szCs w:val="24"/>
        </w:rPr>
      </w:pPr>
    </w:p>
    <w:p w14:paraId="4C852B72" w14:textId="77777777" w:rsidR="001A0541" w:rsidRDefault="001A0541" w:rsidP="001A05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Características e as situações que se pode aplicar uma medida atípica para a execução de um título judicial </w:t>
      </w:r>
    </w:p>
    <w:p w14:paraId="4C852B73" w14:textId="77777777" w:rsidR="001A0541" w:rsidRDefault="001A0541" w:rsidP="001A0541">
      <w:pPr>
        <w:spacing w:after="0" w:line="360" w:lineRule="auto"/>
        <w:jc w:val="both"/>
        <w:rPr>
          <w:rFonts w:ascii="Times New Roman" w:hAnsi="Times New Roman" w:cs="Times New Roman"/>
          <w:b/>
          <w:sz w:val="24"/>
          <w:szCs w:val="24"/>
        </w:rPr>
      </w:pPr>
    </w:p>
    <w:p w14:paraId="4C852B74" w14:textId="77777777" w:rsidR="001A0541" w:rsidRDefault="001A0541" w:rsidP="001A05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novo CPC trouxe consigo mudanças fundamentais que ajudam a assegurar tanto às partes quanto ao próprio procedimento garantias constitucionais indispensáveis para o bom funcionamento desse. Diferente não seria com o processo de execução, por conta disso é que o artigo 139 elenca, como já citado no texto, formas atípicas para a execução das obrigações além da flexibilização dos prazos processais e demais ritos do processo em seus incisos, trazendo no seu corpo textual princípios que irão caracterizar o exercício da norma processual de 2015. </w:t>
      </w:r>
    </w:p>
    <w:p w14:paraId="4C852B75" w14:textId="77777777" w:rsidR="001A0541" w:rsidRDefault="001A0541" w:rsidP="001A05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Marcelo Abelha (2016) traz em seu texto o Princípio da Atipicidade dos Meios Executivos. Segundo o autor, esse princípio dá a capacidade ao juiz de sair de “uma postura tímida e inerte para assumir uma conduta participativa e comprometida com a entrega, em tempo razoável, da tutela jurisdicional” (ABELHA, 2016, p. 61). Este princípio nos remete também ao Princípio da Razoável Duração do Processo, quanto o mesmo autor afirma que “Muitos são os exemplos de técnicas novas e outras revisadas no Novo CPC de 2015 com o intuito de implementar a tutela justa e efetiva em tempo razoável”. Dessa maneira, o autor nos demonstra que agora o legislador trouxe a preocupação de fazer cumprir com a obrigação do executado em um lapso temporal adequado às partes. </w:t>
      </w:r>
    </w:p>
    <w:p w14:paraId="4C852B76" w14:textId="77777777" w:rsidR="001A0541" w:rsidRDefault="001A0541" w:rsidP="001A0541">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 xml:space="preserve">Assim, o juiz poderá utilizar dos meios adequados para de acordo com a situação processual para que dar melhor provimento ao processo (ABELHA, 2016), dando margem também a utilização </w:t>
      </w:r>
      <w:r w:rsidRPr="00335C27">
        <w:rPr>
          <w:rFonts w:ascii="Times New Roman" w:hAnsi="Times New Roman" w:cs="Times New Roman"/>
          <w:sz w:val="24"/>
          <w:szCs w:val="24"/>
        </w:rPr>
        <w:t xml:space="preserve">do inciso </w:t>
      </w:r>
      <w:r w:rsidRPr="00335C27">
        <w:rPr>
          <w:rFonts w:ascii="Times New Roman" w:hAnsi="Times New Roman" w:cs="Times New Roman"/>
          <w:color w:val="000000"/>
          <w:sz w:val="24"/>
          <w:szCs w:val="24"/>
        </w:rPr>
        <w:t>VI</w:t>
      </w:r>
      <w:r>
        <w:rPr>
          <w:rFonts w:ascii="Times New Roman" w:hAnsi="Times New Roman" w:cs="Times New Roman"/>
          <w:color w:val="000000"/>
          <w:sz w:val="24"/>
          <w:szCs w:val="24"/>
        </w:rPr>
        <w:t xml:space="preserve">, artigo 319 do novo </w:t>
      </w:r>
      <w:r w:rsidRPr="00335C27">
        <w:rPr>
          <w:rFonts w:ascii="Times New Roman" w:hAnsi="Times New Roman" w:cs="Times New Roman"/>
          <w:color w:val="000000"/>
          <w:sz w:val="24"/>
          <w:szCs w:val="24"/>
        </w:rPr>
        <w:t>C</w:t>
      </w:r>
      <w:r>
        <w:rPr>
          <w:rFonts w:ascii="Times New Roman" w:hAnsi="Times New Roman" w:cs="Times New Roman"/>
          <w:color w:val="000000"/>
          <w:sz w:val="24"/>
          <w:szCs w:val="24"/>
        </w:rPr>
        <w:t xml:space="preserve">ódigo de </w:t>
      </w:r>
      <w:r w:rsidRPr="00335C27">
        <w:rPr>
          <w:rFonts w:ascii="Times New Roman" w:hAnsi="Times New Roman" w:cs="Times New Roman"/>
          <w:color w:val="000000"/>
          <w:sz w:val="24"/>
          <w:szCs w:val="24"/>
        </w:rPr>
        <w:t>P</w:t>
      </w:r>
      <w:r>
        <w:rPr>
          <w:rFonts w:ascii="Times New Roman" w:hAnsi="Times New Roman" w:cs="Times New Roman"/>
          <w:color w:val="000000"/>
          <w:sz w:val="24"/>
          <w:szCs w:val="24"/>
        </w:rPr>
        <w:t xml:space="preserve">rocesso </w:t>
      </w:r>
      <w:r w:rsidRPr="00335C27">
        <w:rPr>
          <w:rFonts w:ascii="Times New Roman" w:hAnsi="Times New Roman" w:cs="Times New Roman"/>
          <w:color w:val="000000"/>
          <w:sz w:val="24"/>
          <w:szCs w:val="24"/>
        </w:rPr>
        <w:t>C</w:t>
      </w:r>
      <w:r>
        <w:rPr>
          <w:rFonts w:ascii="Times New Roman" w:hAnsi="Times New Roman" w:cs="Times New Roman"/>
          <w:color w:val="000000"/>
          <w:sz w:val="24"/>
          <w:szCs w:val="24"/>
        </w:rPr>
        <w:t>ivil</w:t>
      </w:r>
      <w:r w:rsidRPr="00335C27">
        <w:rPr>
          <w:rFonts w:ascii="Times New Roman" w:hAnsi="Times New Roman" w:cs="Times New Roman"/>
          <w:color w:val="000000"/>
          <w:sz w:val="24"/>
          <w:szCs w:val="24"/>
        </w:rPr>
        <w:t xml:space="preserve">, que garante a </w:t>
      </w:r>
      <w:r w:rsidRPr="00335C27">
        <w:rPr>
          <w:rFonts w:ascii="Times New Roman" w:hAnsi="Times New Roman" w:cs="Times New Roman"/>
          <w:color w:val="000000"/>
          <w:sz w:val="24"/>
          <w:szCs w:val="24"/>
        </w:rPr>
        <w:lastRenderedPageBreak/>
        <w:t>capacidade de “dilatar os prazos processuais e alterar a ordem de produção dos meios de prova, adequando-os às necessidades do conflito de modo a conferir maior efetividade à tutela do direito”</w:t>
      </w:r>
      <w:r>
        <w:rPr>
          <w:rFonts w:ascii="Times New Roman" w:hAnsi="Times New Roman" w:cs="Times New Roman"/>
          <w:color w:val="000000"/>
          <w:sz w:val="24"/>
          <w:szCs w:val="24"/>
        </w:rPr>
        <w:t xml:space="preserve"> (BRASIL, 2015).</w:t>
      </w:r>
    </w:p>
    <w:p w14:paraId="4C852B77" w14:textId="77777777" w:rsidR="001A0541" w:rsidRDefault="001A0541" w:rsidP="001A0541">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Entretanto, deve-se manter a cautela</w:t>
      </w:r>
      <w:r w:rsidR="00DA4D4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A4D42">
        <w:rPr>
          <w:rFonts w:ascii="Times New Roman" w:hAnsi="Times New Roman" w:cs="Times New Roman"/>
          <w:color w:val="000000"/>
          <w:sz w:val="24"/>
          <w:szCs w:val="24"/>
        </w:rPr>
        <w:t>pois no processo há várias partes envolvidas e é preciso garantir uma resposta justa todas. Assim,</w:t>
      </w:r>
      <w:r>
        <w:rPr>
          <w:rFonts w:ascii="Times New Roman" w:hAnsi="Times New Roman" w:cs="Times New Roman"/>
          <w:color w:val="000000"/>
          <w:sz w:val="24"/>
          <w:szCs w:val="24"/>
        </w:rPr>
        <w:t xml:space="preserve"> é necessário que se busque os limites constitucionais da execução</w:t>
      </w:r>
      <w:r w:rsidR="00DA4D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 vias atípicas, </w:t>
      </w:r>
      <w:r w:rsidR="00DA4D42">
        <w:rPr>
          <w:rFonts w:ascii="Times New Roman" w:hAnsi="Times New Roman" w:cs="Times New Roman"/>
          <w:color w:val="000000"/>
          <w:sz w:val="24"/>
          <w:szCs w:val="24"/>
        </w:rPr>
        <w:t xml:space="preserve">com base nos princípios e nos direitos fundamentais, </w:t>
      </w:r>
      <w:r>
        <w:rPr>
          <w:rFonts w:ascii="Times New Roman" w:hAnsi="Times New Roman" w:cs="Times New Roman"/>
          <w:color w:val="000000"/>
          <w:sz w:val="24"/>
          <w:szCs w:val="24"/>
        </w:rPr>
        <w:t>já que segundo o autor:</w:t>
      </w:r>
    </w:p>
    <w:p w14:paraId="4C852B78" w14:textId="77777777" w:rsidR="001A0541" w:rsidRPr="00335C27" w:rsidRDefault="001A0541" w:rsidP="001A0541">
      <w:pPr>
        <w:spacing w:after="0" w:line="240" w:lineRule="auto"/>
        <w:ind w:left="2268"/>
        <w:jc w:val="both"/>
        <w:rPr>
          <w:rFonts w:ascii="Times New Roman" w:hAnsi="Times New Roman" w:cs="Times New Roman"/>
          <w:sz w:val="20"/>
          <w:szCs w:val="20"/>
        </w:rPr>
      </w:pPr>
      <w:r w:rsidRPr="00335C27">
        <w:rPr>
          <w:rFonts w:ascii="Times New Roman" w:hAnsi="Times New Roman" w:cs="Times New Roman"/>
          <w:color w:val="000000"/>
          <w:sz w:val="20"/>
          <w:szCs w:val="20"/>
        </w:rPr>
        <w:t>É claro que tal princípio dá ao magistrado enorme poderes, e, como corolário lógico, enorme responsabilidade na sua utilização, pois os meios executivos são aqueles que atuam coativamente sobre o executado, de modo sub-rogatório ou coercitivo, com o fim de satisfazer o direito exequendo, e, por isso mesmo, o risco de prejuízos ao executado é evidente.</w:t>
      </w:r>
      <w:r>
        <w:rPr>
          <w:rFonts w:ascii="Times New Roman" w:hAnsi="Times New Roman" w:cs="Times New Roman"/>
          <w:color w:val="000000"/>
          <w:sz w:val="20"/>
          <w:szCs w:val="20"/>
        </w:rPr>
        <w:t xml:space="preserve"> (ABELHA, 2016, p. 62)</w:t>
      </w:r>
    </w:p>
    <w:p w14:paraId="4C852B79" w14:textId="77777777" w:rsidR="001A0541" w:rsidRPr="00335C27" w:rsidRDefault="001A0541" w:rsidP="001A0541">
      <w:pPr>
        <w:spacing w:after="0" w:line="360" w:lineRule="auto"/>
        <w:ind w:firstLine="1134"/>
        <w:jc w:val="both"/>
        <w:rPr>
          <w:rFonts w:ascii="Times New Roman" w:hAnsi="Times New Roman" w:cs="Times New Roman"/>
          <w:sz w:val="24"/>
          <w:szCs w:val="24"/>
        </w:rPr>
      </w:pPr>
      <w:r w:rsidRPr="00335C27">
        <w:rPr>
          <w:rFonts w:ascii="Times New Roman" w:hAnsi="Times New Roman" w:cs="Times New Roman"/>
          <w:sz w:val="24"/>
          <w:szCs w:val="24"/>
        </w:rPr>
        <w:t>Dessa</w:t>
      </w:r>
      <w:r>
        <w:rPr>
          <w:rFonts w:ascii="Times New Roman" w:hAnsi="Times New Roman" w:cs="Times New Roman"/>
          <w:sz w:val="24"/>
          <w:szCs w:val="24"/>
        </w:rPr>
        <w:t xml:space="preserve"> forma, fica evidente que aqui estamos tratando do patrimônio alheio e os cuidados devem ser redobrados para a aplicação eficaz do direito no processo de execução.</w:t>
      </w:r>
      <w:r w:rsidR="00FA6A76">
        <w:rPr>
          <w:rFonts w:ascii="Times New Roman" w:hAnsi="Times New Roman" w:cs="Times New Roman"/>
          <w:sz w:val="24"/>
          <w:szCs w:val="24"/>
        </w:rPr>
        <w:t xml:space="preserve"> Segundo o CONJUR (2016), já existem decisões em que os réus tiveram passaporte e carteira de motorista confiscados por terem dívidas jamais executadas com a justificativa de que não tem como pagar por via de incompatibilidade com o padrão de vida, onde o executado sempre está viajando internacionalmente e dirigindo carros importados.</w:t>
      </w:r>
      <w:r w:rsidR="00256DD4">
        <w:rPr>
          <w:rFonts w:ascii="Times New Roman" w:hAnsi="Times New Roman" w:cs="Times New Roman"/>
          <w:sz w:val="24"/>
          <w:szCs w:val="24"/>
        </w:rPr>
        <w:t xml:space="preserve"> O texto ainda qualifica que essas medidas devem ser todas legais, proporcionais e excepcionais, tendo em vista que o objetivo é o cumprimento de uma tutela e não um poder de coação por parte dos magistrados.</w:t>
      </w:r>
    </w:p>
    <w:p w14:paraId="4C852B7A" w14:textId="77777777" w:rsidR="00790B78" w:rsidRPr="00790B78" w:rsidRDefault="00790B78" w:rsidP="001A0541">
      <w:pPr>
        <w:spacing w:after="0" w:line="360" w:lineRule="auto"/>
        <w:jc w:val="both"/>
        <w:rPr>
          <w:rFonts w:ascii="Times New Roman" w:hAnsi="Times New Roman" w:cs="Times New Roman"/>
          <w:sz w:val="24"/>
          <w:szCs w:val="24"/>
        </w:rPr>
      </w:pPr>
    </w:p>
    <w:p w14:paraId="4C852B7B" w14:textId="77777777" w:rsidR="001A0541" w:rsidRDefault="001A0541" w:rsidP="001A0541">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2.3 Os</w:t>
      </w:r>
      <w:proofErr w:type="gramEnd"/>
      <w:r>
        <w:rPr>
          <w:rFonts w:ascii="Times New Roman" w:hAnsi="Times New Roman" w:cs="Times New Roman"/>
          <w:b/>
          <w:sz w:val="24"/>
          <w:szCs w:val="24"/>
        </w:rPr>
        <w:t xml:space="preserve"> limites</w:t>
      </w:r>
      <w:r w:rsidR="00611226">
        <w:rPr>
          <w:rFonts w:ascii="Times New Roman" w:hAnsi="Times New Roman" w:cs="Times New Roman"/>
          <w:b/>
          <w:sz w:val="24"/>
          <w:szCs w:val="24"/>
        </w:rPr>
        <w:t xml:space="preserve"> constitucionais da execução de uma sentença por</w:t>
      </w:r>
      <w:r>
        <w:rPr>
          <w:rFonts w:ascii="Times New Roman" w:hAnsi="Times New Roman" w:cs="Times New Roman"/>
          <w:b/>
          <w:sz w:val="24"/>
          <w:szCs w:val="24"/>
        </w:rPr>
        <w:t xml:space="preserve"> meios atípicos </w:t>
      </w:r>
    </w:p>
    <w:p w14:paraId="4C852B7C" w14:textId="77777777" w:rsidR="001A0541" w:rsidRDefault="001A0541" w:rsidP="001A0541">
      <w:pPr>
        <w:spacing w:after="0" w:line="360" w:lineRule="auto"/>
        <w:jc w:val="both"/>
        <w:rPr>
          <w:rFonts w:ascii="Times New Roman" w:hAnsi="Times New Roman" w:cs="Times New Roman"/>
          <w:b/>
          <w:sz w:val="24"/>
          <w:szCs w:val="24"/>
        </w:rPr>
      </w:pPr>
    </w:p>
    <w:p w14:paraId="4C852B7D" w14:textId="77777777" w:rsidR="001A0541" w:rsidRDefault="001A0541" w:rsidP="001A0541">
      <w:pPr>
        <w:spacing w:after="0" w:line="360" w:lineRule="auto"/>
        <w:ind w:firstLine="1134"/>
        <w:jc w:val="both"/>
      </w:pPr>
      <w:r>
        <w:rPr>
          <w:rFonts w:ascii="Times New Roman" w:hAnsi="Times New Roman" w:cs="Times New Roman"/>
          <w:sz w:val="24"/>
          <w:szCs w:val="24"/>
        </w:rPr>
        <w:t>No artigo 139, inciso IV do Código de Processo Civil (2015), diz que cabe ao juiz dirigir o processo e determinar as medidas que são necessárias para assegurar que a ordem judicial seja cumprida, para que o exequente cumpra a obrigação de pagar a quantia c</w:t>
      </w:r>
      <w:r w:rsidR="00FA6A76">
        <w:rPr>
          <w:rFonts w:ascii="Times New Roman" w:hAnsi="Times New Roman" w:cs="Times New Roman"/>
          <w:sz w:val="24"/>
          <w:szCs w:val="24"/>
        </w:rPr>
        <w:t>erta (ASSIS, 2016).</w:t>
      </w:r>
    </w:p>
    <w:p w14:paraId="4C852B7E" w14:textId="77777777" w:rsidR="001A0541" w:rsidRDefault="001A0541" w:rsidP="001A0541">
      <w:pPr>
        <w:spacing w:after="0" w:line="360" w:lineRule="auto"/>
        <w:ind w:firstLine="1134"/>
        <w:jc w:val="both"/>
      </w:pPr>
      <w:r>
        <w:rPr>
          <w:rFonts w:ascii="Times New Roman" w:hAnsi="Times New Roman" w:cs="Times New Roman"/>
          <w:sz w:val="24"/>
          <w:szCs w:val="24"/>
        </w:rPr>
        <w:t>O Código dá essa possibilidade ao Juiz pois muitas vezes não é encontrado nenhum patrimônio no nome do d</w:t>
      </w:r>
      <w:r w:rsidR="00FA6A76">
        <w:rPr>
          <w:rFonts w:ascii="Times New Roman" w:hAnsi="Times New Roman" w:cs="Times New Roman"/>
          <w:sz w:val="24"/>
          <w:szCs w:val="24"/>
        </w:rPr>
        <w:t>evedor, mas este muitas vezes te</w:t>
      </w:r>
      <w:r>
        <w:rPr>
          <w:rFonts w:ascii="Times New Roman" w:hAnsi="Times New Roman" w:cs="Times New Roman"/>
          <w:sz w:val="24"/>
          <w:szCs w:val="24"/>
        </w:rPr>
        <w:t>m uma vida de luxo, como por exemplo, fazendo viagens, oferecendo festas, usando carros caros, entre outros. Através dos meios atípicos é possível que o juiz possa bloquear passaporte para que o devedor não viaje, ou apreenda os presentes recebidos nas festas para pode</w:t>
      </w:r>
      <w:r w:rsidR="00FA6A76">
        <w:rPr>
          <w:rFonts w:ascii="Times New Roman" w:hAnsi="Times New Roman" w:cs="Times New Roman"/>
          <w:sz w:val="24"/>
          <w:szCs w:val="24"/>
        </w:rPr>
        <w:t xml:space="preserve">r pagar a quantia que é devida </w:t>
      </w:r>
      <w:r>
        <w:rPr>
          <w:rFonts w:ascii="Times New Roman" w:hAnsi="Times New Roman" w:cs="Times New Roman"/>
          <w:sz w:val="24"/>
          <w:szCs w:val="24"/>
        </w:rPr>
        <w:t>(ASSIS, 2016)</w:t>
      </w:r>
      <w:r w:rsidR="00FA6A76">
        <w:rPr>
          <w:rFonts w:ascii="Times New Roman" w:hAnsi="Times New Roman" w:cs="Times New Roman"/>
          <w:sz w:val="24"/>
          <w:szCs w:val="24"/>
        </w:rPr>
        <w:t>.</w:t>
      </w:r>
    </w:p>
    <w:p w14:paraId="4C852B7F" w14:textId="77777777" w:rsidR="001A0541" w:rsidRDefault="001A0541" w:rsidP="001A0541">
      <w:pPr>
        <w:spacing w:after="0" w:line="360" w:lineRule="auto"/>
        <w:ind w:firstLine="1134"/>
        <w:jc w:val="both"/>
        <w:rPr>
          <w:rFonts w:ascii="Times New Roman" w:hAnsi="Times New Roman" w:cs="Times New Roman"/>
          <w:sz w:val="24"/>
          <w:szCs w:val="24"/>
        </w:rPr>
      </w:pPr>
      <w:r w:rsidRPr="001876A3">
        <w:rPr>
          <w:rFonts w:ascii="Times New Roman" w:hAnsi="Times New Roman" w:cs="Times New Roman"/>
          <w:sz w:val="24"/>
          <w:szCs w:val="24"/>
        </w:rPr>
        <w:t>No Processo nº 2010.08.1.003556-9, o Juiz de Direito determinou o bloqueio dos créditos dos presentes que o exequente havia ganho com a lista de casamentos em lojas de auto padrão. O Juiz já tinha procurado por outros meios e não tinha encontrado nada</w:t>
      </w:r>
      <w:r>
        <w:rPr>
          <w:rFonts w:ascii="Times New Roman" w:hAnsi="Times New Roman" w:cs="Times New Roman"/>
          <w:sz w:val="24"/>
          <w:szCs w:val="24"/>
        </w:rPr>
        <w:t xml:space="preserve">. Mas existe </w:t>
      </w:r>
      <w:r>
        <w:rPr>
          <w:rFonts w:ascii="Times New Roman" w:hAnsi="Times New Roman" w:cs="Times New Roman"/>
          <w:sz w:val="24"/>
          <w:szCs w:val="24"/>
        </w:rPr>
        <w:lastRenderedPageBreak/>
        <w:t>princípios constitucionais que protegem os direitos do i</w:t>
      </w:r>
      <w:r w:rsidR="00FA6A76">
        <w:rPr>
          <w:rFonts w:ascii="Times New Roman" w:hAnsi="Times New Roman" w:cs="Times New Roman"/>
          <w:sz w:val="24"/>
          <w:szCs w:val="24"/>
        </w:rPr>
        <w:t>ndivíduo, e de terceiros também</w:t>
      </w:r>
      <w:r>
        <w:rPr>
          <w:rFonts w:ascii="Times New Roman" w:hAnsi="Times New Roman" w:cs="Times New Roman"/>
          <w:sz w:val="24"/>
          <w:szCs w:val="24"/>
        </w:rPr>
        <w:t xml:space="preserve"> (LIMA, 2016)</w:t>
      </w:r>
      <w:r w:rsidR="00FA6A76">
        <w:rPr>
          <w:rFonts w:ascii="Times New Roman" w:hAnsi="Times New Roman" w:cs="Times New Roman"/>
          <w:sz w:val="24"/>
          <w:szCs w:val="24"/>
        </w:rPr>
        <w:t>.</w:t>
      </w:r>
    </w:p>
    <w:p w14:paraId="4C852B80" w14:textId="77777777" w:rsidR="001A0541" w:rsidRDefault="001A0541" w:rsidP="001A05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artigo 8º do Código de Processo Civil (</w:t>
      </w:r>
      <w:r w:rsidR="009312E2">
        <w:rPr>
          <w:rFonts w:ascii="Times New Roman" w:hAnsi="Times New Roman" w:cs="Times New Roman"/>
          <w:sz w:val="24"/>
          <w:szCs w:val="24"/>
        </w:rPr>
        <w:t xml:space="preserve">BRASIL, </w:t>
      </w:r>
      <w:r>
        <w:rPr>
          <w:rFonts w:ascii="Times New Roman" w:hAnsi="Times New Roman" w:cs="Times New Roman"/>
          <w:sz w:val="24"/>
          <w:szCs w:val="24"/>
        </w:rPr>
        <w:t xml:space="preserve">2015), diz que cabe ao Juiz atender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exigência do bem comum, onde se tenha a proteção da dignidade humana observando a proporcionalidade e a ra</w:t>
      </w:r>
      <w:r w:rsidR="00FA6A76">
        <w:rPr>
          <w:rFonts w:ascii="Times New Roman" w:hAnsi="Times New Roman" w:cs="Times New Roman"/>
          <w:sz w:val="24"/>
          <w:szCs w:val="24"/>
        </w:rPr>
        <w:t>zoabilidade</w:t>
      </w:r>
      <w:r w:rsidR="009312E2">
        <w:rPr>
          <w:rFonts w:ascii="Times New Roman" w:hAnsi="Times New Roman" w:cs="Times New Roman"/>
          <w:sz w:val="24"/>
          <w:szCs w:val="24"/>
        </w:rPr>
        <w:t xml:space="preserve"> ao aplicar o ordenamento jurídico </w:t>
      </w:r>
      <w:r>
        <w:rPr>
          <w:rFonts w:ascii="Times New Roman" w:hAnsi="Times New Roman" w:cs="Times New Roman"/>
          <w:sz w:val="24"/>
          <w:szCs w:val="24"/>
        </w:rPr>
        <w:t>(LIMA, 2016)</w:t>
      </w:r>
      <w:r w:rsidR="00FA6A76">
        <w:rPr>
          <w:rFonts w:ascii="Times New Roman" w:hAnsi="Times New Roman" w:cs="Times New Roman"/>
          <w:sz w:val="24"/>
          <w:szCs w:val="24"/>
        </w:rPr>
        <w:t>.</w:t>
      </w:r>
      <w:r w:rsidR="009312E2">
        <w:rPr>
          <w:rFonts w:ascii="Times New Roman" w:hAnsi="Times New Roman" w:cs="Times New Roman"/>
          <w:sz w:val="24"/>
          <w:szCs w:val="24"/>
        </w:rPr>
        <w:t xml:space="preserve"> Assim, apesar da discricionariedade do juiz em determinar qual medida atípica deve ser utilizada, ela deve estar em conformidade com a razoabilidade e a proporcionalidade assim como protegendo a dignidade humana. </w:t>
      </w:r>
    </w:p>
    <w:p w14:paraId="4C852B81" w14:textId="77777777" w:rsidR="00B00FD1" w:rsidRPr="00B00FD1" w:rsidRDefault="00B00FD1" w:rsidP="001A0541">
      <w:pPr>
        <w:spacing w:after="0" w:line="360" w:lineRule="auto"/>
        <w:ind w:firstLine="1134"/>
        <w:jc w:val="both"/>
        <w:rPr>
          <w:rFonts w:ascii="Times New Roman" w:hAnsi="Times New Roman" w:cs="Times New Roman"/>
          <w:sz w:val="24"/>
          <w:szCs w:val="24"/>
        </w:rPr>
      </w:pPr>
      <w:r w:rsidRPr="00B00FD1">
        <w:rPr>
          <w:rFonts w:ascii="Times New Roman" w:hAnsi="Times New Roman" w:cs="Times New Roman"/>
          <w:sz w:val="24"/>
          <w:szCs w:val="24"/>
        </w:rPr>
        <w:t xml:space="preserve">Além disso, o Código de Processo Civil (BRASIL, </w:t>
      </w:r>
      <w:r>
        <w:rPr>
          <w:rFonts w:ascii="Times New Roman" w:hAnsi="Times New Roman" w:cs="Times New Roman"/>
          <w:sz w:val="24"/>
          <w:szCs w:val="24"/>
        </w:rPr>
        <w:t xml:space="preserve">p. [?], </w:t>
      </w:r>
      <w:r w:rsidRPr="00B00FD1">
        <w:rPr>
          <w:rFonts w:ascii="Times New Roman" w:hAnsi="Times New Roman" w:cs="Times New Roman"/>
          <w:sz w:val="24"/>
          <w:szCs w:val="24"/>
        </w:rPr>
        <w:t xml:space="preserve">2015), no seu artigo 805 determina que: </w:t>
      </w:r>
      <w:r w:rsidRPr="00B00FD1">
        <w:rPr>
          <w:rFonts w:ascii="Times New Roman" w:hAnsi="Times New Roman" w:cs="Times New Roman"/>
          <w:color w:val="000000"/>
          <w:sz w:val="24"/>
          <w:szCs w:val="24"/>
        </w:rPr>
        <w:t>“Quando por vários meios o exequente puder promover a execução, o juiz mandará que se faça pelo modo menos gravoso para o executado.”</w:t>
      </w:r>
      <w:r>
        <w:rPr>
          <w:rFonts w:ascii="Times New Roman" w:hAnsi="Times New Roman" w:cs="Times New Roman"/>
          <w:color w:val="000000"/>
          <w:sz w:val="24"/>
          <w:szCs w:val="24"/>
        </w:rPr>
        <w:t>. Entende-se que, p</w:t>
      </w:r>
      <w:r w:rsidR="003D36C1">
        <w:rPr>
          <w:rFonts w:ascii="Times New Roman" w:hAnsi="Times New Roman" w:cs="Times New Roman"/>
          <w:color w:val="000000"/>
          <w:sz w:val="24"/>
          <w:szCs w:val="24"/>
        </w:rPr>
        <w:t>or meio deste artigo, quando</w:t>
      </w:r>
      <w:r>
        <w:rPr>
          <w:rFonts w:ascii="Times New Roman" w:hAnsi="Times New Roman" w:cs="Times New Roman"/>
          <w:color w:val="000000"/>
          <w:sz w:val="24"/>
          <w:szCs w:val="24"/>
        </w:rPr>
        <w:t xml:space="preserve"> possível</w:t>
      </w:r>
      <w:r w:rsidR="003D36C1">
        <w:rPr>
          <w:rFonts w:ascii="Times New Roman" w:hAnsi="Times New Roman" w:cs="Times New Roman"/>
          <w:color w:val="000000"/>
          <w:sz w:val="24"/>
          <w:szCs w:val="24"/>
        </w:rPr>
        <w:t>, a execução deve se</w:t>
      </w:r>
      <w:r>
        <w:rPr>
          <w:rFonts w:ascii="Times New Roman" w:hAnsi="Times New Roman" w:cs="Times New Roman"/>
          <w:color w:val="000000"/>
          <w:sz w:val="24"/>
          <w:szCs w:val="24"/>
        </w:rPr>
        <w:t xml:space="preserve"> </w:t>
      </w:r>
      <w:r w:rsidR="003D36C1">
        <w:rPr>
          <w:rFonts w:ascii="Times New Roman" w:hAnsi="Times New Roman" w:cs="Times New Roman"/>
          <w:color w:val="000000"/>
          <w:sz w:val="24"/>
          <w:szCs w:val="24"/>
        </w:rPr>
        <w:t>efetivar de forma a causar menos prejuízos ao executado e isso deve influenciar até mesmo na escolha dos meios atípicos a serem aplicados.</w:t>
      </w:r>
    </w:p>
    <w:p w14:paraId="4C852B82" w14:textId="77777777" w:rsidR="00BA4190" w:rsidRDefault="001A0541" w:rsidP="00BA41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Através da proporcionalidade o magistrado deve aplicar os meios que lhe cabem, onde só </w:t>
      </w:r>
      <w:proofErr w:type="spellStart"/>
      <w:r>
        <w:rPr>
          <w:rFonts w:ascii="Times New Roman" w:hAnsi="Times New Roman" w:cs="Times New Roman"/>
          <w:sz w:val="24"/>
          <w:szCs w:val="24"/>
        </w:rPr>
        <w:t>ira</w:t>
      </w:r>
      <w:proofErr w:type="spellEnd"/>
      <w:r>
        <w:rPr>
          <w:rFonts w:ascii="Times New Roman" w:hAnsi="Times New Roman" w:cs="Times New Roman"/>
          <w:sz w:val="24"/>
          <w:szCs w:val="24"/>
        </w:rPr>
        <w:t xml:space="preserve"> usar dos meios atípicos caso não seja encontrado o patrimônio do devedor de forma nenhuma, e deve utilizar também da razoabilidade, com isso, o Juiz deve decidir por aquilo que for mais razoável para todos, sem qu</w:t>
      </w:r>
      <w:r w:rsidR="00FA6A76">
        <w:rPr>
          <w:rFonts w:ascii="Times New Roman" w:hAnsi="Times New Roman" w:cs="Times New Roman"/>
          <w:sz w:val="24"/>
          <w:szCs w:val="24"/>
        </w:rPr>
        <w:t xml:space="preserve">e terceiros sejam prejudicados, </w:t>
      </w:r>
      <w:r>
        <w:rPr>
          <w:rFonts w:ascii="Times New Roman" w:hAnsi="Times New Roman" w:cs="Times New Roman"/>
          <w:sz w:val="24"/>
          <w:szCs w:val="24"/>
        </w:rPr>
        <w:t>a</w:t>
      </w:r>
      <w:r w:rsidR="00FA6A76">
        <w:rPr>
          <w:rFonts w:ascii="Times New Roman" w:hAnsi="Times New Roman" w:cs="Times New Roman"/>
          <w:sz w:val="24"/>
          <w:szCs w:val="24"/>
        </w:rPr>
        <w:t>fetados pelas decisões do juiz</w:t>
      </w:r>
      <w:r>
        <w:rPr>
          <w:rFonts w:ascii="Times New Roman" w:hAnsi="Times New Roman" w:cs="Times New Roman"/>
          <w:sz w:val="24"/>
          <w:szCs w:val="24"/>
        </w:rPr>
        <w:t xml:space="preserve"> (LIMA, 2016)</w:t>
      </w:r>
      <w:r w:rsidR="00FA6A76">
        <w:rPr>
          <w:rFonts w:ascii="Times New Roman" w:hAnsi="Times New Roman" w:cs="Times New Roman"/>
          <w:sz w:val="24"/>
          <w:szCs w:val="24"/>
        </w:rPr>
        <w:t>.</w:t>
      </w:r>
    </w:p>
    <w:p w14:paraId="4C852B83" w14:textId="77777777" w:rsidR="001A0541" w:rsidRDefault="00FA6A76" w:rsidP="001A05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isso, as medidas atípicas serão usadas</w:t>
      </w:r>
      <w:r w:rsidR="001A0541">
        <w:rPr>
          <w:rFonts w:ascii="Times New Roman" w:hAnsi="Times New Roman" w:cs="Times New Roman"/>
          <w:sz w:val="24"/>
          <w:szCs w:val="24"/>
        </w:rPr>
        <w:t xml:space="preserve"> quando ao entendimento do magistrado se constate que tais medidas serão uteis para a obtenção da tutela pretendida de forma adequada, além de notar que o devedor estar se esquivando</w:t>
      </w:r>
      <w:r>
        <w:rPr>
          <w:rFonts w:ascii="Times New Roman" w:hAnsi="Times New Roman" w:cs="Times New Roman"/>
          <w:sz w:val="24"/>
          <w:szCs w:val="24"/>
        </w:rPr>
        <w:t xml:space="preserve"> de pagar aquela quantia certa </w:t>
      </w:r>
      <w:r w:rsidR="001A0541">
        <w:rPr>
          <w:rFonts w:ascii="Times New Roman" w:hAnsi="Times New Roman" w:cs="Times New Roman"/>
          <w:sz w:val="24"/>
          <w:szCs w:val="24"/>
        </w:rPr>
        <w:t>(BIAZI, 2016)</w:t>
      </w:r>
      <w:r>
        <w:rPr>
          <w:rFonts w:ascii="Times New Roman" w:hAnsi="Times New Roman" w:cs="Times New Roman"/>
          <w:sz w:val="24"/>
          <w:szCs w:val="24"/>
        </w:rPr>
        <w:t>.</w:t>
      </w:r>
    </w:p>
    <w:p w14:paraId="4C852B84" w14:textId="77777777" w:rsidR="008F0F94" w:rsidRDefault="001A0541" w:rsidP="008F0F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Marcelo Abelha</w:t>
      </w:r>
      <w:r w:rsidR="00FA6A76">
        <w:rPr>
          <w:rFonts w:ascii="Times New Roman" w:hAnsi="Times New Roman" w:cs="Times New Roman"/>
          <w:sz w:val="24"/>
          <w:szCs w:val="24"/>
        </w:rPr>
        <w:t>,</w:t>
      </w:r>
      <w:r>
        <w:rPr>
          <w:rFonts w:ascii="Times New Roman" w:hAnsi="Times New Roman" w:cs="Times New Roman"/>
          <w:sz w:val="24"/>
          <w:szCs w:val="24"/>
        </w:rPr>
        <w:t xml:space="preserve"> </w:t>
      </w:r>
      <w:r w:rsidR="00FA6A76">
        <w:rPr>
          <w:rFonts w:ascii="Times New Roman" w:hAnsi="Times New Roman" w:cs="Times New Roman"/>
          <w:sz w:val="24"/>
          <w:szCs w:val="24"/>
        </w:rPr>
        <w:t>os</w:t>
      </w:r>
      <w:r>
        <w:rPr>
          <w:rFonts w:ascii="Times New Roman" w:hAnsi="Times New Roman" w:cs="Times New Roman"/>
          <w:sz w:val="24"/>
          <w:szCs w:val="24"/>
        </w:rPr>
        <w:t xml:space="preserve"> meios executivos atípicos só serão utilizados quando tiver o esgotamento das medidas típicas que são usadas na maioria dos processos, e deve ser observado </w:t>
      </w:r>
      <w:r w:rsidR="00FA6A76">
        <w:rPr>
          <w:rFonts w:ascii="Times New Roman" w:hAnsi="Times New Roman" w:cs="Times New Roman"/>
          <w:sz w:val="24"/>
          <w:szCs w:val="24"/>
        </w:rPr>
        <w:t xml:space="preserve">também o devido processo legal </w:t>
      </w:r>
      <w:r>
        <w:rPr>
          <w:rFonts w:ascii="Times New Roman" w:hAnsi="Times New Roman" w:cs="Times New Roman"/>
          <w:sz w:val="24"/>
          <w:szCs w:val="24"/>
        </w:rPr>
        <w:t>(BIAZI, 2016)</w:t>
      </w:r>
      <w:r w:rsidR="00FA6A76">
        <w:rPr>
          <w:rFonts w:ascii="Times New Roman" w:hAnsi="Times New Roman" w:cs="Times New Roman"/>
          <w:sz w:val="24"/>
          <w:szCs w:val="24"/>
        </w:rPr>
        <w:t>.</w:t>
      </w:r>
      <w:r w:rsidR="008F0F94" w:rsidRPr="008F0F94">
        <w:rPr>
          <w:rFonts w:ascii="Times New Roman" w:hAnsi="Times New Roman" w:cs="Times New Roman"/>
          <w:sz w:val="24"/>
          <w:szCs w:val="24"/>
        </w:rPr>
        <w:t xml:space="preserve"> </w:t>
      </w:r>
    </w:p>
    <w:p w14:paraId="4C852B85" w14:textId="77777777" w:rsidR="008F0F94" w:rsidRPr="00BA4190" w:rsidRDefault="008F0F94" w:rsidP="008F0F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Bruno </w:t>
      </w:r>
      <w:proofErr w:type="spellStart"/>
      <w:r>
        <w:rPr>
          <w:rFonts w:ascii="Times New Roman" w:hAnsi="Times New Roman" w:cs="Times New Roman"/>
          <w:sz w:val="24"/>
          <w:szCs w:val="24"/>
        </w:rPr>
        <w:t>Marzullo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Zaroni</w:t>
      </w:r>
      <w:proofErr w:type="spellEnd"/>
      <w:r>
        <w:rPr>
          <w:rFonts w:ascii="Times New Roman" w:hAnsi="Times New Roman" w:cs="Times New Roman"/>
          <w:sz w:val="24"/>
          <w:szCs w:val="24"/>
        </w:rPr>
        <w:t xml:space="preserve"> e Edilson </w:t>
      </w:r>
      <w:proofErr w:type="spellStart"/>
      <w:r>
        <w:rPr>
          <w:rFonts w:ascii="Times New Roman" w:hAnsi="Times New Roman" w:cs="Times New Roman"/>
          <w:sz w:val="24"/>
          <w:szCs w:val="24"/>
        </w:rPr>
        <w:t>Vitorelli</w:t>
      </w:r>
      <w:proofErr w:type="spellEnd"/>
      <w:r>
        <w:rPr>
          <w:rFonts w:ascii="Times New Roman" w:hAnsi="Times New Roman" w:cs="Times New Roman"/>
          <w:sz w:val="24"/>
          <w:szCs w:val="24"/>
        </w:rPr>
        <w:t xml:space="preserve"> (2016) discorrem sobre o impacto das normas fundamentais no Processo Civil de Execução. Segundo estes autores, frente ao Estado Constitucional de Direito, a validade das normas jurídicas é encontrada na medida em que elas se harmonizam com os conteúdos dos princípios constitucionais e direitos fundamentais. </w:t>
      </w:r>
    </w:p>
    <w:p w14:paraId="4C852B86" w14:textId="77777777" w:rsidR="008F0F94" w:rsidRPr="00BA4190" w:rsidRDefault="008F0F94" w:rsidP="008F0F94">
      <w:pPr>
        <w:spacing w:after="0" w:line="240" w:lineRule="auto"/>
        <w:ind w:left="2268"/>
        <w:jc w:val="both"/>
        <w:rPr>
          <w:rFonts w:ascii="Times New Roman" w:hAnsi="Times New Roman" w:cs="Times New Roman"/>
          <w:sz w:val="20"/>
          <w:szCs w:val="20"/>
        </w:rPr>
      </w:pPr>
      <w:r w:rsidRPr="00D624ED">
        <w:rPr>
          <w:rFonts w:ascii="Times New Roman" w:hAnsi="Times New Roman" w:cs="Times New Roman"/>
          <w:sz w:val="20"/>
          <w:szCs w:val="20"/>
        </w:rPr>
        <w:t xml:space="preserve">Com efeito, essa </w:t>
      </w:r>
      <w:proofErr w:type="spellStart"/>
      <w:r w:rsidRPr="00D624ED">
        <w:rPr>
          <w:rFonts w:ascii="Times New Roman" w:hAnsi="Times New Roman" w:cs="Times New Roman"/>
          <w:sz w:val="20"/>
          <w:szCs w:val="20"/>
        </w:rPr>
        <w:t>rematerialização</w:t>
      </w:r>
      <w:proofErr w:type="spellEnd"/>
      <w:r w:rsidRPr="00D624ED">
        <w:rPr>
          <w:rFonts w:ascii="Times New Roman" w:hAnsi="Times New Roman" w:cs="Times New Roman"/>
          <w:sz w:val="20"/>
          <w:szCs w:val="20"/>
        </w:rPr>
        <w:t xml:space="preserve"> supõe que a Constituição já não tem por objeto somente a distribuição formal de poder entre os distintos órgãos estatais, mas que está dotada de conteúdo material, notadamente princípios e direitos fundamentais que condicionam a validade das normas inferiores. A rigor, isso significa que todas as normas infraconstitucionais, indistintamente, devem estar numa relação de compatibilidade com o conteúdo normativo da Constituição. (ZARONI, VITORELLI, p. 61, 2016)</w:t>
      </w:r>
    </w:p>
    <w:p w14:paraId="4C852B87" w14:textId="77777777" w:rsidR="008F0F94" w:rsidRDefault="008F0F94" w:rsidP="008F0F9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a medida atípica escolhida pelo juiz não pode ferir direitos fundamentais como a dignidade humana. Como já mencionado acima, é preciso fazer um juízo de necessidade </w:t>
      </w:r>
      <w:r>
        <w:rPr>
          <w:rFonts w:ascii="Times New Roman" w:hAnsi="Times New Roman" w:cs="Times New Roman"/>
          <w:sz w:val="24"/>
          <w:szCs w:val="24"/>
        </w:rPr>
        <w:lastRenderedPageBreak/>
        <w:t xml:space="preserve">e adequação ao empregar medidas atípicas de execução que visem a correta proporcionalidade entre a efetivação da tutela jurisdicional e os meios utilizados. É preciso que essa razoabilidade seja observada para que, ao tentar efetivar uma execução, não se incorra em abusos que provoquem danos ao executado. </w:t>
      </w:r>
    </w:p>
    <w:p w14:paraId="4C852B88" w14:textId="77777777" w:rsidR="001A0541" w:rsidRDefault="001A0541" w:rsidP="001A054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o que se entende, é que o Juiz pode usar dos meios atípicos para que se consiga alcançar a tutela pretendida, mas antes ele deve levar em conta os princípios constitucionais de forma que não fora eles, além de analisar se </w:t>
      </w:r>
      <w:r w:rsidR="00BA4190">
        <w:rPr>
          <w:rFonts w:ascii="Times New Roman" w:hAnsi="Times New Roman" w:cs="Times New Roman"/>
          <w:sz w:val="24"/>
          <w:szCs w:val="24"/>
        </w:rPr>
        <w:t xml:space="preserve">a </w:t>
      </w:r>
      <w:r>
        <w:rPr>
          <w:rFonts w:ascii="Times New Roman" w:hAnsi="Times New Roman" w:cs="Times New Roman"/>
          <w:sz w:val="24"/>
          <w:szCs w:val="24"/>
        </w:rPr>
        <w:t>aplicação dessas medidas são realmente necessárias para que não esteja ferindo o direito do devedor ou de terceiros que poderão ser atingidos com o a decisão (LIMA, 2016), mesmo não estando envolvidos no processo, como é o caso da noiva acima que teve todos os seus presentes de casamento apreendidos, por causa da dívida de mais de um milhão de reais do marido.</w:t>
      </w:r>
    </w:p>
    <w:p w14:paraId="4C852B89" w14:textId="77777777" w:rsidR="001A0541" w:rsidRPr="00790B78" w:rsidRDefault="001A0541" w:rsidP="001A0541">
      <w:pPr>
        <w:spacing w:after="0" w:line="360" w:lineRule="auto"/>
        <w:jc w:val="both"/>
        <w:rPr>
          <w:rFonts w:ascii="Times New Roman" w:hAnsi="Times New Roman" w:cs="Times New Roman"/>
          <w:sz w:val="24"/>
          <w:szCs w:val="24"/>
        </w:rPr>
      </w:pPr>
    </w:p>
    <w:p w14:paraId="4C852B8A" w14:textId="77777777" w:rsidR="001A0541" w:rsidRDefault="001A0541" w:rsidP="001A05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DISCUSSÃO DO TEMA</w:t>
      </w:r>
    </w:p>
    <w:p w14:paraId="400CE08D" w14:textId="77777777" w:rsidR="00C6688D" w:rsidRDefault="00C6688D" w:rsidP="001A0541">
      <w:pPr>
        <w:spacing w:after="0" w:line="360" w:lineRule="auto"/>
        <w:jc w:val="both"/>
        <w:rPr>
          <w:rFonts w:ascii="Times New Roman" w:hAnsi="Times New Roman" w:cs="Times New Roman"/>
          <w:b/>
          <w:sz w:val="24"/>
          <w:szCs w:val="24"/>
        </w:rPr>
      </w:pPr>
    </w:p>
    <w:p w14:paraId="4CCA993E" w14:textId="3D188B49" w:rsidR="008965BA" w:rsidRDefault="008965BA" w:rsidP="008965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código de Processo Civil de 73 já se tinha a previsão dos meios executivos atípicos, onde o juiz poderia decidir por uma outra forma para que seja paga a quantia certa, já no Código de Processo Civil de 2015, continua tendo estes meios executivos, mas houve a sua limitação para as situações nas quais deve ser aplicada. </w:t>
      </w:r>
    </w:p>
    <w:p w14:paraId="1D00A722" w14:textId="5628838F" w:rsidR="008965BA" w:rsidRDefault="008965BA" w:rsidP="008965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é sempre que o Juiz poderá aplicar os meios executivos atípicos, pois existem limites constitucionais, no qual preza pela proporcionalidade e pela razoabilidade. O Juiz deverá esgotar todos os meios normais para encontrar o patrimônio do indivíduo, para só depois partir para os meios atípicos, isso ocorre, por que o juiz deve procurar preservar o direito de terceiros que podem estar envolvidos no caso. </w:t>
      </w:r>
    </w:p>
    <w:p w14:paraId="20A994EF" w14:textId="550E5635" w:rsidR="008965BA" w:rsidRDefault="008965BA" w:rsidP="008965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juiz através da razoabilidade deve pondera as medidas que serão aplicadas para que o direito de terceiros não seja atingido.  Como no caso descrito acima, </w:t>
      </w:r>
      <w:r w:rsidR="00C6688D">
        <w:rPr>
          <w:rFonts w:ascii="Times New Roman" w:hAnsi="Times New Roman" w:cs="Times New Roman"/>
          <w:sz w:val="24"/>
          <w:szCs w:val="24"/>
        </w:rPr>
        <w:t xml:space="preserve">o indivíduo, casou-se e fez uma bela festa, onde a lista de presentes se encontrava em uma loja cara da cidade. O Juiz interditou esses bens para que fosse pago a dívida na qual ele deveria. Mas nesse caso, não se trata só do indivíduo em si, existe a espora que criou toda uma expectativa de ter aqueles bens, além de, ela não ter nada a ver com dívida dele. </w:t>
      </w:r>
    </w:p>
    <w:p w14:paraId="27F6D463" w14:textId="64141528" w:rsidR="00C6688D" w:rsidRDefault="00C6688D" w:rsidP="008965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isso, o juiz deve usar a proporcionalidade e a razoabilidade na hora da decisão, para terceiros não sejam prejudicados.</w:t>
      </w:r>
      <w:r w:rsidR="0016350F">
        <w:rPr>
          <w:rFonts w:ascii="Times New Roman" w:hAnsi="Times New Roman" w:cs="Times New Roman"/>
          <w:sz w:val="24"/>
          <w:szCs w:val="24"/>
        </w:rPr>
        <w:t xml:space="preserve"> O juiz deve analisar a situação antes de aplicar um meio atípico para a solução do problema. </w:t>
      </w:r>
    </w:p>
    <w:p w14:paraId="51708110" w14:textId="3E8D2092" w:rsidR="0016350F" w:rsidRDefault="0016350F" w:rsidP="008965B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Esses meios atípicos são usados quando o</w:t>
      </w:r>
      <w:r w:rsidR="00C860F5">
        <w:rPr>
          <w:rFonts w:ascii="Times New Roman" w:hAnsi="Times New Roman" w:cs="Times New Roman"/>
          <w:sz w:val="24"/>
          <w:szCs w:val="24"/>
        </w:rPr>
        <w:t>s</w:t>
      </w:r>
      <w:r>
        <w:rPr>
          <w:rFonts w:ascii="Times New Roman" w:hAnsi="Times New Roman" w:cs="Times New Roman"/>
          <w:sz w:val="24"/>
          <w:szCs w:val="24"/>
        </w:rPr>
        <w:t xml:space="preserve"> meios normais não são suficientes para encontrar o patrimônio do devedor, e o juiz procura outras medidas para que se possa encontrar algo que pague a dívida do devedor.</w:t>
      </w:r>
    </w:p>
    <w:p w14:paraId="467E4E86" w14:textId="77777777" w:rsidR="00C6688D" w:rsidRPr="00790B78" w:rsidRDefault="00C6688D" w:rsidP="008965BA">
      <w:pPr>
        <w:spacing w:after="0" w:line="360" w:lineRule="auto"/>
        <w:ind w:firstLine="1134"/>
        <w:jc w:val="both"/>
        <w:rPr>
          <w:rFonts w:ascii="Times New Roman" w:hAnsi="Times New Roman" w:cs="Times New Roman"/>
          <w:sz w:val="24"/>
          <w:szCs w:val="24"/>
        </w:rPr>
      </w:pPr>
    </w:p>
    <w:p w14:paraId="4C852B8C" w14:textId="77777777" w:rsidR="001A0541" w:rsidRDefault="001A0541" w:rsidP="001A05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CONCLUSÃO</w:t>
      </w:r>
      <w:bookmarkStart w:id="0" w:name="_GoBack"/>
      <w:bookmarkEnd w:id="0"/>
    </w:p>
    <w:p w14:paraId="4C852B8D" w14:textId="77777777" w:rsidR="007F51B3" w:rsidRDefault="007F51B3" w:rsidP="00F82FDC">
      <w:pPr>
        <w:spacing w:after="0" w:line="360" w:lineRule="auto"/>
        <w:jc w:val="both"/>
        <w:rPr>
          <w:rFonts w:ascii="Times New Roman" w:hAnsi="Times New Roman" w:cs="Times New Roman"/>
          <w:sz w:val="24"/>
          <w:szCs w:val="24"/>
        </w:rPr>
      </w:pPr>
    </w:p>
    <w:p w14:paraId="73F277BD" w14:textId="709FDCEF" w:rsidR="00CF1BA0" w:rsidRDefault="00065FFF" w:rsidP="00065F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exposto, fica evidente que o novo Código de Processo Civil trouxe os meios atípicos de execução como uma forma de tornar mais célere o rito processual e garantir uma maior rapidez aos efeitos gerados pela execução civil.</w:t>
      </w:r>
    </w:p>
    <w:p w14:paraId="6410B941" w14:textId="48A4612F" w:rsidR="00065FFF" w:rsidRDefault="00065FFF" w:rsidP="00065F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torna evidente também que os meios atípicos não restringem direitos do executado, mas sim buscam elucidar os fatos que não são condizentes com o padrão de vida levado pelo executado em relação ao patrimônio declarados em juízo.</w:t>
      </w:r>
    </w:p>
    <w:p w14:paraId="4E41556E" w14:textId="43D21B5D" w:rsidR="00E3676F" w:rsidRDefault="00E3676F" w:rsidP="00065F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São ressalvados ao executado todos os seus direitos fundamentais no processo, sendo alvo da intervenção judicial apenas os atos praticados que venham a dificultar o processo de execução, </w:t>
      </w:r>
      <w:r w:rsidR="00930710">
        <w:rPr>
          <w:rFonts w:ascii="Times New Roman" w:hAnsi="Times New Roman" w:cs="Times New Roman"/>
          <w:sz w:val="24"/>
          <w:szCs w:val="24"/>
        </w:rPr>
        <w:t>baseados na</w:t>
      </w:r>
      <w:r>
        <w:rPr>
          <w:rFonts w:ascii="Times New Roman" w:hAnsi="Times New Roman" w:cs="Times New Roman"/>
          <w:sz w:val="24"/>
          <w:szCs w:val="24"/>
        </w:rPr>
        <w:t xml:space="preserve"> razoabilidad</w:t>
      </w:r>
      <w:r w:rsidR="00930710">
        <w:rPr>
          <w:rFonts w:ascii="Times New Roman" w:hAnsi="Times New Roman" w:cs="Times New Roman"/>
          <w:sz w:val="24"/>
          <w:szCs w:val="24"/>
        </w:rPr>
        <w:t xml:space="preserve">e e na proporcionalidade e nos demais princípios constitucionais. </w:t>
      </w:r>
    </w:p>
    <w:p w14:paraId="6E70A7D5" w14:textId="5579E4C2" w:rsidR="00930710" w:rsidRDefault="00930710" w:rsidP="00065FF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o magistrado pode dilatar prazos e alterar a ordem de produção dos meios de prova, tendo um papel mais ativo no processo, não sendo apenas um mero mediador-observador.</w:t>
      </w:r>
    </w:p>
    <w:p w14:paraId="68671412" w14:textId="7A73202B" w:rsidR="00930710" w:rsidRDefault="00930710" w:rsidP="009307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fica comprovado que os meios atípicos de execução são uma novidade processual muito útil e que não ferem os princípios do processo, muito menos os direitos do exequente e do executado, já que na verdade os resguardam, pois objetivam apenas o pleno cumprimento da relação processual estabelecida.</w:t>
      </w:r>
    </w:p>
    <w:p w14:paraId="2F504365" w14:textId="77777777" w:rsidR="00CF1BA0" w:rsidRDefault="00CF1BA0" w:rsidP="00F82FDC">
      <w:pPr>
        <w:spacing w:after="0" w:line="360" w:lineRule="auto"/>
        <w:jc w:val="both"/>
        <w:rPr>
          <w:rFonts w:ascii="Times New Roman" w:hAnsi="Times New Roman" w:cs="Times New Roman"/>
          <w:sz w:val="24"/>
          <w:szCs w:val="24"/>
        </w:rPr>
      </w:pPr>
    </w:p>
    <w:p w14:paraId="5266A586" w14:textId="77777777" w:rsidR="00CF1BA0" w:rsidRDefault="00CF1BA0" w:rsidP="00F82FDC">
      <w:pPr>
        <w:spacing w:after="0" w:line="360" w:lineRule="auto"/>
        <w:jc w:val="both"/>
        <w:rPr>
          <w:rFonts w:ascii="Times New Roman" w:hAnsi="Times New Roman" w:cs="Times New Roman"/>
          <w:sz w:val="24"/>
          <w:szCs w:val="24"/>
        </w:rPr>
      </w:pPr>
    </w:p>
    <w:p w14:paraId="2D0F52D3" w14:textId="77777777" w:rsidR="00CF1BA0" w:rsidRDefault="00CF1BA0" w:rsidP="00F82FDC">
      <w:pPr>
        <w:spacing w:after="0" w:line="360" w:lineRule="auto"/>
        <w:jc w:val="both"/>
        <w:rPr>
          <w:rFonts w:ascii="Times New Roman" w:hAnsi="Times New Roman" w:cs="Times New Roman"/>
          <w:sz w:val="24"/>
          <w:szCs w:val="24"/>
        </w:rPr>
      </w:pPr>
    </w:p>
    <w:p w14:paraId="29342ADA" w14:textId="71D73299" w:rsidR="001876A3" w:rsidRDefault="001876A3" w:rsidP="00F82FDC">
      <w:pPr>
        <w:spacing w:after="0" w:line="360" w:lineRule="auto"/>
        <w:jc w:val="both"/>
        <w:rPr>
          <w:rFonts w:ascii="Times New Roman" w:hAnsi="Times New Roman" w:cs="Times New Roman"/>
          <w:sz w:val="24"/>
          <w:szCs w:val="24"/>
        </w:rPr>
      </w:pPr>
    </w:p>
    <w:p w14:paraId="67BD1E73" w14:textId="77777777" w:rsidR="00A66536" w:rsidRDefault="00A66536" w:rsidP="00F82FDC">
      <w:pPr>
        <w:spacing w:after="0" w:line="360" w:lineRule="auto"/>
        <w:jc w:val="both"/>
        <w:rPr>
          <w:rFonts w:ascii="Times New Roman" w:hAnsi="Times New Roman" w:cs="Times New Roman"/>
          <w:sz w:val="24"/>
          <w:szCs w:val="24"/>
        </w:rPr>
      </w:pPr>
    </w:p>
    <w:p w14:paraId="158ECDA6" w14:textId="44B0ACF8" w:rsidR="001876A3" w:rsidRDefault="001876A3" w:rsidP="00F82FDC">
      <w:pPr>
        <w:spacing w:after="0" w:line="360" w:lineRule="auto"/>
        <w:jc w:val="both"/>
        <w:rPr>
          <w:rFonts w:ascii="Times New Roman" w:hAnsi="Times New Roman" w:cs="Times New Roman"/>
          <w:sz w:val="24"/>
          <w:szCs w:val="24"/>
        </w:rPr>
      </w:pPr>
    </w:p>
    <w:p w14:paraId="48E87119" w14:textId="1C0EB61C" w:rsidR="00C860F5" w:rsidRDefault="00C860F5" w:rsidP="00F82FDC">
      <w:pPr>
        <w:spacing w:after="0" w:line="360" w:lineRule="auto"/>
        <w:jc w:val="both"/>
        <w:rPr>
          <w:rFonts w:ascii="Times New Roman" w:hAnsi="Times New Roman" w:cs="Times New Roman"/>
          <w:sz w:val="24"/>
          <w:szCs w:val="24"/>
        </w:rPr>
      </w:pPr>
    </w:p>
    <w:p w14:paraId="7B6D0A03" w14:textId="0E02E9BC" w:rsidR="00C860F5" w:rsidRDefault="00C860F5" w:rsidP="00F82FDC">
      <w:pPr>
        <w:spacing w:after="0" w:line="360" w:lineRule="auto"/>
        <w:jc w:val="both"/>
        <w:rPr>
          <w:rFonts w:ascii="Times New Roman" w:hAnsi="Times New Roman" w:cs="Times New Roman"/>
          <w:sz w:val="24"/>
          <w:szCs w:val="24"/>
        </w:rPr>
      </w:pPr>
    </w:p>
    <w:p w14:paraId="20CD981B" w14:textId="77777777" w:rsidR="00C860F5" w:rsidRDefault="00C860F5" w:rsidP="00F82FDC">
      <w:pPr>
        <w:spacing w:after="0" w:line="360" w:lineRule="auto"/>
        <w:jc w:val="both"/>
        <w:rPr>
          <w:rFonts w:ascii="Times New Roman" w:hAnsi="Times New Roman" w:cs="Times New Roman"/>
          <w:sz w:val="24"/>
          <w:szCs w:val="24"/>
        </w:rPr>
      </w:pPr>
    </w:p>
    <w:p w14:paraId="5D7A9B7C" w14:textId="77777777" w:rsidR="00930710" w:rsidRDefault="00930710" w:rsidP="00F82FDC">
      <w:pPr>
        <w:spacing w:after="0" w:line="360" w:lineRule="auto"/>
        <w:jc w:val="both"/>
        <w:rPr>
          <w:rFonts w:ascii="Times New Roman" w:hAnsi="Times New Roman" w:cs="Times New Roman"/>
          <w:sz w:val="24"/>
          <w:szCs w:val="24"/>
        </w:rPr>
      </w:pPr>
    </w:p>
    <w:p w14:paraId="2DA619EB" w14:textId="77777777" w:rsidR="00930710" w:rsidRDefault="00930710" w:rsidP="00F82FDC">
      <w:pPr>
        <w:spacing w:after="0" w:line="360" w:lineRule="auto"/>
        <w:jc w:val="both"/>
        <w:rPr>
          <w:rFonts w:ascii="Times New Roman" w:hAnsi="Times New Roman" w:cs="Times New Roman"/>
          <w:sz w:val="24"/>
          <w:szCs w:val="24"/>
        </w:rPr>
      </w:pPr>
    </w:p>
    <w:p w14:paraId="4C852B8F" w14:textId="643AD599" w:rsidR="00115009" w:rsidRDefault="00115009" w:rsidP="00065F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14:paraId="40212FEA" w14:textId="77777777" w:rsidR="00065FFF" w:rsidRPr="00065FFF" w:rsidRDefault="00065FFF" w:rsidP="00065FFF">
      <w:pPr>
        <w:spacing w:after="0" w:line="240" w:lineRule="auto"/>
        <w:jc w:val="center"/>
        <w:rPr>
          <w:rFonts w:ascii="Times New Roman" w:hAnsi="Times New Roman" w:cs="Times New Roman"/>
          <w:b/>
          <w:sz w:val="24"/>
          <w:szCs w:val="24"/>
        </w:rPr>
      </w:pPr>
    </w:p>
    <w:p w14:paraId="4C852B90" w14:textId="575A4261" w:rsidR="00115009" w:rsidRDefault="00115009" w:rsidP="00065F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ASSIS, </w:t>
      </w:r>
      <w:proofErr w:type="spellStart"/>
      <w:r>
        <w:rPr>
          <w:rFonts w:ascii="Times New Roman" w:hAnsi="Times New Roman" w:cs="Times New Roman"/>
          <w:sz w:val="24"/>
          <w:szCs w:val="24"/>
        </w:rPr>
        <w:t>Araken</w:t>
      </w:r>
      <w:proofErr w:type="spellEnd"/>
      <w:r>
        <w:rPr>
          <w:rFonts w:ascii="Times New Roman" w:hAnsi="Times New Roman" w:cs="Times New Roman"/>
          <w:sz w:val="24"/>
          <w:szCs w:val="24"/>
        </w:rPr>
        <w:t xml:space="preserve"> de. </w:t>
      </w:r>
      <w:r>
        <w:rPr>
          <w:rFonts w:ascii="Times New Roman" w:hAnsi="Times New Roman" w:cs="Times New Roman"/>
          <w:b/>
          <w:sz w:val="24"/>
          <w:szCs w:val="24"/>
        </w:rPr>
        <w:t>Manual de Execução</w:t>
      </w:r>
      <w:r>
        <w:rPr>
          <w:rFonts w:ascii="Times New Roman" w:hAnsi="Times New Roman" w:cs="Times New Roman"/>
          <w:sz w:val="24"/>
          <w:szCs w:val="24"/>
        </w:rPr>
        <w:t>. 18</w:t>
      </w:r>
      <w:r w:rsidR="00065FFF">
        <w:rPr>
          <w:rFonts w:ascii="Times New Roman" w:hAnsi="Times New Roman" w:cs="Times New Roman"/>
          <w:sz w:val="24"/>
          <w:szCs w:val="24"/>
        </w:rPr>
        <w:t>ª</w:t>
      </w:r>
      <w:r>
        <w:rPr>
          <w:rFonts w:ascii="Times New Roman" w:hAnsi="Times New Roman" w:cs="Times New Roman"/>
          <w:sz w:val="24"/>
          <w:szCs w:val="24"/>
        </w:rPr>
        <w:t xml:space="preserve"> ed. ver., atual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São Paulo: Editora Revista dos Tribunais, 2016.</w:t>
      </w:r>
    </w:p>
    <w:p w14:paraId="4C852B91" w14:textId="77777777" w:rsidR="00CC426E" w:rsidRDefault="00CC426E" w:rsidP="00065FFF">
      <w:pPr>
        <w:spacing w:after="0" w:line="240" w:lineRule="auto"/>
        <w:rPr>
          <w:rFonts w:ascii="Times New Roman" w:hAnsi="Times New Roman" w:cs="Times New Roman"/>
          <w:sz w:val="24"/>
          <w:szCs w:val="24"/>
        </w:rPr>
      </w:pPr>
    </w:p>
    <w:p w14:paraId="4C852B92" w14:textId="77777777" w:rsidR="00115009" w:rsidRDefault="00115009" w:rsidP="00065F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ABELHA, Marcelo. </w:t>
      </w:r>
      <w:r w:rsidRPr="00335C27">
        <w:rPr>
          <w:rFonts w:ascii="Times New Roman" w:hAnsi="Times New Roman" w:cs="Times New Roman"/>
          <w:b/>
          <w:sz w:val="24"/>
          <w:szCs w:val="24"/>
        </w:rPr>
        <w:t>Manual de execução civil</w:t>
      </w:r>
      <w:r>
        <w:rPr>
          <w:rFonts w:ascii="Times New Roman" w:hAnsi="Times New Roman" w:cs="Times New Roman"/>
          <w:sz w:val="24"/>
          <w:szCs w:val="24"/>
        </w:rPr>
        <w:t>. 6ª ed. Ver. e atual. Rio de Janeiro: Forense, 2016.</w:t>
      </w:r>
    </w:p>
    <w:p w14:paraId="4C852B93" w14:textId="77777777" w:rsidR="00CC426E" w:rsidRDefault="00CC426E" w:rsidP="00065FFF">
      <w:pPr>
        <w:spacing w:after="0" w:line="240" w:lineRule="auto"/>
        <w:rPr>
          <w:rFonts w:ascii="Times New Roman" w:hAnsi="Times New Roman" w:cs="Times New Roman"/>
          <w:sz w:val="24"/>
          <w:szCs w:val="24"/>
        </w:rPr>
      </w:pPr>
    </w:p>
    <w:p w14:paraId="4C852B94" w14:textId="77777777" w:rsidR="00113FB9" w:rsidRDefault="00113FB9" w:rsidP="00065FFF">
      <w:pPr>
        <w:spacing w:after="0" w:line="240" w:lineRule="auto"/>
        <w:rPr>
          <w:rFonts w:ascii="Times New Roman" w:hAnsi="Times New Roman"/>
          <w:sz w:val="24"/>
          <w:szCs w:val="24"/>
        </w:rPr>
      </w:pPr>
      <w:r>
        <w:rPr>
          <w:rFonts w:ascii="Times New Roman" w:hAnsi="Times New Roman"/>
          <w:sz w:val="24"/>
          <w:szCs w:val="24"/>
        </w:rPr>
        <w:t xml:space="preserve">BIAZI, Maria Olivia Diniz. </w:t>
      </w:r>
      <w:r>
        <w:rPr>
          <w:rFonts w:ascii="Times New Roman" w:hAnsi="Times New Roman"/>
          <w:b/>
          <w:bCs/>
          <w:sz w:val="24"/>
          <w:szCs w:val="24"/>
        </w:rPr>
        <w:t xml:space="preserve">O poder geral da efetivação das ordens judiciais no âmbito do cumprimento de sentença no novo CPC. </w:t>
      </w:r>
      <w:r>
        <w:rPr>
          <w:rFonts w:ascii="Times New Roman" w:hAnsi="Times New Roman"/>
          <w:sz w:val="24"/>
          <w:szCs w:val="24"/>
        </w:rPr>
        <w:t>2016. Disponível em: https://jus.com.br/artigos/46633/o-poder-geral-de-efetivacao-das-ordens-judiciais-no-ambito-do-cumprimento-de-sentenca- no-novo-</w:t>
      </w:r>
      <w:proofErr w:type="spellStart"/>
      <w:r>
        <w:rPr>
          <w:rFonts w:ascii="Times New Roman" w:hAnsi="Times New Roman"/>
          <w:sz w:val="24"/>
          <w:szCs w:val="24"/>
        </w:rPr>
        <w:t>cpc</w:t>
      </w:r>
      <w:proofErr w:type="spellEnd"/>
      <w:r>
        <w:rPr>
          <w:rFonts w:ascii="Times New Roman" w:hAnsi="Times New Roman"/>
          <w:sz w:val="24"/>
          <w:szCs w:val="24"/>
        </w:rPr>
        <w:t>. Acessado em: 08/03/2017.</w:t>
      </w:r>
    </w:p>
    <w:p w14:paraId="4C852B95" w14:textId="77777777" w:rsidR="007F51B3" w:rsidRDefault="007F51B3" w:rsidP="00065FFF">
      <w:pPr>
        <w:spacing w:after="0" w:line="240" w:lineRule="auto"/>
        <w:rPr>
          <w:rFonts w:ascii="Times New Roman" w:hAnsi="Times New Roman"/>
          <w:sz w:val="24"/>
          <w:szCs w:val="24"/>
        </w:rPr>
      </w:pPr>
    </w:p>
    <w:p w14:paraId="4C852B96" w14:textId="77777777" w:rsidR="00CC426E" w:rsidRDefault="00115009" w:rsidP="00065FFF">
      <w:pPr>
        <w:spacing w:after="0" w:line="240" w:lineRule="auto"/>
        <w:rPr>
          <w:rFonts w:ascii="Times New Roman" w:eastAsia="Times New Roman" w:hAnsi="Times New Roman" w:cs="Times New Roman"/>
          <w:bCs/>
          <w:kern w:val="36"/>
          <w:sz w:val="24"/>
          <w:szCs w:val="24"/>
          <w:lang w:eastAsia="pt-BR"/>
        </w:rPr>
      </w:pPr>
      <w:r w:rsidRPr="00846D69">
        <w:rPr>
          <w:rFonts w:ascii="Times New Roman" w:eastAsia="Times New Roman" w:hAnsi="Times New Roman" w:cs="Times New Roman"/>
          <w:bCs/>
          <w:kern w:val="36"/>
          <w:sz w:val="24"/>
          <w:szCs w:val="24"/>
          <w:lang w:eastAsia="pt-BR"/>
        </w:rPr>
        <w:t xml:space="preserve">BRASIL. </w:t>
      </w:r>
      <w:r w:rsidRPr="00846D69">
        <w:rPr>
          <w:rFonts w:ascii="Times New Roman" w:eastAsia="Times New Roman" w:hAnsi="Times New Roman" w:cs="Times New Roman"/>
          <w:b/>
          <w:bCs/>
          <w:kern w:val="36"/>
          <w:sz w:val="24"/>
          <w:szCs w:val="24"/>
          <w:lang w:eastAsia="pt-BR"/>
        </w:rPr>
        <w:t>Código de Processo C</w:t>
      </w:r>
      <w:r>
        <w:rPr>
          <w:rFonts w:ascii="Times New Roman" w:eastAsia="Times New Roman" w:hAnsi="Times New Roman" w:cs="Times New Roman"/>
          <w:b/>
          <w:bCs/>
          <w:kern w:val="36"/>
          <w:sz w:val="24"/>
          <w:szCs w:val="24"/>
          <w:lang w:eastAsia="pt-BR"/>
        </w:rPr>
        <w:t>ivil</w:t>
      </w:r>
      <w:r w:rsidRPr="00846D69">
        <w:rPr>
          <w:rFonts w:ascii="Times New Roman" w:eastAsia="Times New Roman" w:hAnsi="Times New Roman" w:cs="Times New Roman"/>
          <w:bCs/>
          <w:kern w:val="36"/>
          <w:sz w:val="24"/>
          <w:szCs w:val="24"/>
          <w:lang w:eastAsia="pt-BR"/>
        </w:rPr>
        <w:t>: Lei n.13.105, de março de 2015.</w:t>
      </w:r>
      <w:r w:rsidR="007D0150">
        <w:rPr>
          <w:rFonts w:ascii="Times New Roman" w:eastAsia="Times New Roman" w:hAnsi="Times New Roman" w:cs="Times New Roman"/>
          <w:bCs/>
          <w:kern w:val="36"/>
          <w:sz w:val="24"/>
          <w:szCs w:val="24"/>
          <w:lang w:eastAsia="pt-BR"/>
        </w:rPr>
        <w:t xml:space="preserve"> Disponível em: &lt;</w:t>
      </w:r>
      <w:r w:rsidR="007D0150" w:rsidRPr="007D0150">
        <w:rPr>
          <w:rFonts w:ascii="Times New Roman" w:eastAsia="Times New Roman" w:hAnsi="Times New Roman" w:cs="Times New Roman"/>
          <w:bCs/>
          <w:kern w:val="36"/>
          <w:sz w:val="24"/>
          <w:szCs w:val="24"/>
          <w:lang w:eastAsia="pt-BR"/>
        </w:rPr>
        <w:t>http://www.planalto.gov.br/ccivil_03/_ato2015-2018/2015/lei/l13105.htm</w:t>
      </w:r>
      <w:r w:rsidR="007D0150">
        <w:rPr>
          <w:rFonts w:ascii="Times New Roman" w:eastAsia="Times New Roman" w:hAnsi="Times New Roman" w:cs="Times New Roman"/>
          <w:bCs/>
          <w:kern w:val="36"/>
          <w:sz w:val="24"/>
          <w:szCs w:val="24"/>
          <w:lang w:eastAsia="pt-BR"/>
        </w:rPr>
        <w:t xml:space="preserve">&gt; Acesso em: 08 </w:t>
      </w:r>
      <w:proofErr w:type="gramStart"/>
      <w:r w:rsidR="007D0150">
        <w:rPr>
          <w:rFonts w:ascii="Times New Roman" w:eastAsia="Times New Roman" w:hAnsi="Times New Roman" w:cs="Times New Roman"/>
          <w:bCs/>
          <w:kern w:val="36"/>
          <w:sz w:val="24"/>
          <w:szCs w:val="24"/>
          <w:lang w:eastAsia="pt-BR"/>
        </w:rPr>
        <w:t>Mar.</w:t>
      </w:r>
      <w:proofErr w:type="gramEnd"/>
      <w:r w:rsidR="007D0150">
        <w:rPr>
          <w:rFonts w:ascii="Times New Roman" w:eastAsia="Times New Roman" w:hAnsi="Times New Roman" w:cs="Times New Roman"/>
          <w:bCs/>
          <w:kern w:val="36"/>
          <w:sz w:val="24"/>
          <w:szCs w:val="24"/>
          <w:lang w:eastAsia="pt-BR"/>
        </w:rPr>
        <w:t xml:space="preserve"> 2017.</w:t>
      </w:r>
    </w:p>
    <w:p w14:paraId="4C852B97" w14:textId="77777777" w:rsidR="00D624ED" w:rsidRDefault="00D624ED" w:rsidP="00065FFF">
      <w:pPr>
        <w:spacing w:after="0" w:line="240" w:lineRule="auto"/>
        <w:rPr>
          <w:rFonts w:ascii="Times New Roman" w:eastAsia="Times New Roman" w:hAnsi="Times New Roman" w:cs="Times New Roman"/>
          <w:bCs/>
          <w:kern w:val="36"/>
          <w:sz w:val="24"/>
          <w:szCs w:val="24"/>
          <w:lang w:eastAsia="pt-BR"/>
        </w:rPr>
      </w:pPr>
    </w:p>
    <w:p w14:paraId="4C852B9A" w14:textId="1C181DC5" w:rsidR="00D624ED" w:rsidRDefault="00113FB9" w:rsidP="00065FFF">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Cs/>
          <w:kern w:val="36"/>
          <w:sz w:val="24"/>
          <w:szCs w:val="24"/>
          <w:lang w:eastAsia="pt-BR"/>
        </w:rPr>
        <w:t xml:space="preserve">______.  Lei Nº 5.869, de 11 de </w:t>
      </w:r>
      <w:proofErr w:type="gramStart"/>
      <w:r>
        <w:rPr>
          <w:rFonts w:ascii="Times New Roman" w:eastAsia="Times New Roman" w:hAnsi="Times New Roman" w:cs="Times New Roman"/>
          <w:bCs/>
          <w:kern w:val="36"/>
          <w:sz w:val="24"/>
          <w:szCs w:val="24"/>
          <w:lang w:eastAsia="pt-BR"/>
        </w:rPr>
        <w:t>Janeiro</w:t>
      </w:r>
      <w:proofErr w:type="gramEnd"/>
      <w:r>
        <w:rPr>
          <w:rFonts w:ascii="Times New Roman" w:eastAsia="Times New Roman" w:hAnsi="Times New Roman" w:cs="Times New Roman"/>
          <w:bCs/>
          <w:kern w:val="36"/>
          <w:sz w:val="24"/>
          <w:szCs w:val="24"/>
          <w:lang w:eastAsia="pt-BR"/>
        </w:rPr>
        <w:t xml:space="preserve"> de 1973. </w:t>
      </w:r>
      <w:r w:rsidRPr="00113FB9">
        <w:rPr>
          <w:rFonts w:ascii="Times New Roman" w:hAnsi="Times New Roman" w:cs="Times New Roman"/>
          <w:sz w:val="24"/>
          <w:szCs w:val="24"/>
          <w:shd w:val="clear" w:color="auto" w:fill="FFFFFF"/>
        </w:rPr>
        <w:t>Institui o Código de Processo Civil</w:t>
      </w:r>
      <w:r>
        <w:rPr>
          <w:rFonts w:ascii="Times New Roman" w:hAnsi="Times New Roman" w:cs="Times New Roman"/>
          <w:sz w:val="24"/>
          <w:szCs w:val="24"/>
          <w:shd w:val="clear" w:color="auto" w:fill="FFFFFF"/>
        </w:rPr>
        <w:t xml:space="preserve"> (Revogado). Disponível em: &lt;</w:t>
      </w:r>
      <w:r w:rsidRPr="00113FB9">
        <w:rPr>
          <w:rFonts w:ascii="Times New Roman" w:hAnsi="Times New Roman" w:cs="Times New Roman"/>
          <w:sz w:val="24"/>
          <w:szCs w:val="24"/>
          <w:shd w:val="clear" w:color="auto" w:fill="FFFFFF"/>
        </w:rPr>
        <w:t>http://www.planalto.gov.br/ccivil_03/leis/L5869.htm</w:t>
      </w:r>
      <w:r>
        <w:rPr>
          <w:rFonts w:ascii="Times New Roman" w:hAnsi="Times New Roman" w:cs="Times New Roman"/>
          <w:sz w:val="24"/>
          <w:szCs w:val="24"/>
          <w:shd w:val="clear" w:color="auto" w:fill="FFFFFF"/>
        </w:rPr>
        <w:t xml:space="preserve">&gt; Acesso em: 31 </w:t>
      </w:r>
      <w:proofErr w:type="gramStart"/>
      <w:r>
        <w:rPr>
          <w:rFonts w:ascii="Times New Roman" w:hAnsi="Times New Roman" w:cs="Times New Roman"/>
          <w:sz w:val="24"/>
          <w:szCs w:val="24"/>
          <w:shd w:val="clear" w:color="auto" w:fill="FFFFFF"/>
        </w:rPr>
        <w:t>Mar.</w:t>
      </w:r>
      <w:proofErr w:type="gramEnd"/>
      <w:r>
        <w:rPr>
          <w:rFonts w:ascii="Times New Roman" w:hAnsi="Times New Roman" w:cs="Times New Roman"/>
          <w:sz w:val="24"/>
          <w:szCs w:val="24"/>
          <w:shd w:val="clear" w:color="auto" w:fill="FFFFFF"/>
        </w:rPr>
        <w:t xml:space="preserve"> 2017.</w:t>
      </w:r>
    </w:p>
    <w:p w14:paraId="4C852B9B" w14:textId="77777777" w:rsidR="00D624ED" w:rsidRDefault="00D624ED" w:rsidP="00065FFF">
      <w:pPr>
        <w:spacing w:after="0" w:line="240" w:lineRule="auto"/>
        <w:rPr>
          <w:rFonts w:ascii="Times New Roman" w:hAnsi="Times New Roman" w:cs="Times New Roman"/>
          <w:sz w:val="24"/>
          <w:szCs w:val="24"/>
          <w:shd w:val="clear" w:color="auto" w:fill="FFFFFF"/>
        </w:rPr>
      </w:pPr>
    </w:p>
    <w:p w14:paraId="4C852B9C" w14:textId="77777777" w:rsidR="00256DD4" w:rsidRDefault="00256DD4" w:rsidP="00065FFF">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CONJUR. Para que réu pague dívida, juíza suspende CNH e confisca passaporte. Disponível em &lt;</w:t>
      </w:r>
      <w:r w:rsidRPr="00256DD4">
        <w:rPr>
          <w:rFonts w:ascii="Times New Roman" w:hAnsi="Times New Roman" w:cs="Times New Roman"/>
          <w:sz w:val="24"/>
          <w:szCs w:val="24"/>
          <w:shd w:val="clear" w:color="auto" w:fill="FFFFFF"/>
        </w:rPr>
        <w:t>http://www.conjur.com.br/2016-set-07/reu-pague-divida-juiza-suspende-cnh-confisca-passaporte</w:t>
      </w:r>
      <w:r>
        <w:rPr>
          <w:rFonts w:ascii="Times New Roman" w:hAnsi="Times New Roman" w:cs="Times New Roman"/>
          <w:sz w:val="24"/>
          <w:szCs w:val="24"/>
          <w:shd w:val="clear" w:color="auto" w:fill="FFFFFF"/>
        </w:rPr>
        <w:t>&gt;. Acessado em: 01/04/2017.</w:t>
      </w:r>
    </w:p>
    <w:p w14:paraId="4C852B9D" w14:textId="77777777" w:rsidR="009312E2" w:rsidRDefault="009312E2" w:rsidP="00065FFF">
      <w:pPr>
        <w:spacing w:after="0" w:line="240" w:lineRule="auto"/>
        <w:rPr>
          <w:rFonts w:ascii="Times New Roman" w:hAnsi="Times New Roman" w:cs="Times New Roman"/>
          <w:sz w:val="24"/>
          <w:szCs w:val="24"/>
          <w:shd w:val="clear" w:color="auto" w:fill="FFFFFF"/>
        </w:rPr>
      </w:pPr>
    </w:p>
    <w:p w14:paraId="4C852B9E" w14:textId="77777777" w:rsidR="00115009" w:rsidRDefault="00115009" w:rsidP="00065F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CÂMARA, Alexandre. </w:t>
      </w:r>
      <w:r w:rsidRPr="00EF3965">
        <w:rPr>
          <w:rFonts w:ascii="Times New Roman" w:hAnsi="Times New Roman" w:cs="Times New Roman"/>
          <w:b/>
          <w:sz w:val="24"/>
          <w:szCs w:val="24"/>
        </w:rPr>
        <w:t>Novo CPC ampliou sobremaneira os poderes do juiz</w:t>
      </w:r>
      <w:r>
        <w:rPr>
          <w:rFonts w:ascii="Times New Roman" w:hAnsi="Times New Roman" w:cs="Times New Roman"/>
          <w:sz w:val="24"/>
          <w:szCs w:val="24"/>
        </w:rPr>
        <w:t>. Disponível em &lt;</w:t>
      </w:r>
      <w:r w:rsidRPr="00EF3965">
        <w:rPr>
          <w:rFonts w:ascii="Times New Roman" w:hAnsi="Times New Roman" w:cs="Times New Roman"/>
          <w:sz w:val="24"/>
          <w:szCs w:val="24"/>
        </w:rPr>
        <w:t>http://www.conjur.com.br/2016-jun-23/alexandre-freitas-camara-cpc-ampliou-poderes-juiz</w:t>
      </w:r>
      <w:r>
        <w:rPr>
          <w:rFonts w:ascii="Times New Roman" w:hAnsi="Times New Roman" w:cs="Times New Roman"/>
          <w:sz w:val="24"/>
          <w:szCs w:val="24"/>
        </w:rPr>
        <w:t>&gt;. Acessado em: 08/03/2017.</w:t>
      </w:r>
    </w:p>
    <w:p w14:paraId="4C852B9F" w14:textId="77777777" w:rsidR="009312E2" w:rsidRDefault="009312E2" w:rsidP="00065FFF">
      <w:pPr>
        <w:spacing w:after="0" w:line="240" w:lineRule="auto"/>
        <w:rPr>
          <w:rFonts w:ascii="Times New Roman" w:hAnsi="Times New Roman" w:cs="Times New Roman"/>
          <w:sz w:val="24"/>
          <w:szCs w:val="24"/>
        </w:rPr>
      </w:pPr>
    </w:p>
    <w:p w14:paraId="4C852BA0" w14:textId="0323235C" w:rsidR="00115009" w:rsidRDefault="00065FFF" w:rsidP="00065FFF">
      <w:pPr>
        <w:spacing w:after="0" w:line="240" w:lineRule="auto"/>
        <w:rPr>
          <w:rFonts w:ascii="Times New Roman" w:hAnsi="Times New Roman" w:cs="Times New Roman"/>
          <w:sz w:val="24"/>
          <w:szCs w:val="24"/>
        </w:rPr>
      </w:pPr>
      <w:r>
        <w:rPr>
          <w:rFonts w:ascii="Times New Roman" w:hAnsi="Times New Roman" w:cs="Times New Roman"/>
          <w:sz w:val="24"/>
          <w:szCs w:val="24"/>
        </w:rPr>
        <w:t>GIL, Antô</w:t>
      </w:r>
      <w:r w:rsidR="00115009">
        <w:rPr>
          <w:rFonts w:ascii="Times New Roman" w:hAnsi="Times New Roman" w:cs="Times New Roman"/>
          <w:sz w:val="24"/>
          <w:szCs w:val="24"/>
        </w:rPr>
        <w:t xml:space="preserve">nio Carlos. </w:t>
      </w:r>
      <w:r w:rsidR="00115009">
        <w:rPr>
          <w:rFonts w:ascii="Times New Roman" w:hAnsi="Times New Roman" w:cs="Times New Roman"/>
          <w:b/>
          <w:sz w:val="24"/>
          <w:szCs w:val="24"/>
        </w:rPr>
        <w:t xml:space="preserve">Como Elaborar Projetos de Pesquisa. </w:t>
      </w:r>
      <w:r w:rsidR="00115009">
        <w:rPr>
          <w:rFonts w:ascii="Times New Roman" w:hAnsi="Times New Roman" w:cs="Times New Roman"/>
          <w:sz w:val="24"/>
          <w:szCs w:val="24"/>
        </w:rPr>
        <w:t>5. ed. São Paulo: Atlas, 2010.</w:t>
      </w:r>
    </w:p>
    <w:p w14:paraId="4C852BA1" w14:textId="77777777" w:rsidR="009312E2" w:rsidRDefault="009312E2" w:rsidP="00065FFF">
      <w:pPr>
        <w:spacing w:after="0" w:line="240" w:lineRule="auto"/>
        <w:rPr>
          <w:rFonts w:ascii="Times New Roman" w:hAnsi="Times New Roman" w:cs="Times New Roman"/>
          <w:sz w:val="24"/>
          <w:szCs w:val="24"/>
        </w:rPr>
      </w:pPr>
    </w:p>
    <w:p w14:paraId="4C852BA2" w14:textId="7A6C6406" w:rsidR="00113FB9" w:rsidRDefault="00115009" w:rsidP="00065FFF">
      <w:pPr>
        <w:spacing w:after="0" w:line="240" w:lineRule="auto"/>
        <w:rPr>
          <w:rFonts w:ascii="Times New Roman" w:hAnsi="Times New Roman"/>
          <w:sz w:val="24"/>
          <w:szCs w:val="24"/>
        </w:rPr>
      </w:pPr>
      <w:r>
        <w:rPr>
          <w:rFonts w:ascii="Times New Roman" w:hAnsi="Times New Roman"/>
          <w:sz w:val="24"/>
          <w:szCs w:val="24"/>
        </w:rPr>
        <w:t>LIMA, Rafael de Oliveira</w:t>
      </w:r>
      <w:r>
        <w:rPr>
          <w:rFonts w:ascii="Times New Roman" w:hAnsi="Times New Roman"/>
          <w:b/>
          <w:bCs/>
          <w:sz w:val="24"/>
          <w:szCs w:val="24"/>
        </w:rPr>
        <w:t>. A atipicidade dos meios executivos no Código de Processo Civil Brasileiro de 2015</w:t>
      </w:r>
      <w:r>
        <w:rPr>
          <w:rFonts w:ascii="Times New Roman" w:hAnsi="Times New Roman"/>
          <w:sz w:val="24"/>
          <w:szCs w:val="24"/>
        </w:rPr>
        <w:t>. v</w:t>
      </w:r>
      <w:r w:rsidR="00065FFF">
        <w:rPr>
          <w:rFonts w:ascii="Times New Roman" w:hAnsi="Times New Roman"/>
          <w:sz w:val="24"/>
          <w:szCs w:val="24"/>
        </w:rPr>
        <w:t>.2 n.2. Curitiba: Revista de Pro</w:t>
      </w:r>
      <w:r>
        <w:rPr>
          <w:rFonts w:ascii="Times New Roman" w:hAnsi="Times New Roman"/>
          <w:sz w:val="24"/>
          <w:szCs w:val="24"/>
        </w:rPr>
        <w:t>cesso, Jurisdição e Efetividade da Justiça, 2016. Disponível em: &lt; indexlaw.org/index.php/revistaprocessojurisdicao/article/download/ 1611/2080&gt;. Acessado em: 08/03/2017.</w:t>
      </w:r>
    </w:p>
    <w:p w14:paraId="4C852BA3" w14:textId="77777777" w:rsidR="0085210C" w:rsidRDefault="0085210C" w:rsidP="00065FFF">
      <w:pPr>
        <w:spacing w:after="0" w:line="240" w:lineRule="auto"/>
        <w:ind w:firstLine="1134"/>
        <w:rPr>
          <w:rFonts w:ascii="Times New Roman" w:hAnsi="Times New Roman"/>
          <w:sz w:val="24"/>
          <w:szCs w:val="24"/>
        </w:rPr>
      </w:pPr>
    </w:p>
    <w:p w14:paraId="4C852BA5" w14:textId="3C973D40" w:rsidR="007A0C18" w:rsidRPr="007F51B3" w:rsidRDefault="007A0C18" w:rsidP="00065FFF">
      <w:pPr>
        <w:spacing w:after="0" w:line="240" w:lineRule="auto"/>
        <w:rPr>
          <w:rFonts w:ascii="Times New Roman" w:hAnsi="Times New Roman"/>
          <w:sz w:val="24"/>
          <w:szCs w:val="24"/>
        </w:rPr>
      </w:pPr>
      <w:r w:rsidRPr="007A0C18">
        <w:rPr>
          <w:rFonts w:ascii="Times New Roman" w:hAnsi="Times New Roman" w:cs="Times New Roman"/>
          <w:sz w:val="24"/>
          <w:szCs w:val="24"/>
        </w:rPr>
        <w:t>ZARONI,</w:t>
      </w:r>
      <w:r>
        <w:rPr>
          <w:rFonts w:ascii="Times New Roman" w:hAnsi="Times New Roman" w:cs="Times New Roman"/>
          <w:sz w:val="24"/>
          <w:szCs w:val="24"/>
        </w:rPr>
        <w:t xml:space="preserve"> Bruno </w:t>
      </w:r>
      <w:proofErr w:type="spellStart"/>
      <w:r>
        <w:rPr>
          <w:rFonts w:ascii="Times New Roman" w:hAnsi="Times New Roman" w:cs="Times New Roman"/>
          <w:sz w:val="24"/>
          <w:szCs w:val="24"/>
        </w:rPr>
        <w:t>Marzullo</w:t>
      </w:r>
      <w:proofErr w:type="spellEnd"/>
      <w:r>
        <w:rPr>
          <w:rFonts w:ascii="Times New Roman" w:hAnsi="Times New Roman" w:cs="Times New Roman"/>
          <w:sz w:val="24"/>
          <w:szCs w:val="24"/>
        </w:rPr>
        <w:t>;</w:t>
      </w:r>
      <w:r w:rsidRPr="007A0C18">
        <w:rPr>
          <w:rFonts w:ascii="Times New Roman" w:hAnsi="Times New Roman" w:cs="Times New Roman"/>
          <w:sz w:val="24"/>
          <w:szCs w:val="24"/>
        </w:rPr>
        <w:t xml:space="preserve"> VITORELLI</w:t>
      </w:r>
      <w:r>
        <w:rPr>
          <w:rFonts w:ascii="Times New Roman" w:hAnsi="Times New Roman" w:cs="Times New Roman"/>
          <w:sz w:val="24"/>
          <w:szCs w:val="24"/>
        </w:rPr>
        <w:t xml:space="preserve">, Edilson. </w:t>
      </w:r>
      <w:r w:rsidRPr="007A0C18">
        <w:rPr>
          <w:rFonts w:ascii="Times New Roman" w:hAnsi="Times New Roman" w:cs="Times New Roman"/>
          <w:b/>
          <w:sz w:val="24"/>
          <w:szCs w:val="24"/>
        </w:rPr>
        <w:t>Coleção Novo CPC</w:t>
      </w:r>
      <w:r>
        <w:rPr>
          <w:rFonts w:ascii="Times New Roman" w:hAnsi="Times New Roman" w:cs="Times New Roman"/>
          <w:sz w:val="24"/>
          <w:szCs w:val="24"/>
        </w:rPr>
        <w:t xml:space="preserve"> – Doutrina Selecionada. Vol. 5. Execução. 2ª ed. rev. e atual. Coordenador Geral </w:t>
      </w:r>
      <w:proofErr w:type="spellStart"/>
      <w:r>
        <w:rPr>
          <w:rFonts w:ascii="Times New Roman" w:hAnsi="Times New Roman" w:cs="Times New Roman"/>
          <w:sz w:val="24"/>
          <w:szCs w:val="24"/>
        </w:rPr>
        <w:t>Fredi</w:t>
      </w:r>
      <w:r w:rsidR="00065FFF">
        <w:rPr>
          <w:rFonts w:ascii="Times New Roman" w:hAnsi="Times New Roman" w:cs="Times New Roman"/>
          <w:sz w:val="24"/>
          <w:szCs w:val="24"/>
        </w:rPr>
        <w:t>e</w:t>
      </w:r>
      <w:proofErr w:type="spellEnd"/>
      <w:r w:rsidR="00065FFF">
        <w:rPr>
          <w:rFonts w:ascii="Times New Roman" w:hAnsi="Times New Roman" w:cs="Times New Roman"/>
          <w:sz w:val="24"/>
          <w:szCs w:val="24"/>
        </w:rPr>
        <w:t xml:space="preserve"> Didier Jr. Salvador: </w:t>
      </w:r>
      <w:proofErr w:type="spellStart"/>
      <w:r w:rsidR="00065FFF">
        <w:rPr>
          <w:rFonts w:ascii="Times New Roman" w:hAnsi="Times New Roman" w:cs="Times New Roman"/>
          <w:sz w:val="24"/>
          <w:szCs w:val="24"/>
        </w:rPr>
        <w:t>Juspodiv</w:t>
      </w:r>
      <w:r>
        <w:rPr>
          <w:rFonts w:ascii="Times New Roman" w:hAnsi="Times New Roman" w:cs="Times New Roman"/>
          <w:sz w:val="24"/>
          <w:szCs w:val="24"/>
        </w:rPr>
        <w:t>m</w:t>
      </w:r>
      <w:proofErr w:type="spellEnd"/>
      <w:r>
        <w:rPr>
          <w:rFonts w:ascii="Times New Roman" w:hAnsi="Times New Roman" w:cs="Times New Roman"/>
          <w:sz w:val="24"/>
          <w:szCs w:val="24"/>
        </w:rPr>
        <w:t>, 20</w:t>
      </w:r>
      <w:r w:rsidR="00065FFF">
        <w:rPr>
          <w:rFonts w:ascii="Times New Roman" w:hAnsi="Times New Roman" w:cs="Times New Roman"/>
          <w:sz w:val="24"/>
          <w:szCs w:val="24"/>
        </w:rPr>
        <w:t>16.</w:t>
      </w:r>
    </w:p>
    <w:sectPr w:rsidR="007A0C18" w:rsidRPr="007F51B3" w:rsidSect="00790B78">
      <w:headerReference w:type="default" r:id="rId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36584" w14:textId="77777777" w:rsidR="00EA3CB2" w:rsidRDefault="00EA3CB2" w:rsidP="00F82FDC">
      <w:pPr>
        <w:spacing w:after="0" w:line="240" w:lineRule="auto"/>
      </w:pPr>
      <w:r>
        <w:separator/>
      </w:r>
    </w:p>
  </w:endnote>
  <w:endnote w:type="continuationSeparator" w:id="0">
    <w:p w14:paraId="37300E9B" w14:textId="77777777" w:rsidR="00EA3CB2" w:rsidRDefault="00EA3CB2" w:rsidP="00F8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BB4B" w14:textId="77777777" w:rsidR="00EA3CB2" w:rsidRDefault="00EA3CB2" w:rsidP="00F82FDC">
      <w:pPr>
        <w:spacing w:after="0" w:line="240" w:lineRule="auto"/>
      </w:pPr>
      <w:r>
        <w:separator/>
      </w:r>
    </w:p>
  </w:footnote>
  <w:footnote w:type="continuationSeparator" w:id="0">
    <w:p w14:paraId="0565CD2A" w14:textId="77777777" w:rsidR="00EA3CB2" w:rsidRDefault="00EA3CB2" w:rsidP="00F82FDC">
      <w:pPr>
        <w:spacing w:after="0" w:line="240" w:lineRule="auto"/>
      </w:pPr>
      <w:r>
        <w:continuationSeparator/>
      </w:r>
    </w:p>
  </w:footnote>
  <w:footnote w:id="1">
    <w:p w14:paraId="4C852BAC" w14:textId="77777777" w:rsidR="00F82FDC" w:rsidRPr="001876A3" w:rsidRDefault="00F82FDC">
      <w:pPr>
        <w:pStyle w:val="Textodenotaderodap"/>
        <w:rPr>
          <w:rFonts w:ascii="Times New Roman" w:hAnsi="Times New Roman" w:cs="Times New Roman"/>
        </w:rPr>
      </w:pPr>
      <w:r w:rsidRPr="001876A3">
        <w:rPr>
          <w:rStyle w:val="Refdenotaderodap"/>
          <w:rFonts w:ascii="Times New Roman" w:hAnsi="Times New Roman" w:cs="Times New Roman"/>
        </w:rPr>
        <w:footnoteRef/>
      </w:r>
      <w:r w:rsidRPr="001876A3">
        <w:rPr>
          <w:rFonts w:ascii="Times New Roman" w:hAnsi="Times New Roman" w:cs="Times New Roman"/>
        </w:rPr>
        <w:t xml:space="preserve"> </w:t>
      </w:r>
      <w:proofErr w:type="spellStart"/>
      <w:r w:rsidRPr="001876A3">
        <w:rPr>
          <w:rFonts w:ascii="Times New Roman" w:hAnsi="Times New Roman" w:cs="Times New Roman"/>
        </w:rPr>
        <w:t>Paper</w:t>
      </w:r>
      <w:proofErr w:type="spellEnd"/>
      <w:r w:rsidRPr="001876A3">
        <w:rPr>
          <w:rFonts w:ascii="Times New Roman" w:hAnsi="Times New Roman" w:cs="Times New Roman"/>
        </w:rPr>
        <w:t xml:space="preserve"> apresentado à disciplina Execução Civil, da Unidade de Ensino Superior Dom Bosco – UNDB.</w:t>
      </w:r>
    </w:p>
  </w:footnote>
  <w:footnote w:id="2">
    <w:p w14:paraId="28E33B97" w14:textId="18030975" w:rsidR="001876A3" w:rsidRPr="001876A3" w:rsidRDefault="001876A3">
      <w:pPr>
        <w:pStyle w:val="Textodenotaderodap"/>
        <w:rPr>
          <w:rFonts w:ascii="Times New Roman" w:hAnsi="Times New Roman" w:cs="Times New Roman"/>
        </w:rPr>
      </w:pPr>
      <w:r w:rsidRPr="001876A3">
        <w:rPr>
          <w:rStyle w:val="Refdenotaderodap"/>
          <w:rFonts w:ascii="Times New Roman" w:hAnsi="Times New Roman" w:cs="Times New Roman"/>
        </w:rPr>
        <w:footnoteRef/>
      </w:r>
      <w:r w:rsidRPr="001876A3">
        <w:rPr>
          <w:rFonts w:ascii="Times New Roman" w:hAnsi="Times New Roman" w:cs="Times New Roman"/>
        </w:rPr>
        <w:t xml:space="preserve"> Aluna do 6º período, do curso de Direito, da UNDB.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48776"/>
      <w:docPartObj>
        <w:docPartGallery w:val="Page Numbers (Top of Page)"/>
        <w:docPartUnique/>
      </w:docPartObj>
    </w:sdtPr>
    <w:sdtEndPr>
      <w:rPr>
        <w:rFonts w:ascii="Times New Roman" w:hAnsi="Times New Roman" w:cs="Times New Roman"/>
        <w:sz w:val="20"/>
        <w:szCs w:val="20"/>
      </w:rPr>
    </w:sdtEndPr>
    <w:sdtContent>
      <w:p w14:paraId="4C852BAA" w14:textId="49028EB3" w:rsidR="00790B78" w:rsidRPr="00790B78" w:rsidRDefault="00790B78">
        <w:pPr>
          <w:pStyle w:val="Cabealho"/>
          <w:jc w:val="right"/>
          <w:rPr>
            <w:rFonts w:ascii="Times New Roman" w:hAnsi="Times New Roman" w:cs="Times New Roman"/>
            <w:sz w:val="20"/>
            <w:szCs w:val="20"/>
          </w:rPr>
        </w:pPr>
        <w:r w:rsidRPr="00790B78">
          <w:rPr>
            <w:rFonts w:ascii="Times New Roman" w:hAnsi="Times New Roman" w:cs="Times New Roman"/>
            <w:sz w:val="20"/>
            <w:szCs w:val="20"/>
          </w:rPr>
          <w:fldChar w:fldCharType="begin"/>
        </w:r>
        <w:r w:rsidRPr="00790B78">
          <w:rPr>
            <w:rFonts w:ascii="Times New Roman" w:hAnsi="Times New Roman" w:cs="Times New Roman"/>
            <w:sz w:val="20"/>
            <w:szCs w:val="20"/>
          </w:rPr>
          <w:instrText>PAGE   \* MERGEFORMAT</w:instrText>
        </w:r>
        <w:r w:rsidRPr="00790B78">
          <w:rPr>
            <w:rFonts w:ascii="Times New Roman" w:hAnsi="Times New Roman" w:cs="Times New Roman"/>
            <w:sz w:val="20"/>
            <w:szCs w:val="20"/>
          </w:rPr>
          <w:fldChar w:fldCharType="separate"/>
        </w:r>
        <w:r w:rsidR="00C860F5">
          <w:rPr>
            <w:rFonts w:ascii="Times New Roman" w:hAnsi="Times New Roman" w:cs="Times New Roman"/>
            <w:noProof/>
            <w:sz w:val="20"/>
            <w:szCs w:val="20"/>
          </w:rPr>
          <w:t>10</w:t>
        </w:r>
        <w:r w:rsidRPr="00790B78">
          <w:rPr>
            <w:rFonts w:ascii="Times New Roman" w:hAnsi="Times New Roman" w:cs="Times New Roman"/>
            <w:sz w:val="20"/>
            <w:szCs w:val="20"/>
          </w:rPr>
          <w:fldChar w:fldCharType="end"/>
        </w:r>
      </w:p>
    </w:sdtContent>
  </w:sdt>
  <w:p w14:paraId="4C852BAB" w14:textId="77777777" w:rsidR="00790B78" w:rsidRDefault="00790B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DC"/>
    <w:rsid w:val="000219FC"/>
    <w:rsid w:val="00065FFF"/>
    <w:rsid w:val="00113FB9"/>
    <w:rsid w:val="00115009"/>
    <w:rsid w:val="0016350F"/>
    <w:rsid w:val="001876A3"/>
    <w:rsid w:val="001A0541"/>
    <w:rsid w:val="00256DD4"/>
    <w:rsid w:val="00325A4E"/>
    <w:rsid w:val="003267D3"/>
    <w:rsid w:val="0033076F"/>
    <w:rsid w:val="003423DB"/>
    <w:rsid w:val="003567D4"/>
    <w:rsid w:val="00386BD0"/>
    <w:rsid w:val="003D36C1"/>
    <w:rsid w:val="00451F17"/>
    <w:rsid w:val="00573DA6"/>
    <w:rsid w:val="005B5A74"/>
    <w:rsid w:val="005F2B4C"/>
    <w:rsid w:val="00611226"/>
    <w:rsid w:val="0064230B"/>
    <w:rsid w:val="00790B78"/>
    <w:rsid w:val="007A0C18"/>
    <w:rsid w:val="007D0150"/>
    <w:rsid w:val="007E212D"/>
    <w:rsid w:val="007F51B3"/>
    <w:rsid w:val="0085210C"/>
    <w:rsid w:val="008851E9"/>
    <w:rsid w:val="008926E3"/>
    <w:rsid w:val="00894467"/>
    <w:rsid w:val="008965BA"/>
    <w:rsid w:val="008A2FDC"/>
    <w:rsid w:val="008F0F94"/>
    <w:rsid w:val="00930710"/>
    <w:rsid w:val="009312E2"/>
    <w:rsid w:val="00993E7E"/>
    <w:rsid w:val="00A66536"/>
    <w:rsid w:val="00A7607F"/>
    <w:rsid w:val="00B00FD1"/>
    <w:rsid w:val="00B438AC"/>
    <w:rsid w:val="00BA4190"/>
    <w:rsid w:val="00C279E0"/>
    <w:rsid w:val="00C34A85"/>
    <w:rsid w:val="00C47D0D"/>
    <w:rsid w:val="00C6688D"/>
    <w:rsid w:val="00C860F5"/>
    <w:rsid w:val="00CC426E"/>
    <w:rsid w:val="00CF1BA0"/>
    <w:rsid w:val="00D11DA0"/>
    <w:rsid w:val="00D2412D"/>
    <w:rsid w:val="00D624ED"/>
    <w:rsid w:val="00D92370"/>
    <w:rsid w:val="00DA4D42"/>
    <w:rsid w:val="00E110C3"/>
    <w:rsid w:val="00E20FCC"/>
    <w:rsid w:val="00E3676F"/>
    <w:rsid w:val="00EA3CB2"/>
    <w:rsid w:val="00EF0915"/>
    <w:rsid w:val="00F82FDC"/>
    <w:rsid w:val="00FA16DF"/>
    <w:rsid w:val="00FA6A76"/>
    <w:rsid w:val="00FC40A9"/>
    <w:rsid w:val="00FD6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2B46"/>
  <w15:docId w15:val="{EA4D0EEC-F593-4B3C-BBF4-CBDF879A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82F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2FDC"/>
    <w:rPr>
      <w:sz w:val="20"/>
      <w:szCs w:val="20"/>
    </w:rPr>
  </w:style>
  <w:style w:type="character" w:styleId="Refdenotaderodap">
    <w:name w:val="footnote reference"/>
    <w:basedOn w:val="Fontepargpadro"/>
    <w:uiPriority w:val="99"/>
    <w:semiHidden/>
    <w:unhideWhenUsed/>
    <w:rsid w:val="00F82FDC"/>
    <w:rPr>
      <w:vertAlign w:val="superscript"/>
    </w:rPr>
  </w:style>
  <w:style w:type="paragraph" w:styleId="Cabealho">
    <w:name w:val="header"/>
    <w:basedOn w:val="Normal"/>
    <w:link w:val="CabealhoChar"/>
    <w:uiPriority w:val="99"/>
    <w:unhideWhenUsed/>
    <w:rsid w:val="00790B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0B78"/>
  </w:style>
  <w:style w:type="paragraph" w:styleId="Rodap">
    <w:name w:val="footer"/>
    <w:basedOn w:val="Normal"/>
    <w:link w:val="RodapChar"/>
    <w:uiPriority w:val="99"/>
    <w:unhideWhenUsed/>
    <w:rsid w:val="00790B78"/>
    <w:pPr>
      <w:tabs>
        <w:tab w:val="center" w:pos="4252"/>
        <w:tab w:val="right" w:pos="8504"/>
      </w:tabs>
      <w:spacing w:after="0" w:line="240" w:lineRule="auto"/>
    </w:pPr>
  </w:style>
  <w:style w:type="character" w:customStyle="1" w:styleId="RodapChar">
    <w:name w:val="Rodapé Char"/>
    <w:basedOn w:val="Fontepargpadro"/>
    <w:link w:val="Rodap"/>
    <w:uiPriority w:val="99"/>
    <w:rsid w:val="00790B78"/>
  </w:style>
  <w:style w:type="character" w:styleId="Hyperlink">
    <w:name w:val="Hyperlink"/>
    <w:basedOn w:val="Fontepargpadro"/>
    <w:uiPriority w:val="99"/>
    <w:unhideWhenUsed/>
    <w:rsid w:val="00113FB9"/>
    <w:rPr>
      <w:color w:val="0000FF" w:themeColor="hyperlink"/>
      <w:u w:val="single"/>
    </w:rPr>
  </w:style>
  <w:style w:type="paragraph" w:styleId="Textodebalo">
    <w:name w:val="Balloon Text"/>
    <w:basedOn w:val="Normal"/>
    <w:link w:val="TextodebaloChar"/>
    <w:uiPriority w:val="99"/>
    <w:semiHidden/>
    <w:unhideWhenUsed/>
    <w:rsid w:val="00573D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3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1E28-D762-488C-B078-320CE14C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3809</Words>
  <Characters>20569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moraes</dc:creator>
  <cp:lastModifiedBy>Aluno NPJ</cp:lastModifiedBy>
  <cp:revision>6</cp:revision>
  <cp:lastPrinted>2017-05-08T15:53:00Z</cp:lastPrinted>
  <dcterms:created xsi:type="dcterms:W3CDTF">2017-05-08T13:58:00Z</dcterms:created>
  <dcterms:modified xsi:type="dcterms:W3CDTF">2019-06-26T12:08:00Z</dcterms:modified>
</cp:coreProperties>
</file>