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9BE" w:rsidRPr="00F36E62" w:rsidRDefault="00FF44F2" w:rsidP="006129BE">
      <w:pPr>
        <w:ind w:right="-568"/>
        <w:jc w:val="center"/>
        <w:rPr>
          <w:rFonts w:ascii="Times New Roman" w:hAnsi="Times New Roman" w:cs="Times New Roman"/>
          <w:b/>
          <w:sz w:val="28"/>
          <w:szCs w:val="28"/>
        </w:rPr>
      </w:pPr>
      <w:bookmarkStart w:id="0" w:name="_GoBack"/>
      <w:bookmarkEnd w:id="0"/>
      <w:r w:rsidRPr="00F36E62">
        <w:rPr>
          <w:rFonts w:ascii="Times New Roman" w:hAnsi="Times New Roman" w:cs="Times New Roman"/>
          <w:b/>
          <w:sz w:val="28"/>
          <w:szCs w:val="28"/>
        </w:rPr>
        <w:t>IMPACTO DAS</w:t>
      </w:r>
      <w:r w:rsidR="006129BE" w:rsidRPr="00F36E62">
        <w:rPr>
          <w:rFonts w:ascii="Times New Roman" w:hAnsi="Times New Roman" w:cs="Times New Roman"/>
          <w:b/>
          <w:sz w:val="28"/>
          <w:szCs w:val="28"/>
        </w:rPr>
        <w:t xml:space="preserve"> MUDANÇ</w:t>
      </w:r>
      <w:r w:rsidR="00B6151A" w:rsidRPr="00F36E62">
        <w:rPr>
          <w:rFonts w:ascii="Times New Roman" w:hAnsi="Times New Roman" w:cs="Times New Roman"/>
          <w:b/>
          <w:sz w:val="28"/>
          <w:szCs w:val="28"/>
        </w:rPr>
        <w:t>A</w:t>
      </w:r>
      <w:r w:rsidRPr="00F36E62">
        <w:rPr>
          <w:rFonts w:ascii="Times New Roman" w:hAnsi="Times New Roman" w:cs="Times New Roman"/>
          <w:b/>
          <w:sz w:val="28"/>
          <w:szCs w:val="28"/>
        </w:rPr>
        <w:t>S CONTÁBEIS D</w:t>
      </w:r>
      <w:r w:rsidR="006129BE" w:rsidRPr="00F36E62">
        <w:rPr>
          <w:rFonts w:ascii="Times New Roman" w:hAnsi="Times New Roman" w:cs="Times New Roman"/>
          <w:b/>
          <w:sz w:val="28"/>
          <w:szCs w:val="28"/>
        </w:rPr>
        <w:t>A IFRS 16 – OPERAÇÕES DE ARRENDAMENTO MERCANTIL</w:t>
      </w:r>
    </w:p>
    <w:p w:rsidR="006129BE" w:rsidRPr="00F36E62" w:rsidRDefault="006129BE" w:rsidP="006129BE">
      <w:pPr>
        <w:ind w:right="-568"/>
        <w:jc w:val="center"/>
        <w:rPr>
          <w:rFonts w:ascii="Times New Roman" w:hAnsi="Times New Roman" w:cs="Times New Roman"/>
          <w:sz w:val="28"/>
          <w:szCs w:val="28"/>
        </w:rPr>
      </w:pPr>
    </w:p>
    <w:p w:rsidR="006129BE" w:rsidRPr="00F36E62" w:rsidRDefault="006129BE" w:rsidP="006129BE">
      <w:pPr>
        <w:ind w:right="-568"/>
        <w:jc w:val="center"/>
        <w:rPr>
          <w:rFonts w:ascii="Times New Roman" w:hAnsi="Times New Roman" w:cs="Times New Roman"/>
          <w:b/>
          <w:sz w:val="28"/>
          <w:szCs w:val="28"/>
        </w:rPr>
      </w:pPr>
    </w:p>
    <w:p w:rsidR="0022557E" w:rsidRPr="00F36E62" w:rsidRDefault="0022557E" w:rsidP="00E95C6F">
      <w:pPr>
        <w:ind w:right="-568"/>
        <w:jc w:val="both"/>
        <w:rPr>
          <w:rFonts w:ascii="Times New Roman" w:hAnsi="Times New Roman" w:cs="Times New Roman"/>
          <w:b/>
          <w:sz w:val="28"/>
          <w:szCs w:val="28"/>
        </w:rPr>
      </w:pPr>
      <w:r w:rsidRPr="00F36E62">
        <w:rPr>
          <w:rFonts w:ascii="Times New Roman" w:hAnsi="Times New Roman" w:cs="Times New Roman"/>
          <w:b/>
          <w:sz w:val="28"/>
          <w:szCs w:val="28"/>
        </w:rPr>
        <w:t>RESUMO</w:t>
      </w:r>
    </w:p>
    <w:p w:rsidR="00905EE0" w:rsidRPr="00F36E62" w:rsidRDefault="00E97EBA" w:rsidP="006129BE">
      <w:pPr>
        <w:spacing w:line="360" w:lineRule="auto"/>
        <w:ind w:right="-568"/>
        <w:jc w:val="both"/>
        <w:rPr>
          <w:rFonts w:ascii="Times New Roman" w:hAnsi="Times New Roman" w:cs="Times New Roman"/>
          <w:sz w:val="24"/>
          <w:szCs w:val="24"/>
        </w:rPr>
      </w:pPr>
      <w:r>
        <w:rPr>
          <w:rFonts w:ascii="Times New Roman" w:hAnsi="Times New Roman" w:cs="Times New Roman"/>
          <w:sz w:val="24"/>
          <w:szCs w:val="24"/>
        </w:rPr>
        <w:t>A contabilidade brasileira encontra-se novamente com mais uma mudança significativa decorrente das alterações das normas internaciona</w:t>
      </w:r>
      <w:r w:rsidR="00FC6140">
        <w:rPr>
          <w:rFonts w:ascii="Times New Roman" w:hAnsi="Times New Roman" w:cs="Times New Roman"/>
          <w:sz w:val="24"/>
          <w:szCs w:val="24"/>
        </w:rPr>
        <w:t>is de contabilidade, em razão do</w:t>
      </w:r>
      <w:r>
        <w:rPr>
          <w:rFonts w:ascii="Times New Roman" w:hAnsi="Times New Roman" w:cs="Times New Roman"/>
          <w:sz w:val="24"/>
          <w:szCs w:val="24"/>
        </w:rPr>
        <w:t xml:space="preserve"> constante </w:t>
      </w:r>
      <w:r w:rsidR="00FC6140">
        <w:rPr>
          <w:rFonts w:ascii="Times New Roman" w:hAnsi="Times New Roman" w:cs="Times New Roman"/>
          <w:sz w:val="24"/>
          <w:szCs w:val="24"/>
        </w:rPr>
        <w:t>processo de internacionalização e harmonização</w:t>
      </w:r>
      <w:r>
        <w:rPr>
          <w:rFonts w:ascii="Times New Roman" w:hAnsi="Times New Roman" w:cs="Times New Roman"/>
          <w:sz w:val="24"/>
          <w:szCs w:val="24"/>
        </w:rPr>
        <w:t xml:space="preserve"> das normas brasileiras com as normas internacionais</w:t>
      </w:r>
      <w:r w:rsidR="00FC6140">
        <w:rPr>
          <w:rFonts w:ascii="Times New Roman" w:hAnsi="Times New Roman" w:cs="Times New Roman"/>
          <w:sz w:val="24"/>
          <w:szCs w:val="24"/>
        </w:rPr>
        <w:t xml:space="preserve"> para torná-las mais homogêneas</w:t>
      </w:r>
      <w:r>
        <w:rPr>
          <w:rFonts w:ascii="Times New Roman" w:hAnsi="Times New Roman" w:cs="Times New Roman"/>
          <w:sz w:val="24"/>
          <w:szCs w:val="24"/>
        </w:rPr>
        <w:t>. Assim, a partir de 01 de janeiro de 2019 entrará em vigor a IFRS 16 – Operações de Arrendamento Mercantil. A nova norma trará mudanças no reconhecimento dos ativo</w:t>
      </w:r>
      <w:r w:rsidR="00DB6EEE">
        <w:rPr>
          <w:rFonts w:ascii="Times New Roman" w:hAnsi="Times New Roman" w:cs="Times New Roman"/>
          <w:sz w:val="24"/>
          <w:szCs w:val="24"/>
        </w:rPr>
        <w:t>s</w:t>
      </w:r>
      <w:r>
        <w:rPr>
          <w:rFonts w:ascii="Times New Roman" w:hAnsi="Times New Roman" w:cs="Times New Roman"/>
          <w:sz w:val="24"/>
          <w:szCs w:val="24"/>
        </w:rPr>
        <w:t xml:space="preserve"> e pas</w:t>
      </w:r>
      <w:r w:rsidR="00DB6EEE">
        <w:rPr>
          <w:rFonts w:ascii="Times New Roman" w:hAnsi="Times New Roman" w:cs="Times New Roman"/>
          <w:sz w:val="24"/>
          <w:szCs w:val="24"/>
        </w:rPr>
        <w:t>sivos dos arrendatários,</w:t>
      </w:r>
      <w:r>
        <w:rPr>
          <w:rFonts w:ascii="Times New Roman" w:hAnsi="Times New Roman" w:cs="Times New Roman"/>
          <w:sz w:val="24"/>
          <w:szCs w:val="24"/>
        </w:rPr>
        <w:t xml:space="preserve"> influenciar </w:t>
      </w:r>
      <w:r w:rsidR="00FC6140">
        <w:rPr>
          <w:rFonts w:ascii="Times New Roman" w:hAnsi="Times New Roman" w:cs="Times New Roman"/>
          <w:sz w:val="24"/>
          <w:szCs w:val="24"/>
        </w:rPr>
        <w:t>n</w:t>
      </w:r>
      <w:r>
        <w:rPr>
          <w:rFonts w:ascii="Times New Roman" w:hAnsi="Times New Roman" w:cs="Times New Roman"/>
          <w:sz w:val="24"/>
          <w:szCs w:val="24"/>
        </w:rPr>
        <w:t>o resultado das companhias e processos internos</w:t>
      </w:r>
      <w:r w:rsidR="00DB6EEE">
        <w:rPr>
          <w:rFonts w:ascii="Times New Roman" w:hAnsi="Times New Roman" w:cs="Times New Roman"/>
          <w:sz w:val="24"/>
          <w:szCs w:val="24"/>
        </w:rPr>
        <w:t>, além disso, as demonstrações financeiras serão mais transparentes, uma vez que todos os contratos de arrendamento estarão reconhecidos no balanço patrimonial.</w:t>
      </w:r>
      <w:r w:rsidR="0026283D">
        <w:rPr>
          <w:rFonts w:ascii="Times New Roman" w:hAnsi="Times New Roman" w:cs="Times New Roman"/>
          <w:sz w:val="24"/>
          <w:szCs w:val="24"/>
        </w:rPr>
        <w:t xml:space="preserve"> </w:t>
      </w:r>
      <w:r w:rsidR="00DB6EEE">
        <w:rPr>
          <w:rFonts w:ascii="Times New Roman" w:hAnsi="Times New Roman" w:cs="Times New Roman"/>
          <w:sz w:val="24"/>
          <w:szCs w:val="24"/>
        </w:rPr>
        <w:t xml:space="preserve">Em decorrência disso, haverá um impacto também no resultado, uma vez que serão registradas despesas financeiras maiores. </w:t>
      </w:r>
      <w:r w:rsidR="0067021F">
        <w:rPr>
          <w:rFonts w:ascii="Times New Roman" w:hAnsi="Times New Roman" w:cs="Times New Roman"/>
          <w:sz w:val="24"/>
          <w:szCs w:val="24"/>
        </w:rPr>
        <w:t>Entretanto, existem algumas exceções, como os contratos de serviços decorrentes de contratos d</w:t>
      </w:r>
      <w:r w:rsidR="00905EE0">
        <w:rPr>
          <w:rFonts w:ascii="Times New Roman" w:hAnsi="Times New Roman" w:cs="Times New Roman"/>
          <w:sz w:val="24"/>
          <w:szCs w:val="24"/>
        </w:rPr>
        <w:t xml:space="preserve">e arrendamento, não sendo obrigatório o seu registro no </w:t>
      </w:r>
      <w:r w:rsidR="0067021F">
        <w:rPr>
          <w:rFonts w:ascii="Times New Roman" w:hAnsi="Times New Roman" w:cs="Times New Roman"/>
          <w:sz w:val="24"/>
          <w:szCs w:val="24"/>
        </w:rPr>
        <w:t>balanço patrimonial</w:t>
      </w:r>
      <w:r w:rsidR="00905EE0">
        <w:rPr>
          <w:rFonts w:ascii="Times New Roman" w:hAnsi="Times New Roman" w:cs="Times New Roman"/>
          <w:sz w:val="24"/>
          <w:szCs w:val="24"/>
        </w:rPr>
        <w:t>, mesmo que frequentemente os serviços são combinados no mesmo contrato; e também, a norma não exige o reconhecimento de arrendamentos de curto prazo e de ativos de baixo valor.</w:t>
      </w:r>
      <w:r w:rsidR="0067021F">
        <w:rPr>
          <w:rFonts w:ascii="Times New Roman" w:hAnsi="Times New Roman" w:cs="Times New Roman"/>
          <w:sz w:val="24"/>
          <w:szCs w:val="24"/>
        </w:rPr>
        <w:t xml:space="preserve"> </w:t>
      </w:r>
      <w:r w:rsidR="00905EE0">
        <w:rPr>
          <w:rFonts w:ascii="Times New Roman" w:hAnsi="Times New Roman" w:cs="Times New Roman"/>
          <w:sz w:val="24"/>
          <w:szCs w:val="24"/>
        </w:rPr>
        <w:t>Sendo assim, o</w:t>
      </w:r>
      <w:r w:rsidR="006129BE" w:rsidRPr="00F36E62">
        <w:rPr>
          <w:rFonts w:ascii="Times New Roman" w:hAnsi="Times New Roman" w:cs="Times New Roman"/>
          <w:sz w:val="24"/>
          <w:szCs w:val="24"/>
        </w:rPr>
        <w:t xml:space="preserve"> presente artigo tem como objetivo identificar, analisar e apresentar as </w:t>
      </w:r>
      <w:r w:rsidR="0026283D">
        <w:rPr>
          <w:rFonts w:ascii="Times New Roman" w:hAnsi="Times New Roman" w:cs="Times New Roman"/>
          <w:sz w:val="24"/>
          <w:szCs w:val="24"/>
        </w:rPr>
        <w:t xml:space="preserve">principais </w:t>
      </w:r>
      <w:r w:rsidR="006129BE" w:rsidRPr="00F36E62">
        <w:rPr>
          <w:rFonts w:ascii="Times New Roman" w:hAnsi="Times New Roman" w:cs="Times New Roman"/>
          <w:sz w:val="24"/>
          <w:szCs w:val="24"/>
        </w:rPr>
        <w:t>mudanças decorrentes da nova nor</w:t>
      </w:r>
      <w:r w:rsidR="0026283D">
        <w:rPr>
          <w:rFonts w:ascii="Times New Roman" w:hAnsi="Times New Roman" w:cs="Times New Roman"/>
          <w:sz w:val="24"/>
          <w:szCs w:val="24"/>
        </w:rPr>
        <w:t xml:space="preserve">ma contábil emitida em janeiro de 2016 e </w:t>
      </w:r>
      <w:r>
        <w:rPr>
          <w:rFonts w:ascii="Times New Roman" w:hAnsi="Times New Roman" w:cs="Times New Roman"/>
          <w:sz w:val="24"/>
          <w:szCs w:val="24"/>
        </w:rPr>
        <w:t>em substituição à IAS 17.</w:t>
      </w:r>
    </w:p>
    <w:p w:rsidR="00F85F41" w:rsidRPr="00CA22F1" w:rsidRDefault="00F85F41" w:rsidP="00CA22F1">
      <w:pPr>
        <w:spacing w:line="360" w:lineRule="auto"/>
        <w:ind w:right="-568"/>
        <w:jc w:val="both"/>
        <w:rPr>
          <w:rFonts w:ascii="Times New Roman" w:hAnsi="Times New Roman" w:cs="Times New Roman"/>
          <w:b/>
          <w:sz w:val="24"/>
          <w:szCs w:val="24"/>
        </w:rPr>
      </w:pPr>
      <w:r w:rsidRPr="00F36E62">
        <w:rPr>
          <w:rFonts w:ascii="Times New Roman" w:hAnsi="Times New Roman" w:cs="Times New Roman"/>
          <w:b/>
          <w:sz w:val="24"/>
          <w:szCs w:val="24"/>
        </w:rPr>
        <w:t xml:space="preserve">Palavras-chave: </w:t>
      </w:r>
      <w:r w:rsidRPr="00F36E62">
        <w:rPr>
          <w:rFonts w:ascii="Times New Roman" w:hAnsi="Times New Roman" w:cs="Times New Roman"/>
          <w:sz w:val="24"/>
          <w:szCs w:val="24"/>
        </w:rPr>
        <w:t>IFRS 16; arrendamen</w:t>
      </w:r>
      <w:r w:rsidR="000115A3">
        <w:rPr>
          <w:rFonts w:ascii="Times New Roman" w:hAnsi="Times New Roman" w:cs="Times New Roman"/>
          <w:sz w:val="24"/>
          <w:szCs w:val="24"/>
        </w:rPr>
        <w:t>to mercantil;</w:t>
      </w:r>
      <w:r w:rsidR="00FC4B17" w:rsidRPr="00F36E62">
        <w:rPr>
          <w:rFonts w:ascii="Times New Roman" w:hAnsi="Times New Roman" w:cs="Times New Roman"/>
          <w:sz w:val="24"/>
          <w:szCs w:val="24"/>
        </w:rPr>
        <w:t xml:space="preserve"> nova norma.</w:t>
      </w:r>
    </w:p>
    <w:p w:rsidR="00F85F41" w:rsidRPr="00CA22F1" w:rsidRDefault="00F85F41" w:rsidP="00E95C6F">
      <w:pPr>
        <w:ind w:right="-568"/>
        <w:jc w:val="both"/>
        <w:rPr>
          <w:rFonts w:ascii="Times New Roman" w:hAnsi="Times New Roman" w:cs="Times New Roman"/>
          <w:sz w:val="28"/>
          <w:szCs w:val="28"/>
        </w:rPr>
      </w:pPr>
    </w:p>
    <w:p w:rsidR="00DB6EEE" w:rsidRPr="00DB6EEE" w:rsidRDefault="00DB6EEE" w:rsidP="00E95C6F">
      <w:pPr>
        <w:ind w:right="-568"/>
        <w:jc w:val="both"/>
        <w:rPr>
          <w:rFonts w:ascii="Times New Roman" w:hAnsi="Times New Roman" w:cs="Times New Roman"/>
          <w:b/>
          <w:sz w:val="28"/>
          <w:szCs w:val="28"/>
          <w:lang w:val="en-US"/>
        </w:rPr>
      </w:pPr>
      <w:r w:rsidRPr="00DB6EEE">
        <w:rPr>
          <w:rFonts w:ascii="Times New Roman" w:hAnsi="Times New Roman" w:cs="Times New Roman"/>
          <w:b/>
          <w:sz w:val="28"/>
          <w:szCs w:val="28"/>
          <w:lang w:val="en-US"/>
        </w:rPr>
        <w:t>ABSTRACT</w:t>
      </w:r>
    </w:p>
    <w:p w:rsidR="00905EE0" w:rsidRPr="00905EE0" w:rsidRDefault="00905EE0" w:rsidP="00905EE0">
      <w:pPr>
        <w:pStyle w:val="HTMLPreformatted"/>
        <w:shd w:val="clear" w:color="auto" w:fill="FFFFFF"/>
        <w:spacing w:line="360" w:lineRule="auto"/>
        <w:ind w:right="-568"/>
        <w:jc w:val="both"/>
        <w:rPr>
          <w:rFonts w:ascii="Times New Roman" w:hAnsi="Times New Roman" w:cs="Times New Roman"/>
          <w:color w:val="212121"/>
          <w:sz w:val="24"/>
          <w:szCs w:val="24"/>
          <w:lang w:val="en-US"/>
        </w:rPr>
      </w:pPr>
      <w:r w:rsidRPr="00905EE0">
        <w:rPr>
          <w:rFonts w:ascii="Times New Roman" w:hAnsi="Times New Roman" w:cs="Times New Roman"/>
          <w:color w:val="212121"/>
          <w:sz w:val="24"/>
          <w:szCs w:val="24"/>
          <w:lang w:val="en"/>
        </w:rPr>
        <w:t xml:space="preserve">Brazilian accounting is once again undergoing another significant change due to changes in international accounting standards due to the constant process of internationalization and harmonization of Brazilian standards with international standards to make them more homogeneous. Thus, as of January 1, 2019, IFRS 16 - Leasing Operations will enter into force. The new standard will bring changes in the recognition of the assets and liabilities of the </w:t>
      </w:r>
      <w:proofErr w:type="gramStart"/>
      <w:r w:rsidRPr="00905EE0">
        <w:rPr>
          <w:rFonts w:ascii="Times New Roman" w:hAnsi="Times New Roman" w:cs="Times New Roman"/>
          <w:color w:val="212121"/>
          <w:sz w:val="24"/>
          <w:szCs w:val="24"/>
          <w:lang w:val="en"/>
        </w:rPr>
        <w:t>lessees,</w:t>
      </w:r>
      <w:proofErr w:type="gramEnd"/>
      <w:r w:rsidRPr="00905EE0">
        <w:rPr>
          <w:rFonts w:ascii="Times New Roman" w:hAnsi="Times New Roman" w:cs="Times New Roman"/>
          <w:color w:val="212121"/>
          <w:sz w:val="24"/>
          <w:szCs w:val="24"/>
          <w:lang w:val="en"/>
        </w:rPr>
        <w:t xml:space="preserve"> influence the results of the companies and internal processes, and the financial statements will </w:t>
      </w:r>
      <w:r w:rsidRPr="00905EE0">
        <w:rPr>
          <w:rFonts w:ascii="Times New Roman" w:hAnsi="Times New Roman" w:cs="Times New Roman"/>
          <w:color w:val="212121"/>
          <w:sz w:val="24"/>
          <w:szCs w:val="24"/>
          <w:lang w:val="en"/>
        </w:rPr>
        <w:lastRenderedPageBreak/>
        <w:t xml:space="preserve">be more transparent, since all leases will be recognized in the balance sheet. As a result, there will also be an impact on the result, since larger financial expenses </w:t>
      </w:r>
      <w:proofErr w:type="gramStart"/>
      <w:r w:rsidRPr="00905EE0">
        <w:rPr>
          <w:rFonts w:ascii="Times New Roman" w:hAnsi="Times New Roman" w:cs="Times New Roman"/>
          <w:color w:val="212121"/>
          <w:sz w:val="24"/>
          <w:szCs w:val="24"/>
          <w:lang w:val="en"/>
        </w:rPr>
        <w:t>will be recorded</w:t>
      </w:r>
      <w:proofErr w:type="gramEnd"/>
      <w:r w:rsidRPr="00905EE0">
        <w:rPr>
          <w:rFonts w:ascii="Times New Roman" w:hAnsi="Times New Roman" w:cs="Times New Roman"/>
          <w:color w:val="212121"/>
          <w:sz w:val="24"/>
          <w:szCs w:val="24"/>
          <w:lang w:val="en"/>
        </w:rPr>
        <w:t xml:space="preserve">. However, there are some exceptions, such as service contracts resulting from lease agreements, and it is not mandatory to record them in the balance sheet, even though services are often combined in the same contract; </w:t>
      </w:r>
      <w:proofErr w:type="gramStart"/>
      <w:r w:rsidRPr="00905EE0">
        <w:rPr>
          <w:rFonts w:ascii="Times New Roman" w:hAnsi="Times New Roman" w:cs="Times New Roman"/>
          <w:color w:val="212121"/>
          <w:sz w:val="24"/>
          <w:szCs w:val="24"/>
          <w:lang w:val="en"/>
        </w:rPr>
        <w:t>and also,</w:t>
      </w:r>
      <w:proofErr w:type="gramEnd"/>
      <w:r w:rsidRPr="00905EE0">
        <w:rPr>
          <w:rFonts w:ascii="Times New Roman" w:hAnsi="Times New Roman" w:cs="Times New Roman"/>
          <w:color w:val="212121"/>
          <w:sz w:val="24"/>
          <w:szCs w:val="24"/>
          <w:lang w:val="en"/>
        </w:rPr>
        <w:t xml:space="preserve"> the standard does not require the recognition of short-term leases</w:t>
      </w:r>
      <w:r>
        <w:rPr>
          <w:rFonts w:ascii="Times New Roman" w:hAnsi="Times New Roman" w:cs="Times New Roman"/>
          <w:color w:val="212121"/>
          <w:sz w:val="24"/>
          <w:szCs w:val="24"/>
          <w:lang w:val="en"/>
        </w:rPr>
        <w:t xml:space="preserve"> and low-value assets. However</w:t>
      </w:r>
      <w:r w:rsidRPr="00905EE0">
        <w:rPr>
          <w:rFonts w:ascii="Times New Roman" w:hAnsi="Times New Roman" w:cs="Times New Roman"/>
          <w:color w:val="212121"/>
          <w:sz w:val="24"/>
          <w:szCs w:val="24"/>
          <w:lang w:val="en"/>
        </w:rPr>
        <w:t>, this article aims to identify, analyze and present the main changes resulting from the new accounting standard issued in January 2016 and replacing IAS 17.</w:t>
      </w:r>
    </w:p>
    <w:p w:rsidR="00CA22F1" w:rsidRPr="00CA22F1" w:rsidRDefault="00CA22F1" w:rsidP="00CA22F1">
      <w:pPr>
        <w:pStyle w:val="HTMLPreformatted"/>
        <w:shd w:val="clear" w:color="auto" w:fill="FFFFFF"/>
        <w:spacing w:line="360" w:lineRule="auto"/>
        <w:jc w:val="both"/>
        <w:rPr>
          <w:rFonts w:ascii="Times New Roman" w:hAnsi="Times New Roman" w:cs="Times New Roman"/>
          <w:color w:val="212121"/>
          <w:sz w:val="24"/>
          <w:szCs w:val="24"/>
          <w:lang w:val="en-US"/>
        </w:rPr>
      </w:pPr>
      <w:r w:rsidRPr="00CA22F1">
        <w:rPr>
          <w:rFonts w:ascii="Times New Roman" w:hAnsi="Times New Roman" w:cs="Times New Roman"/>
          <w:b/>
          <w:color w:val="212121"/>
          <w:sz w:val="24"/>
          <w:szCs w:val="24"/>
          <w:lang w:val="en"/>
        </w:rPr>
        <w:t>Keywords:</w:t>
      </w:r>
      <w:r w:rsidRPr="00CA22F1">
        <w:rPr>
          <w:rFonts w:ascii="Times New Roman" w:hAnsi="Times New Roman" w:cs="Times New Roman"/>
          <w:color w:val="212121"/>
          <w:sz w:val="24"/>
          <w:szCs w:val="24"/>
          <w:lang w:val="en"/>
        </w:rPr>
        <w:t xml:space="preserve"> IFRS 16; lease; new standard.</w:t>
      </w:r>
    </w:p>
    <w:p w:rsidR="00DB6EEE" w:rsidRPr="00DB6EEE" w:rsidRDefault="00DB6EEE" w:rsidP="00E95C6F">
      <w:pPr>
        <w:ind w:right="-568"/>
        <w:jc w:val="both"/>
        <w:rPr>
          <w:rFonts w:ascii="Times New Roman" w:hAnsi="Times New Roman" w:cs="Times New Roman"/>
          <w:sz w:val="28"/>
          <w:szCs w:val="28"/>
          <w:lang w:val="en-US"/>
        </w:rPr>
      </w:pPr>
    </w:p>
    <w:p w:rsidR="00DB6EEE" w:rsidRPr="00DB6EEE" w:rsidRDefault="00DB6EEE" w:rsidP="00E95C6F">
      <w:pPr>
        <w:ind w:right="-568"/>
        <w:jc w:val="both"/>
        <w:rPr>
          <w:rFonts w:ascii="Times New Roman" w:hAnsi="Times New Roman" w:cs="Times New Roman"/>
          <w:sz w:val="28"/>
          <w:szCs w:val="28"/>
          <w:lang w:val="en-US"/>
        </w:rPr>
      </w:pPr>
    </w:p>
    <w:p w:rsidR="0083341D" w:rsidRPr="00F36E62" w:rsidRDefault="0083341D" w:rsidP="00E95C6F">
      <w:pPr>
        <w:ind w:right="-568"/>
        <w:jc w:val="both"/>
        <w:rPr>
          <w:rFonts w:ascii="Times New Roman" w:hAnsi="Times New Roman" w:cs="Times New Roman"/>
          <w:b/>
          <w:sz w:val="28"/>
          <w:szCs w:val="28"/>
        </w:rPr>
      </w:pPr>
      <w:r w:rsidRPr="00F36E62">
        <w:rPr>
          <w:rFonts w:ascii="Times New Roman" w:hAnsi="Times New Roman" w:cs="Times New Roman"/>
          <w:b/>
          <w:sz w:val="28"/>
          <w:szCs w:val="28"/>
        </w:rPr>
        <w:t>1 INTRODUÇÃO</w:t>
      </w:r>
    </w:p>
    <w:p w:rsidR="00AC4C6C" w:rsidRPr="00F36E62" w:rsidRDefault="00A12D5A" w:rsidP="00E95C6F">
      <w:pPr>
        <w:spacing w:line="360" w:lineRule="auto"/>
        <w:ind w:right="-568"/>
        <w:jc w:val="both"/>
        <w:rPr>
          <w:rFonts w:ascii="Times New Roman" w:hAnsi="Times New Roman" w:cs="Times New Roman"/>
          <w:sz w:val="24"/>
          <w:szCs w:val="24"/>
        </w:rPr>
      </w:pPr>
      <w:r w:rsidRPr="00F36E62">
        <w:rPr>
          <w:rFonts w:ascii="Times New Roman" w:hAnsi="Times New Roman" w:cs="Times New Roman"/>
        </w:rPr>
        <w:tab/>
      </w:r>
      <w:r w:rsidRPr="00F36E62">
        <w:rPr>
          <w:rFonts w:ascii="Times New Roman" w:hAnsi="Times New Roman" w:cs="Times New Roman"/>
          <w:sz w:val="24"/>
          <w:szCs w:val="24"/>
        </w:rPr>
        <w:t xml:space="preserve">Em 1º de janeiro de 2019, </w:t>
      </w:r>
      <w:r w:rsidR="006E2B8B" w:rsidRPr="00F36E62">
        <w:rPr>
          <w:rFonts w:ascii="Times New Roman" w:hAnsi="Times New Roman" w:cs="Times New Roman"/>
          <w:sz w:val="24"/>
          <w:szCs w:val="24"/>
        </w:rPr>
        <w:t>entrará em vigor a</w:t>
      </w:r>
      <w:r w:rsidR="00114851" w:rsidRPr="00F36E62">
        <w:rPr>
          <w:rFonts w:ascii="Times New Roman" w:hAnsi="Times New Roman" w:cs="Times New Roman"/>
          <w:sz w:val="24"/>
          <w:szCs w:val="24"/>
        </w:rPr>
        <w:t xml:space="preserve"> IFRS 16, </w:t>
      </w:r>
      <w:r w:rsidRPr="00F36E62">
        <w:rPr>
          <w:rFonts w:ascii="Times New Roman" w:hAnsi="Times New Roman" w:cs="Times New Roman"/>
          <w:sz w:val="24"/>
          <w:szCs w:val="24"/>
        </w:rPr>
        <w:t xml:space="preserve">norma emitida pelo </w:t>
      </w:r>
      <w:r w:rsidRPr="00F36E62">
        <w:rPr>
          <w:rFonts w:ascii="Times New Roman" w:hAnsi="Times New Roman" w:cs="Times New Roman"/>
          <w:i/>
          <w:sz w:val="24"/>
          <w:szCs w:val="24"/>
        </w:rPr>
        <w:t>International Accounting Standards Boarding</w:t>
      </w:r>
      <w:r w:rsidRPr="00F36E62">
        <w:rPr>
          <w:rFonts w:ascii="Times New Roman" w:hAnsi="Times New Roman" w:cs="Times New Roman"/>
          <w:sz w:val="24"/>
          <w:szCs w:val="24"/>
        </w:rPr>
        <w:t xml:space="preserve"> (IASB)</w:t>
      </w:r>
      <w:r w:rsidR="00114851" w:rsidRPr="00F36E62">
        <w:rPr>
          <w:rFonts w:ascii="Times New Roman" w:hAnsi="Times New Roman" w:cs="Times New Roman"/>
          <w:sz w:val="24"/>
          <w:szCs w:val="24"/>
        </w:rPr>
        <w:t xml:space="preserve"> para substituir a IAS 17</w:t>
      </w:r>
      <w:r w:rsidRPr="00F36E62">
        <w:rPr>
          <w:rFonts w:ascii="Times New Roman" w:hAnsi="Times New Roman" w:cs="Times New Roman"/>
          <w:sz w:val="24"/>
          <w:szCs w:val="24"/>
        </w:rPr>
        <w:t xml:space="preserve">. </w:t>
      </w:r>
      <w:r w:rsidR="00E95C6F" w:rsidRPr="00F36E62">
        <w:rPr>
          <w:rFonts w:ascii="Times New Roman" w:hAnsi="Times New Roman" w:cs="Times New Roman"/>
          <w:sz w:val="24"/>
          <w:szCs w:val="24"/>
        </w:rPr>
        <w:t>Divulgada no início de 2016 (janeiro), a norma trata sobre a contabilização de leasing operacional e permitiu um tempo hábil para que as empresas que possuem operações de arrendamento se adaptassem e pudessem obter um entendimento sobr</w:t>
      </w:r>
      <w:r w:rsidR="00F43F52" w:rsidRPr="00F36E62">
        <w:rPr>
          <w:rFonts w:ascii="Times New Roman" w:hAnsi="Times New Roman" w:cs="Times New Roman"/>
          <w:sz w:val="24"/>
          <w:szCs w:val="24"/>
        </w:rPr>
        <w:t xml:space="preserve">e o assunto. </w:t>
      </w:r>
    </w:p>
    <w:p w:rsidR="00A12D5A" w:rsidRPr="00F36E62" w:rsidRDefault="00AC4C6C" w:rsidP="00E95C6F">
      <w:pPr>
        <w:spacing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r>
      <w:r w:rsidR="00F43F52" w:rsidRPr="00F36E62">
        <w:rPr>
          <w:rFonts w:ascii="Times New Roman" w:hAnsi="Times New Roman" w:cs="Times New Roman"/>
          <w:sz w:val="24"/>
          <w:szCs w:val="24"/>
        </w:rPr>
        <w:t xml:space="preserve">A nova norma vai requerer que as operações de arrendamento sejam reconhecidas nos </w:t>
      </w:r>
      <w:r w:rsidR="006C1BCC" w:rsidRPr="00F36E62">
        <w:rPr>
          <w:rFonts w:ascii="Times New Roman" w:hAnsi="Times New Roman" w:cs="Times New Roman"/>
          <w:sz w:val="24"/>
          <w:szCs w:val="24"/>
        </w:rPr>
        <w:t>ativos e passivos, no caso dos arrendatários</w:t>
      </w:r>
      <w:r w:rsidR="00637F39" w:rsidRPr="00F36E62">
        <w:rPr>
          <w:rFonts w:ascii="Times New Roman" w:hAnsi="Times New Roman" w:cs="Times New Roman"/>
          <w:sz w:val="24"/>
          <w:szCs w:val="24"/>
        </w:rPr>
        <w:t>, registrando um ativo para direito de uso e um passivo para pagamentos futuros</w:t>
      </w:r>
      <w:r w:rsidR="00F43F52" w:rsidRPr="00F36E62">
        <w:rPr>
          <w:rFonts w:ascii="Times New Roman" w:hAnsi="Times New Roman" w:cs="Times New Roman"/>
          <w:sz w:val="24"/>
          <w:szCs w:val="24"/>
        </w:rPr>
        <w:t xml:space="preserve">. </w:t>
      </w:r>
      <w:r w:rsidRPr="00F36E62">
        <w:rPr>
          <w:rFonts w:ascii="Times New Roman" w:hAnsi="Times New Roman" w:cs="Times New Roman"/>
          <w:sz w:val="24"/>
          <w:szCs w:val="24"/>
        </w:rPr>
        <w:t>Contabilmente, e</w:t>
      </w:r>
      <w:r w:rsidR="00F43F52" w:rsidRPr="00F36E62">
        <w:rPr>
          <w:rFonts w:ascii="Times New Roman" w:hAnsi="Times New Roman" w:cs="Times New Roman"/>
          <w:sz w:val="24"/>
          <w:szCs w:val="24"/>
        </w:rPr>
        <w:t>ssa será a principal mudança, visto que, atualmente,</w:t>
      </w:r>
      <w:r w:rsidRPr="00F36E62">
        <w:rPr>
          <w:rFonts w:ascii="Times New Roman" w:hAnsi="Times New Roman" w:cs="Times New Roman"/>
          <w:sz w:val="24"/>
          <w:szCs w:val="24"/>
        </w:rPr>
        <w:t xml:space="preserve"> </w:t>
      </w:r>
      <w:r w:rsidR="00F43F52" w:rsidRPr="00F36E62">
        <w:rPr>
          <w:rFonts w:ascii="Times New Roman" w:hAnsi="Times New Roman" w:cs="Times New Roman"/>
          <w:sz w:val="24"/>
          <w:szCs w:val="24"/>
        </w:rPr>
        <w:t>as operações de arrendamento e leasing são</w:t>
      </w:r>
      <w:r w:rsidR="00AD1688" w:rsidRPr="00F36E62">
        <w:rPr>
          <w:rFonts w:ascii="Times New Roman" w:hAnsi="Times New Roman" w:cs="Times New Roman"/>
          <w:sz w:val="24"/>
          <w:szCs w:val="24"/>
        </w:rPr>
        <w:t xml:space="preserve"> divulgadas e mencionadas</w:t>
      </w:r>
      <w:r w:rsidR="00F43F52" w:rsidRPr="00F36E62">
        <w:rPr>
          <w:rFonts w:ascii="Times New Roman" w:hAnsi="Times New Roman" w:cs="Times New Roman"/>
          <w:sz w:val="24"/>
          <w:szCs w:val="24"/>
        </w:rPr>
        <w:t xml:space="preserve"> </w:t>
      </w:r>
      <w:r w:rsidR="00AD1688" w:rsidRPr="00F36E62">
        <w:rPr>
          <w:rFonts w:ascii="Times New Roman" w:hAnsi="Times New Roman" w:cs="Times New Roman"/>
          <w:sz w:val="24"/>
          <w:szCs w:val="24"/>
        </w:rPr>
        <w:t xml:space="preserve">apenas em </w:t>
      </w:r>
      <w:r w:rsidR="00F43F52" w:rsidRPr="00F36E62">
        <w:rPr>
          <w:rFonts w:ascii="Times New Roman" w:hAnsi="Times New Roman" w:cs="Times New Roman"/>
          <w:sz w:val="24"/>
          <w:szCs w:val="24"/>
        </w:rPr>
        <w:t>notas explicativas.</w:t>
      </w:r>
      <w:r w:rsidRPr="00F36E62">
        <w:rPr>
          <w:rFonts w:ascii="Times New Roman" w:hAnsi="Times New Roman" w:cs="Times New Roman"/>
          <w:sz w:val="24"/>
          <w:szCs w:val="24"/>
        </w:rPr>
        <w:t xml:space="preserve"> </w:t>
      </w:r>
    </w:p>
    <w:p w:rsidR="002A4D90" w:rsidRPr="00F36E62" w:rsidRDefault="007E0C72" w:rsidP="00A70639">
      <w:pPr>
        <w:spacing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t xml:space="preserve">Fora do aspecto contábil, a mudança tornará a informação contábil mais transparente </w:t>
      </w:r>
      <w:r w:rsidR="006D7589" w:rsidRPr="00F36E62">
        <w:rPr>
          <w:rFonts w:ascii="Times New Roman" w:hAnsi="Times New Roman" w:cs="Times New Roman"/>
          <w:sz w:val="24"/>
          <w:szCs w:val="24"/>
        </w:rPr>
        <w:t>para os usuários das demonstrações financeiras, de forma que possibilitará uma visão mais fidedigna sobre as operações de arrendamento.</w:t>
      </w:r>
      <w:r w:rsidR="00216001" w:rsidRPr="00F36E62">
        <w:rPr>
          <w:rFonts w:ascii="Times New Roman" w:hAnsi="Times New Roman" w:cs="Times New Roman"/>
          <w:sz w:val="24"/>
          <w:szCs w:val="24"/>
        </w:rPr>
        <w:t xml:space="preserve"> Além disso, haverá mudanças em relação à contabilização dos arrendamentos a longo prazo ou enquanto o contrato de leasing estiver vigente. Como consequência disso, haverá um impacto nas despesas financeiras calculadas sobre o passivo, visto que as companhias </w:t>
      </w:r>
      <w:r w:rsidR="00A86118" w:rsidRPr="00F36E62">
        <w:rPr>
          <w:rFonts w:ascii="Times New Roman" w:hAnsi="Times New Roman" w:cs="Times New Roman"/>
          <w:sz w:val="24"/>
          <w:szCs w:val="24"/>
        </w:rPr>
        <w:t xml:space="preserve">registrarão despesas maiores. </w:t>
      </w:r>
      <w:r w:rsidR="00700DB5" w:rsidRPr="00F36E62">
        <w:rPr>
          <w:rFonts w:ascii="Times New Roman" w:hAnsi="Times New Roman" w:cs="Times New Roman"/>
          <w:sz w:val="24"/>
          <w:szCs w:val="24"/>
        </w:rPr>
        <w:t xml:space="preserve">Outro fator importante, é que as companhias precisarão coletar dados relevantes e significativos em relação a seus </w:t>
      </w:r>
      <w:r w:rsidR="00700DB5" w:rsidRPr="00F36E62">
        <w:rPr>
          <w:rFonts w:ascii="Times New Roman" w:hAnsi="Times New Roman" w:cs="Times New Roman"/>
          <w:sz w:val="24"/>
          <w:szCs w:val="24"/>
        </w:rPr>
        <w:lastRenderedPageBreak/>
        <w:t xml:space="preserve">arrendamentos para que possam realizar novos cálculos e estimativas, mensurar essas operações </w:t>
      </w:r>
      <w:r w:rsidR="00560641" w:rsidRPr="00F36E62">
        <w:rPr>
          <w:rFonts w:ascii="Times New Roman" w:hAnsi="Times New Roman" w:cs="Times New Roman"/>
          <w:sz w:val="24"/>
          <w:szCs w:val="24"/>
        </w:rPr>
        <w:t>de forma mais confiável e asse</w:t>
      </w:r>
      <w:r w:rsidR="00700DB5" w:rsidRPr="00F36E62">
        <w:rPr>
          <w:rFonts w:ascii="Times New Roman" w:hAnsi="Times New Roman" w:cs="Times New Roman"/>
          <w:sz w:val="24"/>
          <w:szCs w:val="24"/>
        </w:rPr>
        <w:t>rtiva.</w:t>
      </w:r>
    </w:p>
    <w:p w:rsidR="00010B33" w:rsidRPr="00F36E62" w:rsidRDefault="00592ABA" w:rsidP="00A70639">
      <w:pPr>
        <w:spacing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r>
      <w:r w:rsidR="00010B33" w:rsidRPr="00F36E62">
        <w:rPr>
          <w:rFonts w:ascii="Times New Roman" w:hAnsi="Times New Roman" w:cs="Times New Roman"/>
          <w:sz w:val="24"/>
          <w:szCs w:val="24"/>
        </w:rPr>
        <w:t>A nova norma tende a afetar outros ramos de atividades do setor aéreo, até os varejistas, os quais arrendam lojas, ou seja, quanto mais arrendamentos uma companhia tiver, maior será o impacto (KPMG, 2016).</w:t>
      </w:r>
    </w:p>
    <w:p w:rsidR="00A70639" w:rsidRPr="00F36E62" w:rsidRDefault="00A70639" w:rsidP="00A70639">
      <w:pPr>
        <w:spacing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t>Devido ainda ser um assunto recente e que ainda não entrou em vigor, o objetivo deste artigo é divulgar e apresentar as mudanças qu</w:t>
      </w:r>
      <w:r w:rsidR="00592ABA" w:rsidRPr="00F36E62">
        <w:rPr>
          <w:rFonts w:ascii="Times New Roman" w:hAnsi="Times New Roman" w:cs="Times New Roman"/>
          <w:sz w:val="24"/>
          <w:szCs w:val="24"/>
        </w:rPr>
        <w:t>e virão com a adoção da IFRS 16, em substituição à IAS 17.</w:t>
      </w:r>
    </w:p>
    <w:p w:rsidR="004E0351" w:rsidRPr="00F36E62" w:rsidRDefault="004E0351" w:rsidP="00E95C6F">
      <w:pPr>
        <w:ind w:right="-568"/>
        <w:jc w:val="both"/>
        <w:rPr>
          <w:rFonts w:ascii="Times New Roman" w:hAnsi="Times New Roman" w:cs="Times New Roman"/>
        </w:rPr>
      </w:pPr>
    </w:p>
    <w:p w:rsidR="0083341D" w:rsidRPr="00F36E62" w:rsidRDefault="0083341D" w:rsidP="00E95C6F">
      <w:pPr>
        <w:ind w:right="-568"/>
        <w:jc w:val="both"/>
        <w:rPr>
          <w:rFonts w:ascii="Times New Roman" w:hAnsi="Times New Roman" w:cs="Times New Roman"/>
          <w:b/>
          <w:sz w:val="28"/>
          <w:szCs w:val="28"/>
        </w:rPr>
      </w:pPr>
      <w:r w:rsidRPr="00F36E62">
        <w:rPr>
          <w:rFonts w:ascii="Times New Roman" w:hAnsi="Times New Roman" w:cs="Times New Roman"/>
          <w:b/>
          <w:sz w:val="28"/>
          <w:szCs w:val="28"/>
        </w:rPr>
        <w:t>2 REFERENCIAL TEÓRICO</w:t>
      </w:r>
    </w:p>
    <w:p w:rsidR="0083341D" w:rsidRPr="00F36E62" w:rsidRDefault="00FC4B17" w:rsidP="00FC4B17">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t>O referencial teórico desse trabalho consistirá em fundamentar e apresentar o referente objeto de estudo, contendo o desenvolvimento do problema, bem como suas abordagens e especificações referente ao tema abordado.</w:t>
      </w:r>
    </w:p>
    <w:p w:rsidR="00FC4B17" w:rsidRDefault="00FC4B17" w:rsidP="00FC4B17">
      <w:pPr>
        <w:autoSpaceDE w:val="0"/>
        <w:autoSpaceDN w:val="0"/>
        <w:adjustRightInd w:val="0"/>
        <w:spacing w:after="0" w:line="240" w:lineRule="auto"/>
        <w:ind w:right="-568"/>
        <w:jc w:val="both"/>
        <w:rPr>
          <w:rFonts w:ascii="Times New Roman" w:hAnsi="Times New Roman" w:cs="Times New Roman"/>
          <w:sz w:val="24"/>
          <w:szCs w:val="24"/>
        </w:rPr>
      </w:pPr>
    </w:p>
    <w:p w:rsidR="00FC6140" w:rsidRPr="00F36E62" w:rsidRDefault="00FC6140" w:rsidP="00FC4B17">
      <w:pPr>
        <w:autoSpaceDE w:val="0"/>
        <w:autoSpaceDN w:val="0"/>
        <w:adjustRightInd w:val="0"/>
        <w:spacing w:after="0" w:line="240" w:lineRule="auto"/>
        <w:ind w:right="-568"/>
        <w:jc w:val="both"/>
        <w:rPr>
          <w:rFonts w:ascii="Times New Roman" w:hAnsi="Times New Roman" w:cs="Times New Roman"/>
          <w:sz w:val="24"/>
          <w:szCs w:val="24"/>
        </w:rPr>
      </w:pPr>
    </w:p>
    <w:p w:rsidR="00E421CA" w:rsidRPr="00F36E62" w:rsidRDefault="00E421CA" w:rsidP="00FC4B17">
      <w:pPr>
        <w:autoSpaceDE w:val="0"/>
        <w:autoSpaceDN w:val="0"/>
        <w:adjustRightInd w:val="0"/>
        <w:spacing w:after="0" w:line="240" w:lineRule="auto"/>
        <w:ind w:right="-568"/>
        <w:jc w:val="both"/>
        <w:rPr>
          <w:rFonts w:ascii="Times New Roman" w:hAnsi="Times New Roman" w:cs="Times New Roman"/>
          <w:b/>
          <w:sz w:val="24"/>
          <w:szCs w:val="24"/>
        </w:rPr>
      </w:pPr>
      <w:r w:rsidRPr="00F36E62">
        <w:rPr>
          <w:rFonts w:ascii="Times New Roman" w:hAnsi="Times New Roman" w:cs="Times New Roman"/>
          <w:b/>
          <w:sz w:val="24"/>
          <w:szCs w:val="24"/>
        </w:rPr>
        <w:t>2.1 Objetivos da IFRS 16</w:t>
      </w:r>
    </w:p>
    <w:p w:rsidR="00E421CA" w:rsidRPr="00F36E62" w:rsidRDefault="00E421CA" w:rsidP="00FC4B17">
      <w:pPr>
        <w:autoSpaceDE w:val="0"/>
        <w:autoSpaceDN w:val="0"/>
        <w:adjustRightInd w:val="0"/>
        <w:spacing w:after="0" w:line="240" w:lineRule="auto"/>
        <w:ind w:right="-568"/>
        <w:jc w:val="both"/>
        <w:rPr>
          <w:rFonts w:ascii="Times New Roman" w:hAnsi="Times New Roman" w:cs="Times New Roman"/>
          <w:sz w:val="24"/>
          <w:szCs w:val="24"/>
        </w:rPr>
      </w:pPr>
    </w:p>
    <w:p w:rsidR="00E421CA" w:rsidRPr="00F36E62" w:rsidRDefault="00E421CA" w:rsidP="00E421CA">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t>Quando foi emitida, a IFRS 16 estabeleceu como objetivo:</w:t>
      </w:r>
    </w:p>
    <w:p w:rsidR="00E421CA" w:rsidRPr="00F36E62" w:rsidRDefault="00E421CA" w:rsidP="00E421CA">
      <w:pPr>
        <w:autoSpaceDE w:val="0"/>
        <w:autoSpaceDN w:val="0"/>
        <w:adjustRightInd w:val="0"/>
        <w:spacing w:after="0" w:line="240" w:lineRule="auto"/>
        <w:ind w:left="2268" w:right="-568"/>
        <w:jc w:val="both"/>
        <w:rPr>
          <w:rFonts w:ascii="Times New Roman" w:hAnsi="Times New Roman" w:cs="Times New Roman"/>
          <w:sz w:val="20"/>
          <w:szCs w:val="20"/>
        </w:rPr>
      </w:pPr>
      <w:r w:rsidRPr="00F36E62">
        <w:rPr>
          <w:rFonts w:ascii="Times New Roman" w:hAnsi="Times New Roman" w:cs="Times New Roman"/>
          <w:sz w:val="20"/>
          <w:szCs w:val="20"/>
        </w:rPr>
        <w:t>Relatar informações que (a) representem fielmente as operações de arrendamento mercantil e (b) forneça uma base para que os usuários das demonstrações contábeis avaliem o valor, o prazo e a incerteza dos fluxos de caixa decorrentes de arrendamentos. Para atender a esse objetivo, um locatário deve reconhecer ativos e passivos decorrentes de um arrendamento. (IFRS</w:t>
      </w:r>
      <w:r w:rsidR="00E450EF" w:rsidRPr="00F36E62">
        <w:rPr>
          <w:rFonts w:ascii="Times New Roman" w:hAnsi="Times New Roman" w:cs="Times New Roman"/>
          <w:sz w:val="20"/>
          <w:szCs w:val="20"/>
        </w:rPr>
        <w:t xml:space="preserve"> 16</w:t>
      </w:r>
      <w:r w:rsidRPr="00F36E62">
        <w:rPr>
          <w:rFonts w:ascii="Times New Roman" w:hAnsi="Times New Roman" w:cs="Times New Roman"/>
          <w:sz w:val="20"/>
          <w:szCs w:val="20"/>
        </w:rPr>
        <w:t>, 2017).</w:t>
      </w:r>
    </w:p>
    <w:p w:rsidR="00E421CA" w:rsidRPr="00F36E62" w:rsidRDefault="00E421CA" w:rsidP="00F628D1">
      <w:pPr>
        <w:autoSpaceDE w:val="0"/>
        <w:autoSpaceDN w:val="0"/>
        <w:adjustRightInd w:val="0"/>
        <w:spacing w:after="0" w:line="360" w:lineRule="auto"/>
        <w:ind w:right="-568"/>
        <w:jc w:val="both"/>
        <w:rPr>
          <w:rFonts w:ascii="Times New Roman" w:hAnsi="Times New Roman" w:cs="Times New Roman"/>
          <w:sz w:val="24"/>
          <w:szCs w:val="24"/>
        </w:rPr>
      </w:pPr>
    </w:p>
    <w:p w:rsidR="00F628D1" w:rsidRPr="00F36E62" w:rsidRDefault="00F628D1" w:rsidP="00F628D1">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t>Além disso, a norma traz um modelo con</w:t>
      </w:r>
      <w:r w:rsidR="00CC710F" w:rsidRPr="00F36E62">
        <w:rPr>
          <w:rFonts w:ascii="Times New Roman" w:hAnsi="Times New Roman" w:cs="Times New Roman"/>
          <w:sz w:val="24"/>
          <w:szCs w:val="24"/>
        </w:rPr>
        <w:t>tábil para os locatários e estabelece</w:t>
      </w:r>
      <w:r w:rsidRPr="00F36E62">
        <w:rPr>
          <w:rFonts w:ascii="Times New Roman" w:hAnsi="Times New Roman" w:cs="Times New Roman"/>
          <w:sz w:val="24"/>
          <w:szCs w:val="24"/>
        </w:rPr>
        <w:t xml:space="preserve"> que o arrendatário reconheça seus ativos e passivos de operações de arrendamento:</w:t>
      </w:r>
    </w:p>
    <w:p w:rsidR="00F628D1" w:rsidRPr="00F36E62" w:rsidRDefault="00F628D1" w:rsidP="00F628D1">
      <w:pPr>
        <w:autoSpaceDE w:val="0"/>
        <w:autoSpaceDN w:val="0"/>
        <w:adjustRightInd w:val="0"/>
        <w:spacing w:after="0" w:line="240" w:lineRule="auto"/>
        <w:ind w:left="2268" w:right="-568"/>
        <w:jc w:val="both"/>
        <w:rPr>
          <w:rFonts w:ascii="Times New Roman" w:hAnsi="Times New Roman" w:cs="Times New Roman"/>
          <w:sz w:val="20"/>
          <w:szCs w:val="20"/>
        </w:rPr>
      </w:pPr>
      <w:r w:rsidRPr="00F36E62">
        <w:rPr>
          <w:rFonts w:ascii="Times New Roman" w:hAnsi="Times New Roman" w:cs="Times New Roman"/>
          <w:sz w:val="20"/>
          <w:szCs w:val="20"/>
        </w:rPr>
        <w:t>A IFRS 16 introduz um modelo contábil de locatário único e exige que o arrendatário reconheça ativos e passivos para todos os arrendamentos com prazo de mais de 12 meses, a menos que o ativo subjacente seja de baixo valor. Um arrendatário é obrigado a reconhecer um ativo de direito de uso que representa seu direito de usar o ativo arrendado subjacente e um passivo de arrendamento que representa sua obrigação de fazer pagamentos de arrendamento.</w:t>
      </w:r>
      <w:r w:rsidR="00024478" w:rsidRPr="00F36E62">
        <w:rPr>
          <w:rFonts w:ascii="Times New Roman" w:hAnsi="Times New Roman" w:cs="Times New Roman"/>
          <w:sz w:val="20"/>
          <w:szCs w:val="20"/>
        </w:rPr>
        <w:t xml:space="preserve"> (IFRS</w:t>
      </w:r>
      <w:r w:rsidR="001A7322">
        <w:rPr>
          <w:rFonts w:ascii="Times New Roman" w:hAnsi="Times New Roman" w:cs="Times New Roman"/>
          <w:sz w:val="20"/>
          <w:szCs w:val="20"/>
        </w:rPr>
        <w:t xml:space="preserve"> 16</w:t>
      </w:r>
      <w:r w:rsidR="00024478" w:rsidRPr="00F36E62">
        <w:rPr>
          <w:rFonts w:ascii="Times New Roman" w:hAnsi="Times New Roman" w:cs="Times New Roman"/>
          <w:sz w:val="20"/>
          <w:szCs w:val="20"/>
        </w:rPr>
        <w:t>, 2017).</w:t>
      </w:r>
    </w:p>
    <w:p w:rsidR="00F628D1" w:rsidRPr="00F36E62" w:rsidRDefault="00F628D1" w:rsidP="00FC4B17">
      <w:pPr>
        <w:autoSpaceDE w:val="0"/>
        <w:autoSpaceDN w:val="0"/>
        <w:adjustRightInd w:val="0"/>
        <w:spacing w:after="0" w:line="240" w:lineRule="auto"/>
        <w:ind w:right="-568"/>
        <w:jc w:val="both"/>
        <w:rPr>
          <w:rFonts w:ascii="Times New Roman" w:hAnsi="Times New Roman" w:cs="Times New Roman"/>
          <w:sz w:val="24"/>
          <w:szCs w:val="24"/>
        </w:rPr>
      </w:pPr>
    </w:p>
    <w:p w:rsidR="00CC710F" w:rsidRPr="00F36E62" w:rsidRDefault="00957C39" w:rsidP="004E2D8E">
      <w:pPr>
        <w:autoSpaceDE w:val="0"/>
        <w:autoSpaceDN w:val="0"/>
        <w:adjustRightInd w:val="0"/>
        <w:spacing w:after="0" w:line="360" w:lineRule="auto"/>
        <w:ind w:right="-568"/>
        <w:jc w:val="both"/>
        <w:rPr>
          <w:rFonts w:ascii="Times New Roman" w:hAnsi="Times New Roman" w:cs="Times New Roman"/>
          <w:sz w:val="24"/>
          <w:szCs w:val="24"/>
        </w:rPr>
      </w:pPr>
      <w:r>
        <w:rPr>
          <w:rFonts w:ascii="Times New Roman" w:hAnsi="Times New Roman" w:cs="Times New Roman"/>
          <w:sz w:val="24"/>
          <w:szCs w:val="24"/>
        </w:rPr>
        <w:tab/>
        <w:t>Complementando a citação</w:t>
      </w:r>
      <w:r w:rsidR="00CC710F" w:rsidRPr="00F36E62">
        <w:rPr>
          <w:rFonts w:ascii="Times New Roman" w:hAnsi="Times New Roman" w:cs="Times New Roman"/>
          <w:sz w:val="24"/>
          <w:szCs w:val="24"/>
        </w:rPr>
        <w:t xml:space="preserve"> acima, o CPC 06 estabelece que ativo subjacente é o ativo que é o objeto de arrendamento, para o qual o direito de usar esse ativo foi fornecido pelo arrendador ao arrendatário. (CPC 06 – R2).</w:t>
      </w:r>
    </w:p>
    <w:p w:rsidR="00A23A91" w:rsidRDefault="004E2D8E" w:rsidP="00A23A91">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lastRenderedPageBreak/>
        <w:tab/>
        <w:t>Entrando em vigor em 2019 e com possibilidade de aplicação antecipada, a norma também traz alguns tratamentos para a transição da IAS 17 para a IFRS 16: “Arrendamentos financeiros existentes continuam a ser tratados como arrendamentos financeiros; e locações operacionais existentes tem a opção para correção retrospectiva completa ou limitada para refletir os requi</w:t>
      </w:r>
      <w:r w:rsidR="00EA0916">
        <w:rPr>
          <w:rFonts w:ascii="Times New Roman" w:hAnsi="Times New Roman" w:cs="Times New Roman"/>
          <w:sz w:val="24"/>
          <w:szCs w:val="24"/>
        </w:rPr>
        <w:t>sitos da norma</w:t>
      </w:r>
      <w:r w:rsidRPr="00F36E62">
        <w:rPr>
          <w:rFonts w:ascii="Times New Roman" w:hAnsi="Times New Roman" w:cs="Times New Roman"/>
          <w:sz w:val="24"/>
          <w:szCs w:val="24"/>
        </w:rPr>
        <w:t>.</w:t>
      </w:r>
    </w:p>
    <w:p w:rsidR="00957C39" w:rsidRDefault="00A23A91" w:rsidP="00A23A91">
      <w:pPr>
        <w:autoSpaceDE w:val="0"/>
        <w:autoSpaceDN w:val="0"/>
        <w:adjustRightInd w:val="0"/>
        <w:spacing w:after="0" w:line="360" w:lineRule="auto"/>
        <w:ind w:right="-568"/>
        <w:jc w:val="both"/>
        <w:rPr>
          <w:rFonts w:ascii="Times New Roman" w:hAnsi="Times New Roman" w:cs="Times New Roman"/>
          <w:sz w:val="24"/>
          <w:szCs w:val="24"/>
        </w:rPr>
      </w:pPr>
      <w:r>
        <w:rPr>
          <w:rFonts w:ascii="Times New Roman" w:hAnsi="Times New Roman" w:cs="Times New Roman"/>
          <w:sz w:val="24"/>
          <w:szCs w:val="24"/>
        </w:rPr>
        <w:tab/>
        <w:t>Além disso, a IFRS 16 anseia que o reconhecimento dos ativos e passivos de locação por um locatário melhore substancialmente as informações fornecidas aos usuários das demonstrações contábeis, esperando</w:t>
      </w:r>
      <w:r w:rsidR="00957C39">
        <w:rPr>
          <w:rFonts w:ascii="Times New Roman" w:hAnsi="Times New Roman" w:cs="Times New Roman"/>
          <w:sz w:val="24"/>
          <w:szCs w:val="24"/>
        </w:rPr>
        <w:t xml:space="preserve">: </w:t>
      </w:r>
    </w:p>
    <w:p w:rsidR="00957C39" w:rsidRPr="00A23A91" w:rsidRDefault="00957C39" w:rsidP="00A23A91">
      <w:pPr>
        <w:autoSpaceDE w:val="0"/>
        <w:autoSpaceDN w:val="0"/>
        <w:adjustRightInd w:val="0"/>
        <w:spacing w:after="0" w:line="240" w:lineRule="auto"/>
        <w:ind w:left="2268" w:right="-568"/>
        <w:jc w:val="both"/>
        <w:rPr>
          <w:rFonts w:ascii="Times New Roman" w:hAnsi="Times New Roman" w:cs="Times New Roman"/>
          <w:sz w:val="20"/>
          <w:szCs w:val="20"/>
        </w:rPr>
      </w:pPr>
      <w:r w:rsidRPr="00A23A91">
        <w:rPr>
          <w:rFonts w:ascii="Times New Roman" w:hAnsi="Times New Roman" w:cs="Times New Roman"/>
          <w:sz w:val="20"/>
          <w:szCs w:val="20"/>
        </w:rPr>
        <w:t>(a) Reduzir a necessidade para investidores e analistas fazerem ajustes nos valores informados por um locatário e para os locatários fornecerem informações “Non-GAAP” sobre locações; e,</w:t>
      </w:r>
    </w:p>
    <w:p w:rsidR="00957C39" w:rsidRPr="00A23A91" w:rsidRDefault="00957C39" w:rsidP="00A23A91">
      <w:pPr>
        <w:spacing w:after="0" w:line="240" w:lineRule="auto"/>
        <w:ind w:left="2268" w:right="-568"/>
        <w:jc w:val="both"/>
        <w:rPr>
          <w:rFonts w:ascii="Times New Roman" w:hAnsi="Times New Roman" w:cs="Times New Roman"/>
          <w:sz w:val="20"/>
          <w:szCs w:val="20"/>
        </w:rPr>
      </w:pPr>
      <w:r w:rsidRPr="00A23A91">
        <w:rPr>
          <w:rFonts w:ascii="Times New Roman" w:hAnsi="Times New Roman" w:cs="Times New Roman"/>
          <w:sz w:val="20"/>
          <w:szCs w:val="20"/>
        </w:rPr>
        <w:t xml:space="preserve">(b) </w:t>
      </w:r>
      <w:r w:rsidR="00A23A91">
        <w:rPr>
          <w:rFonts w:ascii="Times New Roman" w:hAnsi="Times New Roman" w:cs="Times New Roman"/>
          <w:sz w:val="20"/>
          <w:szCs w:val="20"/>
        </w:rPr>
        <w:t>M</w:t>
      </w:r>
      <w:r w:rsidRPr="00A23A91">
        <w:rPr>
          <w:rFonts w:ascii="Times New Roman" w:hAnsi="Times New Roman" w:cs="Times New Roman"/>
          <w:sz w:val="20"/>
          <w:szCs w:val="20"/>
        </w:rPr>
        <w:t>elhorar a comparabilidade entre empresas que alugam ativos e empresas que tomam empréstimos para comprar ativos; e,</w:t>
      </w:r>
    </w:p>
    <w:p w:rsidR="00957C39" w:rsidRPr="00A23A91" w:rsidRDefault="00957C39" w:rsidP="00A23A91">
      <w:pPr>
        <w:spacing w:after="0" w:line="240" w:lineRule="auto"/>
        <w:ind w:left="2268" w:right="-568"/>
        <w:jc w:val="both"/>
        <w:rPr>
          <w:rFonts w:ascii="Times New Roman" w:hAnsi="Times New Roman" w:cs="Times New Roman"/>
          <w:sz w:val="20"/>
          <w:szCs w:val="20"/>
        </w:rPr>
      </w:pPr>
      <w:r w:rsidRPr="00A23A91">
        <w:rPr>
          <w:rFonts w:ascii="Times New Roman" w:hAnsi="Times New Roman" w:cs="Times New Roman"/>
          <w:sz w:val="20"/>
          <w:szCs w:val="20"/>
        </w:rPr>
        <w:t>(c) criar condições mais equitativas no fornecimento de informações transparentes sobre locações para todos os participantes do mercado</w:t>
      </w:r>
      <w:r w:rsidR="00A23A91" w:rsidRPr="00A23A91">
        <w:rPr>
          <w:rFonts w:ascii="Times New Roman" w:hAnsi="Times New Roman" w:cs="Times New Roman"/>
          <w:sz w:val="20"/>
          <w:szCs w:val="20"/>
        </w:rPr>
        <w:t>.</w:t>
      </w:r>
      <w:r w:rsidR="00A23A91">
        <w:rPr>
          <w:rFonts w:ascii="Times New Roman" w:hAnsi="Times New Roman" w:cs="Times New Roman"/>
          <w:sz w:val="20"/>
          <w:szCs w:val="20"/>
        </w:rPr>
        <w:t xml:space="preserve"> (IFRS 16, 2016).</w:t>
      </w:r>
    </w:p>
    <w:p w:rsidR="004E2D8E" w:rsidRPr="00F36E62" w:rsidRDefault="004E2D8E" w:rsidP="00CC710F">
      <w:pPr>
        <w:autoSpaceDE w:val="0"/>
        <w:autoSpaceDN w:val="0"/>
        <w:adjustRightInd w:val="0"/>
        <w:spacing w:after="0" w:line="240" w:lineRule="auto"/>
        <w:ind w:right="-568"/>
        <w:jc w:val="both"/>
        <w:rPr>
          <w:rFonts w:ascii="Times New Roman" w:hAnsi="Times New Roman" w:cs="Times New Roman"/>
          <w:sz w:val="24"/>
          <w:szCs w:val="24"/>
        </w:rPr>
      </w:pPr>
    </w:p>
    <w:p w:rsidR="00CC710F" w:rsidRDefault="00CC710F" w:rsidP="00FC4B17">
      <w:pPr>
        <w:autoSpaceDE w:val="0"/>
        <w:autoSpaceDN w:val="0"/>
        <w:adjustRightInd w:val="0"/>
        <w:spacing w:after="0" w:line="240" w:lineRule="auto"/>
        <w:ind w:right="-568"/>
        <w:jc w:val="both"/>
        <w:rPr>
          <w:rFonts w:ascii="Times New Roman" w:hAnsi="Times New Roman" w:cs="Times New Roman"/>
          <w:sz w:val="24"/>
          <w:szCs w:val="24"/>
        </w:rPr>
      </w:pPr>
    </w:p>
    <w:p w:rsidR="00A23A91" w:rsidRDefault="00A23A91" w:rsidP="00FC6140">
      <w:pPr>
        <w:autoSpaceDE w:val="0"/>
        <w:autoSpaceDN w:val="0"/>
        <w:adjustRightInd w:val="0"/>
        <w:spacing w:after="0" w:line="360" w:lineRule="auto"/>
        <w:ind w:right="-568"/>
        <w:jc w:val="both"/>
        <w:rPr>
          <w:rFonts w:ascii="Times New Roman" w:hAnsi="Times New Roman" w:cs="Times New Roman"/>
          <w:sz w:val="24"/>
          <w:szCs w:val="24"/>
        </w:rPr>
      </w:pPr>
      <w:r>
        <w:rPr>
          <w:rFonts w:ascii="Times New Roman" w:hAnsi="Times New Roman" w:cs="Times New Roman"/>
          <w:sz w:val="24"/>
          <w:szCs w:val="24"/>
        </w:rPr>
        <w:tab/>
        <w:t>Com base nos objetivos da norma IFRS 16</w:t>
      </w:r>
      <w:r w:rsidRPr="00F36E62">
        <w:rPr>
          <w:rFonts w:ascii="Times New Roman" w:hAnsi="Times New Roman" w:cs="Times New Roman"/>
          <w:sz w:val="24"/>
          <w:szCs w:val="24"/>
        </w:rPr>
        <w:t xml:space="preserve">, podemos perceber </w:t>
      </w:r>
      <w:r>
        <w:rPr>
          <w:rFonts w:ascii="Times New Roman" w:hAnsi="Times New Roman" w:cs="Times New Roman"/>
          <w:sz w:val="24"/>
          <w:szCs w:val="24"/>
        </w:rPr>
        <w:t>que ela tem</w:t>
      </w:r>
      <w:r w:rsidRPr="00F36E62">
        <w:rPr>
          <w:rFonts w:ascii="Times New Roman" w:hAnsi="Times New Roman" w:cs="Times New Roman"/>
          <w:sz w:val="24"/>
          <w:szCs w:val="24"/>
        </w:rPr>
        <w:t xml:space="preserve"> o intuito de que as operações de arrendamento sejam representadas de forma </w:t>
      </w:r>
      <w:r>
        <w:rPr>
          <w:rFonts w:ascii="Times New Roman" w:hAnsi="Times New Roman" w:cs="Times New Roman"/>
          <w:sz w:val="24"/>
          <w:szCs w:val="24"/>
        </w:rPr>
        <w:t>mais fidedigna e</w:t>
      </w:r>
      <w:r w:rsidRPr="00F36E62">
        <w:rPr>
          <w:rFonts w:ascii="Times New Roman" w:hAnsi="Times New Roman" w:cs="Times New Roman"/>
          <w:sz w:val="24"/>
          <w:szCs w:val="24"/>
        </w:rPr>
        <w:t xml:space="preserve"> transparente pelos arrendatários.</w:t>
      </w:r>
    </w:p>
    <w:p w:rsidR="00CA22F1" w:rsidRPr="00F36E62" w:rsidRDefault="00CA22F1" w:rsidP="00FC6140">
      <w:pPr>
        <w:autoSpaceDE w:val="0"/>
        <w:autoSpaceDN w:val="0"/>
        <w:adjustRightInd w:val="0"/>
        <w:spacing w:after="0" w:line="360" w:lineRule="auto"/>
        <w:ind w:right="-568"/>
        <w:jc w:val="both"/>
        <w:rPr>
          <w:rFonts w:ascii="Times New Roman" w:hAnsi="Times New Roman" w:cs="Times New Roman"/>
          <w:sz w:val="24"/>
          <w:szCs w:val="24"/>
        </w:rPr>
      </w:pPr>
    </w:p>
    <w:p w:rsidR="001955F0" w:rsidRPr="00F36E62" w:rsidRDefault="00E421CA" w:rsidP="00FC4B17">
      <w:pPr>
        <w:autoSpaceDE w:val="0"/>
        <w:autoSpaceDN w:val="0"/>
        <w:adjustRightInd w:val="0"/>
        <w:spacing w:after="0" w:line="240" w:lineRule="auto"/>
        <w:ind w:right="-568"/>
        <w:jc w:val="both"/>
        <w:rPr>
          <w:rFonts w:ascii="Times New Roman" w:hAnsi="Times New Roman" w:cs="Times New Roman"/>
          <w:b/>
          <w:sz w:val="24"/>
          <w:szCs w:val="24"/>
        </w:rPr>
      </w:pPr>
      <w:r w:rsidRPr="00F36E62">
        <w:rPr>
          <w:rFonts w:ascii="Times New Roman" w:hAnsi="Times New Roman" w:cs="Times New Roman"/>
          <w:b/>
          <w:sz w:val="24"/>
          <w:szCs w:val="24"/>
        </w:rPr>
        <w:t>2.2</w:t>
      </w:r>
      <w:r w:rsidR="001955F0" w:rsidRPr="00F36E62">
        <w:rPr>
          <w:rFonts w:ascii="Times New Roman" w:hAnsi="Times New Roman" w:cs="Times New Roman"/>
          <w:b/>
          <w:sz w:val="24"/>
          <w:szCs w:val="24"/>
        </w:rPr>
        <w:t xml:space="preserve"> Conceituação</w:t>
      </w:r>
      <w:r w:rsidR="00437225" w:rsidRPr="00F36E62">
        <w:rPr>
          <w:rFonts w:ascii="Times New Roman" w:hAnsi="Times New Roman" w:cs="Times New Roman"/>
          <w:b/>
          <w:sz w:val="24"/>
          <w:szCs w:val="24"/>
        </w:rPr>
        <w:t xml:space="preserve"> e Classificação</w:t>
      </w:r>
    </w:p>
    <w:p w:rsidR="00D06801" w:rsidRPr="00F36E62" w:rsidRDefault="00D06801" w:rsidP="00FC4B17">
      <w:pPr>
        <w:autoSpaceDE w:val="0"/>
        <w:autoSpaceDN w:val="0"/>
        <w:adjustRightInd w:val="0"/>
        <w:spacing w:after="0" w:line="240" w:lineRule="auto"/>
        <w:ind w:right="-568"/>
        <w:jc w:val="both"/>
        <w:rPr>
          <w:rFonts w:ascii="Times New Roman" w:hAnsi="Times New Roman" w:cs="Times New Roman"/>
          <w:sz w:val="24"/>
          <w:szCs w:val="24"/>
        </w:rPr>
      </w:pPr>
    </w:p>
    <w:p w:rsidR="00D06801" w:rsidRPr="00F36E62" w:rsidRDefault="00D06801" w:rsidP="00D06801">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t>O Comitê de Pronunciamentos Técnicos - CPC 06 (R1)</w:t>
      </w:r>
      <w:r w:rsidR="00C00DFA" w:rsidRPr="00F36E62">
        <w:rPr>
          <w:rFonts w:ascii="Times New Roman" w:hAnsi="Times New Roman" w:cs="Times New Roman"/>
          <w:sz w:val="24"/>
          <w:szCs w:val="24"/>
        </w:rPr>
        <w:t>, do CFC (2010), q</w:t>
      </w:r>
      <w:r w:rsidR="00976AB5" w:rsidRPr="00F36E62">
        <w:rPr>
          <w:rFonts w:ascii="Times New Roman" w:hAnsi="Times New Roman" w:cs="Times New Roman"/>
          <w:sz w:val="24"/>
          <w:szCs w:val="24"/>
        </w:rPr>
        <w:t>ue é específico para Operações de Arrendamento Mercantil e</w:t>
      </w:r>
      <w:r w:rsidRPr="00F36E62">
        <w:rPr>
          <w:rFonts w:ascii="Times New Roman" w:hAnsi="Times New Roman" w:cs="Times New Roman"/>
          <w:sz w:val="24"/>
          <w:szCs w:val="24"/>
        </w:rPr>
        <w:t xml:space="preserve"> vigente até 31/12/2018, define </w:t>
      </w:r>
      <w:r w:rsidR="00976AB5" w:rsidRPr="00F36E62">
        <w:rPr>
          <w:rFonts w:ascii="Times New Roman" w:hAnsi="Times New Roman" w:cs="Times New Roman"/>
          <w:sz w:val="24"/>
          <w:szCs w:val="24"/>
        </w:rPr>
        <w:t xml:space="preserve">o </w:t>
      </w:r>
      <w:r w:rsidRPr="00F36E62">
        <w:rPr>
          <w:rFonts w:ascii="Times New Roman" w:hAnsi="Times New Roman" w:cs="Times New Roman"/>
          <w:sz w:val="24"/>
          <w:szCs w:val="24"/>
        </w:rPr>
        <w:t>arrendamento mercantil como um acordo pelo qual o arrendador transmite ao arrendatário em troca de um pagamento ou série de pagamentos o direito de usar um ativo por um período de tempo acordado.</w:t>
      </w:r>
      <w:r w:rsidR="009536B1" w:rsidRPr="00F36E62">
        <w:rPr>
          <w:rFonts w:ascii="Times New Roman" w:hAnsi="Times New Roman" w:cs="Times New Roman"/>
          <w:sz w:val="24"/>
          <w:szCs w:val="24"/>
        </w:rPr>
        <w:t xml:space="preserve"> (CPC 06 – R1, 2010).</w:t>
      </w:r>
    </w:p>
    <w:p w:rsidR="00592ABA" w:rsidRPr="00F36E62" w:rsidRDefault="00592ABA" w:rsidP="00592ABA">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t>Já o CPC 06 (R2), do CFC (2017), que entrará em vigor a partir de 01/01/2019, traz as definições de arrendador e arrendatário como:</w:t>
      </w:r>
    </w:p>
    <w:p w:rsidR="00592ABA" w:rsidRPr="00F36E62" w:rsidRDefault="00592ABA" w:rsidP="00592ABA">
      <w:pPr>
        <w:autoSpaceDE w:val="0"/>
        <w:autoSpaceDN w:val="0"/>
        <w:adjustRightInd w:val="0"/>
        <w:spacing w:after="0" w:line="240" w:lineRule="auto"/>
        <w:ind w:left="2268" w:right="-568"/>
        <w:jc w:val="both"/>
        <w:rPr>
          <w:rFonts w:ascii="Times New Roman" w:hAnsi="Times New Roman" w:cs="Times New Roman"/>
          <w:sz w:val="20"/>
          <w:szCs w:val="20"/>
        </w:rPr>
      </w:pPr>
      <w:r w:rsidRPr="00F36E62">
        <w:rPr>
          <w:rFonts w:ascii="Times New Roman" w:hAnsi="Times New Roman" w:cs="Times New Roman"/>
          <w:sz w:val="20"/>
          <w:szCs w:val="20"/>
        </w:rPr>
        <w:t>- Arrendador: é a entidade que fornece o direito de usar o ativo subjacente por um período de tempo em troca de contraprestação.</w:t>
      </w:r>
    </w:p>
    <w:p w:rsidR="00592ABA" w:rsidRPr="00F36E62" w:rsidRDefault="00592ABA" w:rsidP="00592ABA">
      <w:pPr>
        <w:autoSpaceDE w:val="0"/>
        <w:autoSpaceDN w:val="0"/>
        <w:adjustRightInd w:val="0"/>
        <w:spacing w:after="0" w:line="240" w:lineRule="auto"/>
        <w:ind w:left="2268" w:right="-568"/>
        <w:jc w:val="both"/>
        <w:rPr>
          <w:rFonts w:ascii="Times New Roman" w:hAnsi="Times New Roman" w:cs="Times New Roman"/>
          <w:sz w:val="20"/>
          <w:szCs w:val="20"/>
        </w:rPr>
      </w:pPr>
      <w:r w:rsidRPr="00F36E62">
        <w:rPr>
          <w:rFonts w:ascii="Times New Roman" w:hAnsi="Times New Roman" w:cs="Times New Roman"/>
          <w:sz w:val="20"/>
          <w:szCs w:val="20"/>
        </w:rPr>
        <w:t>- Arrendatário: é a entidade que obtém o direito de usar o ativo subjacente por um período de tempo em troca de contraprestação. (CPC 06 – R2, 2017).</w:t>
      </w:r>
    </w:p>
    <w:p w:rsidR="00592ABA" w:rsidRPr="00F36E62" w:rsidRDefault="00437225" w:rsidP="00D06801">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r>
    </w:p>
    <w:p w:rsidR="00C00DFA" w:rsidRPr="00F36E62" w:rsidRDefault="00592ABA" w:rsidP="00D06801">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r>
      <w:r w:rsidR="00C00DFA" w:rsidRPr="00F36E62">
        <w:rPr>
          <w:rFonts w:ascii="Times New Roman" w:hAnsi="Times New Roman" w:cs="Times New Roman"/>
          <w:sz w:val="24"/>
          <w:szCs w:val="24"/>
        </w:rPr>
        <w:t>A Lei 6.099, de 12 de setembro de 1974, que dispõe sobre o tratamento tributário das operações de arrendamento mercantil, o define como:</w:t>
      </w:r>
    </w:p>
    <w:p w:rsidR="00C36A3C" w:rsidRPr="00F36E62" w:rsidRDefault="00C00DFA" w:rsidP="00C00DFA">
      <w:pPr>
        <w:autoSpaceDE w:val="0"/>
        <w:autoSpaceDN w:val="0"/>
        <w:adjustRightInd w:val="0"/>
        <w:spacing w:after="0" w:line="240" w:lineRule="auto"/>
        <w:ind w:left="2268" w:right="-568"/>
        <w:jc w:val="both"/>
        <w:rPr>
          <w:rFonts w:ascii="Times New Roman" w:hAnsi="Times New Roman" w:cs="Times New Roman"/>
          <w:sz w:val="20"/>
          <w:szCs w:val="20"/>
        </w:rPr>
      </w:pPr>
      <w:r w:rsidRPr="00F36E62">
        <w:rPr>
          <w:rFonts w:ascii="Times New Roman" w:hAnsi="Times New Roman" w:cs="Times New Roman"/>
          <w:sz w:val="20"/>
          <w:szCs w:val="20"/>
        </w:rPr>
        <w:lastRenderedPageBreak/>
        <w:t>O negócio jurídico realizado entre pessoa jurídica, na qualidade de arrendadora, e pessoa física ou jurídica, na qualidade de arrendatária, e que tenha por objeto o arrendamento de bens adquiridos pela arrendadora, segundo especificações da arrendatária e para uso próprio desta.</w:t>
      </w:r>
      <w:r w:rsidR="00CA34BB" w:rsidRPr="00F36E62">
        <w:rPr>
          <w:rFonts w:ascii="Times New Roman" w:hAnsi="Times New Roman" w:cs="Times New Roman"/>
          <w:sz w:val="20"/>
          <w:szCs w:val="20"/>
        </w:rPr>
        <w:t xml:space="preserve"> (Lei 6.099</w:t>
      </w:r>
      <w:r w:rsidR="00162A1B" w:rsidRPr="00F36E62">
        <w:rPr>
          <w:rFonts w:ascii="Times New Roman" w:hAnsi="Times New Roman" w:cs="Times New Roman"/>
          <w:sz w:val="20"/>
          <w:szCs w:val="20"/>
        </w:rPr>
        <w:t>/74</w:t>
      </w:r>
      <w:r w:rsidR="00CA34BB" w:rsidRPr="00F36E62">
        <w:rPr>
          <w:rFonts w:ascii="Times New Roman" w:hAnsi="Times New Roman" w:cs="Times New Roman"/>
          <w:sz w:val="20"/>
          <w:szCs w:val="20"/>
        </w:rPr>
        <w:t>).</w:t>
      </w:r>
    </w:p>
    <w:p w:rsidR="00C00DFA" w:rsidRPr="00F36E62" w:rsidRDefault="00C00DFA" w:rsidP="00C00DFA">
      <w:pPr>
        <w:autoSpaceDE w:val="0"/>
        <w:autoSpaceDN w:val="0"/>
        <w:adjustRightInd w:val="0"/>
        <w:spacing w:after="0" w:line="240" w:lineRule="auto"/>
        <w:ind w:left="2268" w:right="-568"/>
        <w:jc w:val="both"/>
        <w:rPr>
          <w:rFonts w:ascii="Times New Roman" w:hAnsi="Times New Roman" w:cs="Times New Roman"/>
          <w:sz w:val="20"/>
          <w:szCs w:val="20"/>
        </w:rPr>
      </w:pPr>
    </w:p>
    <w:p w:rsidR="00407C71" w:rsidRPr="00F36E62" w:rsidRDefault="00407C71" w:rsidP="00407C71">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t>De acordo com o CPC 06 (R2), existem três modalidades de arrendamento mercantil: financeiro, operacional e arrendamento de curto prazo, sendo que as duas primeiras modalidades são as mais utilizadas:</w:t>
      </w:r>
    </w:p>
    <w:p w:rsidR="00407C71" w:rsidRPr="00F36E62" w:rsidRDefault="00407C71" w:rsidP="00407C71">
      <w:pPr>
        <w:autoSpaceDE w:val="0"/>
        <w:autoSpaceDN w:val="0"/>
        <w:adjustRightInd w:val="0"/>
        <w:spacing w:after="0" w:line="240" w:lineRule="auto"/>
        <w:ind w:left="2268" w:right="-568"/>
        <w:jc w:val="both"/>
        <w:rPr>
          <w:rFonts w:ascii="Times New Roman" w:hAnsi="Times New Roman" w:cs="Times New Roman"/>
          <w:sz w:val="20"/>
          <w:szCs w:val="20"/>
        </w:rPr>
      </w:pPr>
      <w:r w:rsidRPr="00F36E62">
        <w:rPr>
          <w:rFonts w:ascii="Times New Roman" w:hAnsi="Times New Roman" w:cs="Times New Roman"/>
          <w:sz w:val="20"/>
          <w:szCs w:val="20"/>
        </w:rPr>
        <w:t>Arrendamento financeiro é o arrendamento que transfere substancialmente todos os riscos e benefícios inerentes à propriedade do ativo subjacente.</w:t>
      </w:r>
    </w:p>
    <w:p w:rsidR="00407C71" w:rsidRPr="00F36E62" w:rsidRDefault="00407C71" w:rsidP="00407C71">
      <w:pPr>
        <w:autoSpaceDE w:val="0"/>
        <w:autoSpaceDN w:val="0"/>
        <w:adjustRightInd w:val="0"/>
        <w:spacing w:after="0" w:line="240" w:lineRule="auto"/>
        <w:ind w:left="2268" w:right="-568"/>
        <w:jc w:val="both"/>
        <w:rPr>
          <w:rFonts w:ascii="Times New Roman" w:hAnsi="Times New Roman" w:cs="Times New Roman"/>
          <w:sz w:val="20"/>
          <w:szCs w:val="20"/>
        </w:rPr>
      </w:pPr>
      <w:r w:rsidRPr="00F36E62">
        <w:rPr>
          <w:rFonts w:ascii="Times New Roman" w:hAnsi="Times New Roman" w:cs="Times New Roman"/>
          <w:sz w:val="20"/>
          <w:szCs w:val="20"/>
        </w:rPr>
        <w:t xml:space="preserve">Arrendamento operacional é o arrendamento que não transfere substancialmente todos os riscos e benefícios inerentes à propriedade do ativo subjacente. </w:t>
      </w:r>
    </w:p>
    <w:p w:rsidR="00407C71" w:rsidRPr="00F36E62" w:rsidRDefault="00407C71" w:rsidP="00407C71">
      <w:pPr>
        <w:autoSpaceDE w:val="0"/>
        <w:autoSpaceDN w:val="0"/>
        <w:adjustRightInd w:val="0"/>
        <w:spacing w:after="0" w:line="240" w:lineRule="auto"/>
        <w:ind w:left="2268" w:right="-568"/>
        <w:jc w:val="both"/>
        <w:rPr>
          <w:rFonts w:ascii="Times New Roman" w:hAnsi="Times New Roman" w:cs="Times New Roman"/>
          <w:sz w:val="20"/>
          <w:szCs w:val="20"/>
        </w:rPr>
      </w:pPr>
      <w:r w:rsidRPr="00F36E62">
        <w:rPr>
          <w:rFonts w:ascii="Times New Roman" w:hAnsi="Times New Roman" w:cs="Times New Roman"/>
          <w:sz w:val="20"/>
          <w:szCs w:val="20"/>
        </w:rPr>
        <w:t>Arrendamento de curto prazo é o arrendamento que, na data de início, possui o prazo de arrendamento de 12 meses ou menos. O arrendamento que contém opção de compra não é arrendamento de curto prazo. (Apêndice A, CPC 06 – R2).</w:t>
      </w:r>
    </w:p>
    <w:p w:rsidR="00407C71" w:rsidRPr="00F36E62" w:rsidRDefault="00D905E4" w:rsidP="00D06801">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r>
    </w:p>
    <w:p w:rsidR="00C36A3C" w:rsidRPr="00F36E62" w:rsidRDefault="00407C71" w:rsidP="00D06801">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r>
      <w:r w:rsidR="00C36A3C" w:rsidRPr="00F36E62">
        <w:rPr>
          <w:rFonts w:ascii="Times New Roman" w:hAnsi="Times New Roman" w:cs="Times New Roman"/>
          <w:sz w:val="24"/>
          <w:szCs w:val="24"/>
        </w:rPr>
        <w:t xml:space="preserve">Em complemento aos conceitos apresentados acima, a empresa KPMG </w:t>
      </w:r>
      <w:r w:rsidR="00E11D25" w:rsidRPr="00F36E62">
        <w:rPr>
          <w:rFonts w:ascii="Times New Roman" w:hAnsi="Times New Roman" w:cs="Times New Roman"/>
          <w:sz w:val="24"/>
          <w:szCs w:val="24"/>
        </w:rPr>
        <w:t xml:space="preserve">Auditores Independentes </w:t>
      </w:r>
      <w:r w:rsidR="00C36A3C" w:rsidRPr="00F36E62">
        <w:rPr>
          <w:rFonts w:ascii="Times New Roman" w:hAnsi="Times New Roman" w:cs="Times New Roman"/>
          <w:sz w:val="24"/>
          <w:szCs w:val="24"/>
        </w:rPr>
        <w:t xml:space="preserve">considera a definição de arrendamento quando “o contrato é, ou contém, um arrendamento se o contrato prevê o direito de controlar o uso de um ativo identificado por um período </w:t>
      </w:r>
      <w:r w:rsidR="00FB62BA" w:rsidRPr="00F36E62">
        <w:rPr>
          <w:rFonts w:ascii="Times New Roman" w:hAnsi="Times New Roman" w:cs="Times New Roman"/>
          <w:sz w:val="24"/>
          <w:szCs w:val="24"/>
        </w:rPr>
        <w:t>em troca de um pagamento”. (KPMG, 2016).</w:t>
      </w:r>
    </w:p>
    <w:p w:rsidR="002A0FD9" w:rsidRDefault="006A6E67" w:rsidP="00D06801">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t xml:space="preserve">Além disso, a KPMG </w:t>
      </w:r>
      <w:r w:rsidR="002A0FD9" w:rsidRPr="00F36E62">
        <w:rPr>
          <w:rFonts w:ascii="Times New Roman" w:hAnsi="Times New Roman" w:cs="Times New Roman"/>
          <w:sz w:val="24"/>
          <w:szCs w:val="24"/>
        </w:rPr>
        <w:t>segue alguns elementos-chave para defin</w:t>
      </w:r>
      <w:r w:rsidR="006E2B8B" w:rsidRPr="00F36E62">
        <w:rPr>
          <w:rFonts w:ascii="Times New Roman" w:hAnsi="Times New Roman" w:cs="Times New Roman"/>
          <w:sz w:val="24"/>
          <w:szCs w:val="24"/>
        </w:rPr>
        <w:t>ir um contrato de arrendamento, conforme demonstrado abaixo:</w:t>
      </w:r>
    </w:p>
    <w:p w:rsidR="006D4A06" w:rsidRPr="00F36E62" w:rsidRDefault="006D4A06" w:rsidP="00D06801">
      <w:pPr>
        <w:autoSpaceDE w:val="0"/>
        <w:autoSpaceDN w:val="0"/>
        <w:adjustRightInd w:val="0"/>
        <w:spacing w:after="0" w:line="360" w:lineRule="auto"/>
        <w:ind w:right="-568"/>
        <w:jc w:val="both"/>
        <w:rPr>
          <w:rFonts w:ascii="Times New Roman" w:hAnsi="Times New Roman" w:cs="Times New Roman"/>
          <w:sz w:val="24"/>
          <w:szCs w:val="24"/>
        </w:rPr>
      </w:pPr>
      <w:r>
        <w:rPr>
          <w:rFonts w:ascii="Times New Roman" w:hAnsi="Times New Roman" w:cs="Times New Roman"/>
          <w:sz w:val="24"/>
          <w:szCs w:val="24"/>
        </w:rPr>
        <w:t>Figura 1:</w:t>
      </w:r>
    </w:p>
    <w:p w:rsidR="002A0FD9" w:rsidRPr="00F36E62" w:rsidRDefault="002A0FD9" w:rsidP="00D06801">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noProof/>
          <w:lang w:eastAsia="pt-BR"/>
        </w:rPr>
        <w:drawing>
          <wp:inline distT="0" distB="0" distL="0" distR="0" wp14:anchorId="0B87C07F" wp14:editId="0C6508CE">
            <wp:extent cx="5286375" cy="2809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86375" cy="2809875"/>
                    </a:xfrm>
                    <a:prstGeom prst="rect">
                      <a:avLst/>
                    </a:prstGeom>
                  </pic:spPr>
                </pic:pic>
              </a:graphicData>
            </a:graphic>
          </wp:inline>
        </w:drawing>
      </w:r>
    </w:p>
    <w:p w:rsidR="002A0FD9" w:rsidRPr="00F36E62" w:rsidRDefault="002A0FD9" w:rsidP="00D06801">
      <w:pPr>
        <w:autoSpaceDE w:val="0"/>
        <w:autoSpaceDN w:val="0"/>
        <w:adjustRightInd w:val="0"/>
        <w:spacing w:after="0" w:line="360" w:lineRule="auto"/>
        <w:ind w:right="-568"/>
        <w:jc w:val="both"/>
        <w:rPr>
          <w:rFonts w:ascii="Times New Roman" w:hAnsi="Times New Roman" w:cs="Times New Roman"/>
          <w:sz w:val="20"/>
          <w:szCs w:val="20"/>
        </w:rPr>
      </w:pPr>
      <w:r w:rsidRPr="00F36E62">
        <w:rPr>
          <w:rFonts w:ascii="Times New Roman" w:hAnsi="Times New Roman" w:cs="Times New Roman"/>
          <w:sz w:val="20"/>
          <w:szCs w:val="20"/>
        </w:rPr>
        <w:t>Fonte: KPMG, 2016.</w:t>
      </w:r>
    </w:p>
    <w:p w:rsidR="0095725C" w:rsidRPr="00F36E62" w:rsidRDefault="002A0FD9" w:rsidP="00D06801">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r>
    </w:p>
    <w:p w:rsidR="002A0FD9" w:rsidRPr="00F36E62" w:rsidRDefault="0095725C" w:rsidP="00D06801">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lastRenderedPageBreak/>
        <w:tab/>
      </w:r>
      <w:r w:rsidR="002A0FD9" w:rsidRPr="00F36E62">
        <w:rPr>
          <w:rFonts w:ascii="Times New Roman" w:hAnsi="Times New Roman" w:cs="Times New Roman"/>
          <w:sz w:val="24"/>
          <w:szCs w:val="24"/>
        </w:rPr>
        <w:t>Portanto, podemos entender que: se o ativo identificado do arrendatário obtém os benefícios econômicos e gerencia o seu uso, ele é considerado como um contrato de arrendamento ou um contrato que contém arrendamento. Já se o ativo não for identificável, se o arrendatário não obtém os benefícios econômicos e não gerencia o uso, ele é considerado como um contrato que não contém arrendamento.</w:t>
      </w:r>
    </w:p>
    <w:p w:rsidR="00976AB5" w:rsidRPr="00F36E62" w:rsidRDefault="00C36A3C" w:rsidP="00407C71">
      <w:pPr>
        <w:autoSpaceDE w:val="0"/>
        <w:autoSpaceDN w:val="0"/>
        <w:adjustRightInd w:val="0"/>
        <w:spacing w:after="0" w:line="360" w:lineRule="auto"/>
        <w:ind w:right="-568"/>
        <w:jc w:val="both"/>
        <w:rPr>
          <w:rFonts w:ascii="Times New Roman" w:hAnsi="Times New Roman" w:cs="Times New Roman"/>
          <w:sz w:val="20"/>
          <w:szCs w:val="20"/>
        </w:rPr>
      </w:pPr>
      <w:r w:rsidRPr="00F36E62">
        <w:rPr>
          <w:rFonts w:ascii="Times New Roman" w:hAnsi="Times New Roman" w:cs="Times New Roman"/>
          <w:sz w:val="24"/>
          <w:szCs w:val="24"/>
        </w:rPr>
        <w:tab/>
      </w:r>
    </w:p>
    <w:p w:rsidR="006C7062" w:rsidRPr="00F36E62" w:rsidRDefault="006C7062" w:rsidP="00592ABA">
      <w:pPr>
        <w:autoSpaceDE w:val="0"/>
        <w:autoSpaceDN w:val="0"/>
        <w:adjustRightInd w:val="0"/>
        <w:spacing w:after="0" w:line="360" w:lineRule="auto"/>
        <w:ind w:right="-568"/>
        <w:jc w:val="both"/>
        <w:rPr>
          <w:rFonts w:ascii="Times New Roman" w:hAnsi="Times New Roman" w:cs="Times New Roman"/>
          <w:sz w:val="20"/>
          <w:szCs w:val="20"/>
        </w:rPr>
      </w:pPr>
    </w:p>
    <w:p w:rsidR="006C7062" w:rsidRPr="00F36E62" w:rsidRDefault="00E421CA" w:rsidP="00FC4B17">
      <w:pPr>
        <w:autoSpaceDE w:val="0"/>
        <w:autoSpaceDN w:val="0"/>
        <w:adjustRightInd w:val="0"/>
        <w:spacing w:after="0" w:line="240" w:lineRule="auto"/>
        <w:ind w:right="-568"/>
        <w:jc w:val="both"/>
        <w:rPr>
          <w:rFonts w:ascii="Times New Roman" w:hAnsi="Times New Roman" w:cs="Times New Roman"/>
          <w:b/>
          <w:sz w:val="24"/>
          <w:szCs w:val="24"/>
        </w:rPr>
      </w:pPr>
      <w:r w:rsidRPr="00F36E62">
        <w:rPr>
          <w:rFonts w:ascii="Times New Roman" w:hAnsi="Times New Roman" w:cs="Times New Roman"/>
          <w:b/>
          <w:sz w:val="24"/>
          <w:szCs w:val="24"/>
        </w:rPr>
        <w:t>2.3</w:t>
      </w:r>
      <w:r w:rsidR="00437225" w:rsidRPr="00F36E62">
        <w:rPr>
          <w:rFonts w:ascii="Times New Roman" w:hAnsi="Times New Roman" w:cs="Times New Roman"/>
          <w:b/>
          <w:sz w:val="24"/>
          <w:szCs w:val="24"/>
        </w:rPr>
        <w:t xml:space="preserve"> </w:t>
      </w:r>
      <w:r w:rsidR="006C7062" w:rsidRPr="00F36E62">
        <w:rPr>
          <w:rFonts w:ascii="Times New Roman" w:hAnsi="Times New Roman" w:cs="Times New Roman"/>
          <w:b/>
          <w:sz w:val="24"/>
          <w:szCs w:val="24"/>
        </w:rPr>
        <w:t>Principais Impactos com a adoção da norma</w:t>
      </w:r>
    </w:p>
    <w:p w:rsidR="00D06801" w:rsidRPr="00F36E62" w:rsidRDefault="00D06801" w:rsidP="00FC4B17">
      <w:pPr>
        <w:autoSpaceDE w:val="0"/>
        <w:autoSpaceDN w:val="0"/>
        <w:adjustRightInd w:val="0"/>
        <w:spacing w:after="0" w:line="240" w:lineRule="auto"/>
        <w:ind w:right="-568"/>
        <w:jc w:val="both"/>
        <w:rPr>
          <w:rFonts w:ascii="Times New Roman" w:hAnsi="Times New Roman" w:cs="Times New Roman"/>
          <w:sz w:val="24"/>
          <w:szCs w:val="24"/>
        </w:rPr>
      </w:pPr>
    </w:p>
    <w:p w:rsidR="00DD1490" w:rsidRPr="00F36E62" w:rsidRDefault="00DD1490" w:rsidP="00AD0766">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t>Considerando a norma atual em relação ao tratamento contábil para as operações de arrendamento, haverá alguns impactos com a adoção da nova norma, conforme será apresentado.</w:t>
      </w:r>
      <w:r w:rsidR="0099174B" w:rsidRPr="00F36E62">
        <w:rPr>
          <w:rFonts w:ascii="Times New Roman" w:hAnsi="Times New Roman" w:cs="Times New Roman"/>
          <w:sz w:val="24"/>
          <w:szCs w:val="24"/>
        </w:rPr>
        <w:tab/>
      </w:r>
    </w:p>
    <w:p w:rsidR="00DD1490" w:rsidRPr="00F36E62" w:rsidRDefault="00DD1490" w:rsidP="00AD0766">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t>A norma atual – IAS 17 – dispõe o seguinte tratamento contábil para as operações de arrendamento operacional:</w:t>
      </w:r>
    </w:p>
    <w:p w:rsidR="00DD1490" w:rsidRPr="00F36E62" w:rsidRDefault="00DD1490" w:rsidP="00DD1490">
      <w:pPr>
        <w:autoSpaceDE w:val="0"/>
        <w:autoSpaceDN w:val="0"/>
        <w:adjustRightInd w:val="0"/>
        <w:spacing w:after="0" w:line="240" w:lineRule="auto"/>
        <w:ind w:left="2268" w:right="-568"/>
        <w:jc w:val="both"/>
        <w:rPr>
          <w:rFonts w:ascii="Times New Roman" w:hAnsi="Times New Roman" w:cs="Times New Roman"/>
          <w:sz w:val="20"/>
          <w:szCs w:val="20"/>
        </w:rPr>
      </w:pPr>
      <w:r w:rsidRPr="00F36E62">
        <w:rPr>
          <w:rFonts w:ascii="Times New Roman" w:hAnsi="Times New Roman" w:cs="Times New Roman"/>
          <w:sz w:val="20"/>
          <w:szCs w:val="20"/>
        </w:rPr>
        <w:t>Não são reconhecidas nas demonstrações contábeis do arrendatário. Nessas operações a Norma institui que as contraprestações pagas devem ser reconhecidas como despesa numa base linear durante o prazo do arrendamento, a menos que uma outra base sistemática seja mais representativa do fator tempo do benefício do u</w:t>
      </w:r>
      <w:r w:rsidR="008840BA" w:rsidRPr="00F36E62">
        <w:rPr>
          <w:rFonts w:ascii="Times New Roman" w:hAnsi="Times New Roman" w:cs="Times New Roman"/>
          <w:sz w:val="20"/>
          <w:szCs w:val="20"/>
        </w:rPr>
        <w:t>suário. (BANCO CENTRAL DO BRASIL</w:t>
      </w:r>
      <w:r w:rsidRPr="00F36E62">
        <w:rPr>
          <w:rFonts w:ascii="Times New Roman" w:hAnsi="Times New Roman" w:cs="Times New Roman"/>
          <w:sz w:val="20"/>
          <w:szCs w:val="20"/>
        </w:rPr>
        <w:t>, 2006).</w:t>
      </w:r>
    </w:p>
    <w:p w:rsidR="00DD1490" w:rsidRPr="00F36E62" w:rsidRDefault="00DD1490" w:rsidP="00AD0766">
      <w:pPr>
        <w:autoSpaceDE w:val="0"/>
        <w:autoSpaceDN w:val="0"/>
        <w:adjustRightInd w:val="0"/>
        <w:spacing w:after="0" w:line="360" w:lineRule="auto"/>
        <w:ind w:right="-568"/>
        <w:jc w:val="both"/>
        <w:rPr>
          <w:rFonts w:ascii="Times New Roman" w:hAnsi="Times New Roman" w:cs="Times New Roman"/>
          <w:sz w:val="24"/>
          <w:szCs w:val="24"/>
        </w:rPr>
      </w:pPr>
    </w:p>
    <w:p w:rsidR="008840BA" w:rsidRPr="00F36E62" w:rsidRDefault="008840BA" w:rsidP="00AD0766">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t>Já para as operações de arrendamento financeiro, o tratamento contábil era normatizado da seguinte maneira:</w:t>
      </w:r>
    </w:p>
    <w:p w:rsidR="00DD1490" w:rsidRPr="00F36E62" w:rsidRDefault="008840BA" w:rsidP="00D33473">
      <w:pPr>
        <w:autoSpaceDE w:val="0"/>
        <w:autoSpaceDN w:val="0"/>
        <w:adjustRightInd w:val="0"/>
        <w:spacing w:after="0" w:line="240" w:lineRule="auto"/>
        <w:ind w:left="2268" w:right="-568"/>
        <w:jc w:val="both"/>
        <w:rPr>
          <w:rFonts w:ascii="Times New Roman" w:hAnsi="Times New Roman" w:cs="Times New Roman"/>
          <w:sz w:val="20"/>
          <w:szCs w:val="20"/>
        </w:rPr>
      </w:pPr>
      <w:r w:rsidRPr="00F36E62">
        <w:rPr>
          <w:rFonts w:ascii="Times New Roman" w:hAnsi="Times New Roman" w:cs="Times New Roman"/>
          <w:sz w:val="20"/>
          <w:szCs w:val="20"/>
        </w:rPr>
        <w:t xml:space="preserve">Devem ser reconhecidas no balanço do arrendatário como um ativo e um passivo, de mesmo valor, pelo valor justo do ativo arrendado ou pelo valor presente das contraprestações, se este for inferior. A taxa </w:t>
      </w:r>
      <w:r w:rsidR="00D33473" w:rsidRPr="00F36E62">
        <w:rPr>
          <w:rFonts w:ascii="Times New Roman" w:hAnsi="Times New Roman" w:cs="Times New Roman"/>
          <w:sz w:val="20"/>
          <w:szCs w:val="20"/>
        </w:rPr>
        <w:t>de juros utilizada no cálculo do valor presente dos pagamentos mínimos deve ser a taxa de juros implícita na operação, caso não seja possível determiná-la, deve ser utilizada uma taxa de captação de financiamento do arrendatário. Também devem compor o valor do ativo, quaisquer custos diretos iniciais do arrendatário. (BANCO CENTRAL DO BRASIL, 2006).</w:t>
      </w:r>
    </w:p>
    <w:p w:rsidR="008840BA" w:rsidRPr="00F36E62" w:rsidRDefault="008840BA" w:rsidP="00AD0766">
      <w:pPr>
        <w:autoSpaceDE w:val="0"/>
        <w:autoSpaceDN w:val="0"/>
        <w:adjustRightInd w:val="0"/>
        <w:spacing w:after="0" w:line="360" w:lineRule="auto"/>
        <w:ind w:right="-568"/>
        <w:jc w:val="both"/>
        <w:rPr>
          <w:rFonts w:ascii="Times New Roman" w:hAnsi="Times New Roman" w:cs="Times New Roman"/>
          <w:sz w:val="24"/>
          <w:szCs w:val="24"/>
        </w:rPr>
      </w:pPr>
    </w:p>
    <w:p w:rsidR="00D06801" w:rsidRPr="00F36E62" w:rsidRDefault="00DD1490" w:rsidP="00AD0766">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r>
      <w:r w:rsidR="00592ABA" w:rsidRPr="00F36E62">
        <w:rPr>
          <w:rFonts w:ascii="Times New Roman" w:hAnsi="Times New Roman" w:cs="Times New Roman"/>
          <w:sz w:val="24"/>
          <w:szCs w:val="24"/>
        </w:rPr>
        <w:t>Diante dessas exposições sobre o tratamento contábil da IAS 17, c</w:t>
      </w:r>
      <w:r w:rsidR="002839B9" w:rsidRPr="00F36E62">
        <w:rPr>
          <w:rFonts w:ascii="Times New Roman" w:hAnsi="Times New Roman" w:cs="Times New Roman"/>
          <w:sz w:val="24"/>
          <w:szCs w:val="24"/>
        </w:rPr>
        <w:t>om a nova norma</w:t>
      </w:r>
      <w:r w:rsidR="0099174B" w:rsidRPr="00F36E62">
        <w:rPr>
          <w:rFonts w:ascii="Times New Roman" w:hAnsi="Times New Roman" w:cs="Times New Roman"/>
          <w:sz w:val="24"/>
          <w:szCs w:val="24"/>
        </w:rPr>
        <w:t>, as companhias terão alguns impactos e mud</w:t>
      </w:r>
      <w:r w:rsidR="00AD0766" w:rsidRPr="00F36E62">
        <w:rPr>
          <w:rFonts w:ascii="Times New Roman" w:hAnsi="Times New Roman" w:cs="Times New Roman"/>
          <w:sz w:val="24"/>
          <w:szCs w:val="24"/>
        </w:rPr>
        <w:t>anças em suas</w:t>
      </w:r>
      <w:r w:rsidR="002839B9" w:rsidRPr="00F36E62">
        <w:rPr>
          <w:rFonts w:ascii="Times New Roman" w:hAnsi="Times New Roman" w:cs="Times New Roman"/>
          <w:sz w:val="24"/>
          <w:szCs w:val="24"/>
        </w:rPr>
        <w:t xml:space="preserve"> demonstrações, assim como</w:t>
      </w:r>
      <w:r w:rsidR="00AD0766" w:rsidRPr="00F36E62">
        <w:rPr>
          <w:rFonts w:ascii="Times New Roman" w:hAnsi="Times New Roman" w:cs="Times New Roman"/>
          <w:sz w:val="24"/>
          <w:szCs w:val="24"/>
        </w:rPr>
        <w:t xml:space="preserve"> no processo e</w:t>
      </w:r>
      <w:r w:rsidR="0099174B" w:rsidRPr="00F36E62">
        <w:rPr>
          <w:rFonts w:ascii="Times New Roman" w:hAnsi="Times New Roman" w:cs="Times New Roman"/>
          <w:sz w:val="24"/>
          <w:szCs w:val="24"/>
        </w:rPr>
        <w:t xml:space="preserve"> julgamento </w:t>
      </w:r>
      <w:r w:rsidR="00AD0766" w:rsidRPr="00F36E62">
        <w:rPr>
          <w:rFonts w:ascii="Times New Roman" w:hAnsi="Times New Roman" w:cs="Times New Roman"/>
          <w:sz w:val="24"/>
          <w:szCs w:val="24"/>
        </w:rPr>
        <w:t xml:space="preserve">dados </w:t>
      </w:r>
      <w:r w:rsidR="0099174B" w:rsidRPr="00F36E62">
        <w:rPr>
          <w:rFonts w:ascii="Times New Roman" w:hAnsi="Times New Roman" w:cs="Times New Roman"/>
          <w:sz w:val="24"/>
          <w:szCs w:val="24"/>
        </w:rPr>
        <w:t>às operações de</w:t>
      </w:r>
      <w:r w:rsidR="00513CB5" w:rsidRPr="00F36E62">
        <w:rPr>
          <w:rFonts w:ascii="Times New Roman" w:hAnsi="Times New Roman" w:cs="Times New Roman"/>
          <w:sz w:val="24"/>
          <w:szCs w:val="24"/>
        </w:rPr>
        <w:t xml:space="preserve"> arrendamento.</w:t>
      </w:r>
    </w:p>
    <w:p w:rsidR="001955F0" w:rsidRPr="00F36E62" w:rsidRDefault="0072327B" w:rsidP="00AD0766">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t xml:space="preserve">De acordo com o estudo realizado pela KPMG (2016), os principais impactos serão: </w:t>
      </w:r>
    </w:p>
    <w:p w:rsidR="0072327B" w:rsidRPr="00F36E62" w:rsidRDefault="0072327B" w:rsidP="009D794A">
      <w:pPr>
        <w:autoSpaceDE w:val="0"/>
        <w:autoSpaceDN w:val="0"/>
        <w:adjustRightInd w:val="0"/>
        <w:spacing w:after="0" w:line="240" w:lineRule="auto"/>
        <w:ind w:left="2268" w:right="-568"/>
        <w:jc w:val="both"/>
        <w:rPr>
          <w:rFonts w:ascii="Times New Roman" w:hAnsi="Times New Roman" w:cs="Times New Roman"/>
          <w:sz w:val="20"/>
          <w:szCs w:val="20"/>
        </w:rPr>
      </w:pPr>
      <w:r w:rsidRPr="00F36E62">
        <w:rPr>
          <w:rFonts w:ascii="Times New Roman" w:hAnsi="Times New Roman" w:cs="Times New Roman"/>
          <w:sz w:val="20"/>
          <w:szCs w:val="20"/>
        </w:rPr>
        <w:t>Identificação de todos os contratos de arrendamento mercantil;</w:t>
      </w:r>
      <w:r w:rsidR="009D794A" w:rsidRPr="00F36E62">
        <w:rPr>
          <w:rFonts w:ascii="Times New Roman" w:hAnsi="Times New Roman" w:cs="Times New Roman"/>
          <w:sz w:val="20"/>
          <w:szCs w:val="20"/>
        </w:rPr>
        <w:t xml:space="preserve"> </w:t>
      </w:r>
      <w:r w:rsidRPr="00F36E62">
        <w:rPr>
          <w:rFonts w:ascii="Times New Roman" w:hAnsi="Times New Roman" w:cs="Times New Roman"/>
          <w:sz w:val="20"/>
          <w:szCs w:val="20"/>
        </w:rPr>
        <w:t xml:space="preserve">Mudanças nas </w:t>
      </w:r>
      <w:r w:rsidR="009D794A" w:rsidRPr="00F36E62">
        <w:rPr>
          <w:rFonts w:ascii="Times New Roman" w:hAnsi="Times New Roman" w:cs="Times New Roman"/>
          <w:sz w:val="20"/>
          <w:szCs w:val="20"/>
        </w:rPr>
        <w:t>principais métrica financeiras; N</w:t>
      </w:r>
      <w:r w:rsidRPr="00F36E62">
        <w:rPr>
          <w:rFonts w:ascii="Times New Roman" w:hAnsi="Times New Roman" w:cs="Times New Roman"/>
          <w:sz w:val="20"/>
          <w:szCs w:val="20"/>
        </w:rPr>
        <w:t xml:space="preserve">ovas </w:t>
      </w:r>
      <w:r w:rsidR="009D794A" w:rsidRPr="00F36E62">
        <w:rPr>
          <w:rFonts w:ascii="Times New Roman" w:hAnsi="Times New Roman" w:cs="Times New Roman"/>
          <w:sz w:val="20"/>
          <w:szCs w:val="20"/>
        </w:rPr>
        <w:t xml:space="preserve">estimativas e maior julgamento; </w:t>
      </w:r>
      <w:r w:rsidRPr="00F36E62">
        <w:rPr>
          <w:rFonts w:ascii="Times New Roman" w:hAnsi="Times New Roman" w:cs="Times New Roman"/>
          <w:sz w:val="20"/>
          <w:szCs w:val="20"/>
        </w:rPr>
        <w:t>Volatilidade do bal</w:t>
      </w:r>
      <w:r w:rsidR="009D794A" w:rsidRPr="00F36E62">
        <w:rPr>
          <w:rFonts w:ascii="Times New Roman" w:hAnsi="Times New Roman" w:cs="Times New Roman"/>
          <w:sz w:val="20"/>
          <w:szCs w:val="20"/>
        </w:rPr>
        <w:t xml:space="preserve">anço; </w:t>
      </w:r>
      <w:r w:rsidRPr="00F36E62">
        <w:rPr>
          <w:rFonts w:ascii="Times New Roman" w:hAnsi="Times New Roman" w:cs="Times New Roman"/>
          <w:sz w:val="20"/>
          <w:szCs w:val="20"/>
        </w:rPr>
        <w:t>Mudanças nas condições contratuai</w:t>
      </w:r>
      <w:r w:rsidR="009D794A" w:rsidRPr="00F36E62">
        <w:rPr>
          <w:rFonts w:ascii="Times New Roman" w:hAnsi="Times New Roman" w:cs="Times New Roman"/>
          <w:sz w:val="20"/>
          <w:szCs w:val="20"/>
        </w:rPr>
        <w:t xml:space="preserve">s e nas práticas profissionais; Novos sistemas e processos; </w:t>
      </w:r>
      <w:r w:rsidRPr="00F36E62">
        <w:rPr>
          <w:rFonts w:ascii="Times New Roman" w:hAnsi="Times New Roman" w:cs="Times New Roman"/>
          <w:sz w:val="20"/>
          <w:szCs w:val="20"/>
        </w:rPr>
        <w:t>Alguns impactos podem ainda não</w:t>
      </w:r>
      <w:r w:rsidR="009D794A" w:rsidRPr="00F36E62">
        <w:rPr>
          <w:rFonts w:ascii="Times New Roman" w:hAnsi="Times New Roman" w:cs="Times New Roman"/>
          <w:sz w:val="20"/>
          <w:szCs w:val="20"/>
        </w:rPr>
        <w:t xml:space="preserve"> ser quantificados; </w:t>
      </w:r>
      <w:r w:rsidR="00415741" w:rsidRPr="00F36E62">
        <w:rPr>
          <w:rFonts w:ascii="Times New Roman" w:hAnsi="Times New Roman" w:cs="Times New Roman"/>
          <w:sz w:val="20"/>
          <w:szCs w:val="20"/>
        </w:rPr>
        <w:t xml:space="preserve">Considerações sobre a transição; </w:t>
      </w:r>
      <w:r w:rsidRPr="00F36E62">
        <w:rPr>
          <w:rFonts w:ascii="Times New Roman" w:hAnsi="Times New Roman" w:cs="Times New Roman"/>
          <w:sz w:val="20"/>
          <w:szCs w:val="20"/>
        </w:rPr>
        <w:t>A comunicação entre as partes interessadas deverá ser cuidadosamente analisada.</w:t>
      </w:r>
      <w:r w:rsidR="009D794A" w:rsidRPr="00F36E62">
        <w:rPr>
          <w:rFonts w:ascii="Times New Roman" w:hAnsi="Times New Roman" w:cs="Times New Roman"/>
          <w:sz w:val="20"/>
          <w:szCs w:val="20"/>
        </w:rPr>
        <w:t xml:space="preserve"> (KPMG, 2016).</w:t>
      </w:r>
    </w:p>
    <w:p w:rsidR="001955F0" w:rsidRPr="00F36E62" w:rsidRDefault="001955F0" w:rsidP="00FC4B17">
      <w:pPr>
        <w:autoSpaceDE w:val="0"/>
        <w:autoSpaceDN w:val="0"/>
        <w:adjustRightInd w:val="0"/>
        <w:spacing w:after="0" w:line="240" w:lineRule="auto"/>
        <w:ind w:right="-568"/>
        <w:jc w:val="both"/>
        <w:rPr>
          <w:rFonts w:ascii="Times New Roman" w:hAnsi="Times New Roman" w:cs="Times New Roman"/>
          <w:sz w:val="24"/>
          <w:szCs w:val="24"/>
        </w:rPr>
      </w:pPr>
    </w:p>
    <w:p w:rsidR="00B761FD" w:rsidRPr="00F36E62" w:rsidRDefault="00B761FD" w:rsidP="00B761FD">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lastRenderedPageBreak/>
        <w:tab/>
        <w:t>O primeiro impacto realmente será sobre identificar todos os contratos e informações que serão necessários para que a norma seja aplicada e seguida conforme o que foi estabelecido. Outra grande mudança será o reconhecimento no balanço patrimonial, uma vez que as companhias terão de contabilizar novos ativo e passivos, assim como, reconhecer despesas e receitas decorrentes das operações de arre</w:t>
      </w:r>
      <w:r w:rsidR="00116E42" w:rsidRPr="00F36E62">
        <w:rPr>
          <w:rFonts w:ascii="Times New Roman" w:hAnsi="Times New Roman" w:cs="Times New Roman"/>
          <w:sz w:val="24"/>
          <w:szCs w:val="24"/>
        </w:rPr>
        <w:t xml:space="preserve">ndamento, além disso, a norma envolverá cálculo e análise de estimativas relacionadas à identificação, classificação e mensuração dos arrendamentos. </w:t>
      </w:r>
    </w:p>
    <w:p w:rsidR="0099174B" w:rsidRPr="00F36E62" w:rsidRDefault="00B761FD" w:rsidP="00026E37">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r>
      <w:r w:rsidR="00026E37" w:rsidRPr="00F36E62">
        <w:rPr>
          <w:rFonts w:ascii="Times New Roman" w:hAnsi="Times New Roman" w:cs="Times New Roman"/>
          <w:sz w:val="24"/>
          <w:szCs w:val="24"/>
        </w:rPr>
        <w:t>Além disso, conforme exposto pela Ernst Young</w:t>
      </w:r>
      <w:r w:rsidR="009B056A" w:rsidRPr="00F36E62">
        <w:rPr>
          <w:rFonts w:ascii="Times New Roman" w:hAnsi="Times New Roman" w:cs="Times New Roman"/>
          <w:sz w:val="24"/>
          <w:szCs w:val="24"/>
        </w:rPr>
        <w:t xml:space="preserve"> (2018)</w:t>
      </w:r>
      <w:r w:rsidR="00026E37" w:rsidRPr="00F36E62">
        <w:rPr>
          <w:rFonts w:ascii="Times New Roman" w:hAnsi="Times New Roman" w:cs="Times New Roman"/>
          <w:sz w:val="24"/>
          <w:szCs w:val="24"/>
        </w:rPr>
        <w:t>, as companhias terão que “certificar-se de que possuem processos (inclusive controles internos) e sistemas para obter as informações necessárias para a implementação da nova norma ”, ou seja, se a companhia não possui procedimentos de controle interno para contratos</w:t>
      </w:r>
      <w:r w:rsidR="00437446" w:rsidRPr="00F36E62">
        <w:rPr>
          <w:rFonts w:ascii="Times New Roman" w:hAnsi="Times New Roman" w:cs="Times New Roman"/>
          <w:sz w:val="24"/>
          <w:szCs w:val="24"/>
        </w:rPr>
        <w:t xml:space="preserve"> de arrendamento, terá de implemen</w:t>
      </w:r>
      <w:r w:rsidR="00026E37" w:rsidRPr="00F36E62">
        <w:rPr>
          <w:rFonts w:ascii="Times New Roman" w:hAnsi="Times New Roman" w:cs="Times New Roman"/>
          <w:sz w:val="24"/>
          <w:szCs w:val="24"/>
        </w:rPr>
        <w:t>tá-los, com o intuito de mitigar o risco relacionado a essas operações.</w:t>
      </w:r>
      <w:r w:rsidR="00905EE0">
        <w:rPr>
          <w:rFonts w:ascii="Times New Roman" w:hAnsi="Times New Roman" w:cs="Times New Roman"/>
          <w:sz w:val="24"/>
          <w:szCs w:val="24"/>
        </w:rPr>
        <w:t xml:space="preserve"> (EY, 2018).</w:t>
      </w:r>
    </w:p>
    <w:p w:rsidR="0099174B" w:rsidRDefault="00C32870" w:rsidP="00C32870">
      <w:pPr>
        <w:autoSpaceDE w:val="0"/>
        <w:autoSpaceDN w:val="0"/>
        <w:adjustRightInd w:val="0"/>
        <w:spacing w:after="0" w:line="360" w:lineRule="auto"/>
        <w:ind w:right="-568"/>
        <w:jc w:val="both"/>
        <w:rPr>
          <w:rFonts w:ascii="Times New Roman" w:hAnsi="Times New Roman" w:cs="Times New Roman"/>
          <w:sz w:val="24"/>
          <w:szCs w:val="24"/>
        </w:rPr>
      </w:pPr>
      <w:r>
        <w:rPr>
          <w:rFonts w:ascii="Times New Roman" w:hAnsi="Times New Roman" w:cs="Times New Roman"/>
          <w:sz w:val="24"/>
          <w:szCs w:val="24"/>
        </w:rPr>
        <w:tab/>
        <w:t>De acordo com a norma, o</w:t>
      </w:r>
      <w:r w:rsidRPr="00C32870">
        <w:rPr>
          <w:rFonts w:ascii="Times New Roman" w:hAnsi="Times New Roman" w:cs="Times New Roman"/>
          <w:sz w:val="24"/>
          <w:szCs w:val="24"/>
        </w:rPr>
        <w:t xml:space="preserve"> efeito mais signif</w:t>
      </w:r>
      <w:r>
        <w:rPr>
          <w:rFonts w:ascii="Times New Roman" w:hAnsi="Times New Roman" w:cs="Times New Roman"/>
          <w:sz w:val="24"/>
          <w:szCs w:val="24"/>
        </w:rPr>
        <w:t>icativo dos novos requisitos na</w:t>
      </w:r>
      <w:r w:rsidRPr="00C32870">
        <w:rPr>
          <w:rFonts w:ascii="Times New Roman" w:hAnsi="Times New Roman" w:cs="Times New Roman"/>
          <w:sz w:val="24"/>
          <w:szCs w:val="24"/>
        </w:rPr>
        <w:t xml:space="preserve"> IFRS 16 será </w:t>
      </w:r>
      <w:r>
        <w:rPr>
          <w:rFonts w:ascii="Times New Roman" w:hAnsi="Times New Roman" w:cs="Times New Roman"/>
          <w:sz w:val="24"/>
          <w:szCs w:val="24"/>
        </w:rPr>
        <w:t>“</w:t>
      </w:r>
      <w:r w:rsidRPr="00C32870">
        <w:rPr>
          <w:rFonts w:ascii="Times New Roman" w:hAnsi="Times New Roman" w:cs="Times New Roman"/>
          <w:sz w:val="24"/>
          <w:szCs w:val="24"/>
        </w:rPr>
        <w:t>um aumen</w:t>
      </w:r>
      <w:r>
        <w:rPr>
          <w:rFonts w:ascii="Times New Roman" w:hAnsi="Times New Roman" w:cs="Times New Roman"/>
          <w:sz w:val="24"/>
          <w:szCs w:val="24"/>
        </w:rPr>
        <w:t xml:space="preserve">to nos ativos de arrendamento e </w:t>
      </w:r>
      <w:r w:rsidRPr="00C32870">
        <w:rPr>
          <w:rFonts w:ascii="Times New Roman" w:hAnsi="Times New Roman" w:cs="Times New Roman"/>
          <w:sz w:val="24"/>
          <w:szCs w:val="24"/>
        </w:rPr>
        <w:t>passivos. As</w:t>
      </w:r>
      <w:r>
        <w:rPr>
          <w:rFonts w:ascii="Times New Roman" w:hAnsi="Times New Roman" w:cs="Times New Roman"/>
          <w:sz w:val="24"/>
          <w:szCs w:val="24"/>
        </w:rPr>
        <w:t xml:space="preserve">sim, para empresas com </w:t>
      </w:r>
      <w:r w:rsidRPr="00C32870">
        <w:rPr>
          <w:rFonts w:ascii="Times New Roman" w:hAnsi="Times New Roman" w:cs="Times New Roman"/>
          <w:sz w:val="24"/>
          <w:szCs w:val="24"/>
        </w:rPr>
        <w:t>locações</w:t>
      </w:r>
      <w:r>
        <w:rPr>
          <w:rFonts w:ascii="Times New Roman" w:hAnsi="Times New Roman" w:cs="Times New Roman"/>
          <w:sz w:val="24"/>
          <w:szCs w:val="24"/>
        </w:rPr>
        <w:t xml:space="preserve"> materiais</w:t>
      </w:r>
      <w:r w:rsidRPr="00C32870">
        <w:rPr>
          <w:rFonts w:ascii="Times New Roman" w:hAnsi="Times New Roman" w:cs="Times New Roman"/>
          <w:sz w:val="24"/>
          <w:szCs w:val="24"/>
        </w:rPr>
        <w:t xml:space="preserve"> fora do balanço</w:t>
      </w:r>
      <w:r>
        <w:rPr>
          <w:rFonts w:ascii="Times New Roman" w:hAnsi="Times New Roman" w:cs="Times New Roman"/>
          <w:sz w:val="24"/>
          <w:szCs w:val="24"/>
        </w:rPr>
        <w:t>, haverá uma alteração métricas</w:t>
      </w:r>
      <w:r w:rsidRPr="00C32870">
        <w:rPr>
          <w:rFonts w:ascii="Times New Roman" w:hAnsi="Times New Roman" w:cs="Times New Roman"/>
          <w:sz w:val="24"/>
          <w:szCs w:val="24"/>
        </w:rPr>
        <w:t xml:space="preserve"> fina</w:t>
      </w:r>
      <w:r>
        <w:rPr>
          <w:rFonts w:ascii="Times New Roman" w:hAnsi="Times New Roman" w:cs="Times New Roman"/>
          <w:sz w:val="24"/>
          <w:szCs w:val="24"/>
        </w:rPr>
        <w:t xml:space="preserve">nceiras derivadas dos ativos e </w:t>
      </w:r>
      <w:r w:rsidRPr="00C32870">
        <w:rPr>
          <w:rFonts w:ascii="Times New Roman" w:hAnsi="Times New Roman" w:cs="Times New Roman"/>
          <w:sz w:val="24"/>
          <w:szCs w:val="24"/>
        </w:rPr>
        <w:t xml:space="preserve">passivos (por exemplo, índices de </w:t>
      </w:r>
      <w:r w:rsidR="006078FB" w:rsidRPr="00C32870">
        <w:rPr>
          <w:rFonts w:ascii="Times New Roman" w:hAnsi="Times New Roman" w:cs="Times New Roman"/>
          <w:sz w:val="24"/>
          <w:szCs w:val="24"/>
        </w:rPr>
        <w:t>alavancagem)</w:t>
      </w:r>
      <w:r w:rsidR="006078FB">
        <w:rPr>
          <w:rFonts w:ascii="Times New Roman" w:hAnsi="Times New Roman" w:cs="Times New Roman"/>
          <w:sz w:val="24"/>
          <w:szCs w:val="24"/>
        </w:rPr>
        <w:t xml:space="preserve"> ”</w:t>
      </w:r>
      <w:r w:rsidRPr="00C32870">
        <w:rPr>
          <w:rFonts w:ascii="Times New Roman" w:hAnsi="Times New Roman" w:cs="Times New Roman"/>
          <w:sz w:val="24"/>
          <w:szCs w:val="24"/>
        </w:rPr>
        <w:t>.</w:t>
      </w:r>
      <w:r w:rsidR="0067021F">
        <w:rPr>
          <w:rFonts w:ascii="Times New Roman" w:hAnsi="Times New Roman" w:cs="Times New Roman"/>
          <w:sz w:val="24"/>
          <w:szCs w:val="24"/>
        </w:rPr>
        <w:t xml:space="preserve"> (IFRS 16, 2016).</w:t>
      </w:r>
    </w:p>
    <w:p w:rsidR="00957C39" w:rsidRPr="00957C39" w:rsidRDefault="00957C39" w:rsidP="00957C39">
      <w:pPr>
        <w:autoSpaceDE w:val="0"/>
        <w:autoSpaceDN w:val="0"/>
        <w:adjustRightInd w:val="0"/>
        <w:spacing w:after="0" w:line="240" w:lineRule="auto"/>
        <w:ind w:right="-568"/>
        <w:jc w:val="both"/>
        <w:rPr>
          <w:rFonts w:ascii="Times New Roman" w:hAnsi="Times New Roman" w:cs="Times New Roman"/>
          <w:sz w:val="24"/>
          <w:szCs w:val="24"/>
        </w:rPr>
      </w:pPr>
      <w:r>
        <w:rPr>
          <w:rFonts w:ascii="Times New Roman" w:hAnsi="Times New Roman" w:cs="Times New Roman"/>
          <w:sz w:val="24"/>
          <w:szCs w:val="24"/>
        </w:rPr>
        <w:tab/>
      </w:r>
    </w:p>
    <w:p w:rsidR="00957C39" w:rsidRDefault="00957C39" w:rsidP="00FC4B17">
      <w:pPr>
        <w:autoSpaceDE w:val="0"/>
        <w:autoSpaceDN w:val="0"/>
        <w:adjustRightInd w:val="0"/>
        <w:spacing w:after="0" w:line="240" w:lineRule="auto"/>
        <w:ind w:right="-568"/>
        <w:jc w:val="both"/>
        <w:rPr>
          <w:rFonts w:ascii="Times New Roman" w:hAnsi="Times New Roman" w:cs="Times New Roman"/>
          <w:sz w:val="24"/>
          <w:szCs w:val="24"/>
        </w:rPr>
      </w:pPr>
    </w:p>
    <w:p w:rsidR="00FC6140" w:rsidRDefault="00FC6140" w:rsidP="00FC4B17">
      <w:pPr>
        <w:autoSpaceDE w:val="0"/>
        <w:autoSpaceDN w:val="0"/>
        <w:adjustRightInd w:val="0"/>
        <w:spacing w:after="0" w:line="240" w:lineRule="auto"/>
        <w:ind w:right="-568"/>
        <w:jc w:val="both"/>
        <w:rPr>
          <w:rFonts w:ascii="Times New Roman" w:hAnsi="Times New Roman" w:cs="Times New Roman"/>
          <w:sz w:val="24"/>
          <w:szCs w:val="24"/>
        </w:rPr>
      </w:pPr>
    </w:p>
    <w:p w:rsidR="00FC6140" w:rsidRDefault="00FC6140" w:rsidP="00FC4B17">
      <w:pPr>
        <w:autoSpaceDE w:val="0"/>
        <w:autoSpaceDN w:val="0"/>
        <w:adjustRightInd w:val="0"/>
        <w:spacing w:after="0" w:line="240" w:lineRule="auto"/>
        <w:ind w:right="-568"/>
        <w:jc w:val="both"/>
        <w:rPr>
          <w:rFonts w:ascii="Times New Roman" w:hAnsi="Times New Roman" w:cs="Times New Roman"/>
          <w:sz w:val="24"/>
          <w:szCs w:val="24"/>
        </w:rPr>
      </w:pPr>
    </w:p>
    <w:p w:rsidR="00E450EF" w:rsidRPr="00344A69" w:rsidRDefault="00E450EF" w:rsidP="00FC4B17">
      <w:pPr>
        <w:autoSpaceDE w:val="0"/>
        <w:autoSpaceDN w:val="0"/>
        <w:adjustRightInd w:val="0"/>
        <w:spacing w:after="0" w:line="240" w:lineRule="auto"/>
        <w:ind w:right="-568"/>
        <w:jc w:val="both"/>
        <w:rPr>
          <w:rFonts w:ascii="Times New Roman" w:hAnsi="Times New Roman" w:cs="Times New Roman"/>
          <w:b/>
          <w:sz w:val="24"/>
          <w:szCs w:val="24"/>
        </w:rPr>
      </w:pPr>
      <w:r w:rsidRPr="00344A69">
        <w:rPr>
          <w:rFonts w:ascii="Times New Roman" w:hAnsi="Times New Roman" w:cs="Times New Roman"/>
          <w:b/>
          <w:sz w:val="24"/>
          <w:szCs w:val="24"/>
        </w:rPr>
        <w:t xml:space="preserve">2.4 </w:t>
      </w:r>
      <w:r w:rsidR="00344A69" w:rsidRPr="00344A69">
        <w:rPr>
          <w:rFonts w:ascii="Times New Roman" w:hAnsi="Times New Roman" w:cs="Times New Roman"/>
          <w:b/>
          <w:sz w:val="24"/>
          <w:szCs w:val="24"/>
        </w:rPr>
        <w:t>Exceções à norma</w:t>
      </w:r>
    </w:p>
    <w:p w:rsidR="00026E37" w:rsidRPr="00344A69" w:rsidRDefault="00344A69" w:rsidP="00344A69">
      <w:pPr>
        <w:autoSpaceDE w:val="0"/>
        <w:autoSpaceDN w:val="0"/>
        <w:adjustRightInd w:val="0"/>
        <w:spacing w:after="0" w:line="240" w:lineRule="auto"/>
        <w:ind w:right="-568"/>
        <w:jc w:val="both"/>
        <w:rPr>
          <w:rFonts w:ascii="Times New Roman" w:hAnsi="Times New Roman" w:cs="Times New Roman"/>
          <w:b/>
          <w:sz w:val="24"/>
          <w:szCs w:val="24"/>
        </w:rPr>
      </w:pPr>
      <w:r w:rsidRPr="00344A69">
        <w:rPr>
          <w:rFonts w:ascii="Times New Roman" w:hAnsi="Times New Roman" w:cs="Times New Roman"/>
          <w:b/>
          <w:sz w:val="24"/>
          <w:szCs w:val="24"/>
        </w:rPr>
        <w:tab/>
      </w:r>
    </w:p>
    <w:p w:rsidR="00344A69" w:rsidRDefault="00344A69" w:rsidP="00E373F4">
      <w:pPr>
        <w:spacing w:after="0" w:line="360" w:lineRule="auto"/>
        <w:ind w:right="-568"/>
        <w:jc w:val="both"/>
        <w:rPr>
          <w:rFonts w:ascii="Times New Roman" w:hAnsi="Times New Roman" w:cs="Times New Roman"/>
          <w:sz w:val="24"/>
          <w:szCs w:val="24"/>
        </w:rPr>
      </w:pPr>
      <w:r>
        <w:rPr>
          <w:rFonts w:ascii="Times New Roman" w:hAnsi="Times New Roman" w:cs="Times New Roman"/>
          <w:b/>
          <w:sz w:val="28"/>
          <w:szCs w:val="28"/>
        </w:rPr>
        <w:tab/>
      </w:r>
      <w:r w:rsidR="00990F49">
        <w:rPr>
          <w:rFonts w:ascii="Times New Roman" w:hAnsi="Times New Roman" w:cs="Times New Roman"/>
          <w:sz w:val="24"/>
          <w:szCs w:val="24"/>
        </w:rPr>
        <w:t>Conforme disposto pela norma, haverá</w:t>
      </w:r>
      <w:r>
        <w:rPr>
          <w:rFonts w:ascii="Times New Roman" w:hAnsi="Times New Roman" w:cs="Times New Roman"/>
          <w:sz w:val="24"/>
          <w:szCs w:val="24"/>
        </w:rPr>
        <w:t xml:space="preserve"> algumas exceções para</w:t>
      </w:r>
      <w:r w:rsidR="00990F49">
        <w:rPr>
          <w:rFonts w:ascii="Times New Roman" w:hAnsi="Times New Roman" w:cs="Times New Roman"/>
          <w:sz w:val="24"/>
          <w:szCs w:val="24"/>
        </w:rPr>
        <w:t xml:space="preserve"> o reconhecimento dos arrendamentos em ativo e passivo. Uma das exceções, é que a IFRS 16 não altera a “contabilização de serviços. Embora os arrendamentos e serviços sejam frequentemente combinados em contrato único, os valores relativos aos serviços não são requeridos para serem reportados no balanço”</w:t>
      </w:r>
      <w:r w:rsidR="00544F1E">
        <w:rPr>
          <w:rFonts w:ascii="Times New Roman" w:hAnsi="Times New Roman" w:cs="Times New Roman"/>
          <w:sz w:val="24"/>
          <w:szCs w:val="24"/>
        </w:rPr>
        <w:t>.</w:t>
      </w:r>
      <w:r w:rsidR="0067021F">
        <w:rPr>
          <w:rFonts w:ascii="Times New Roman" w:hAnsi="Times New Roman" w:cs="Times New Roman"/>
          <w:sz w:val="24"/>
          <w:szCs w:val="24"/>
        </w:rPr>
        <w:t xml:space="preserve"> (IFRS 16, 2016).</w:t>
      </w:r>
    </w:p>
    <w:p w:rsidR="00E373F4" w:rsidRPr="00344A69" w:rsidRDefault="00E373F4" w:rsidP="00E373F4">
      <w:pPr>
        <w:spacing w:after="0" w:line="360" w:lineRule="auto"/>
        <w:ind w:right="-568"/>
        <w:jc w:val="both"/>
        <w:rPr>
          <w:rFonts w:ascii="Times New Roman" w:hAnsi="Times New Roman" w:cs="Times New Roman"/>
          <w:sz w:val="24"/>
          <w:szCs w:val="24"/>
        </w:rPr>
      </w:pPr>
      <w:r>
        <w:rPr>
          <w:rFonts w:ascii="Times New Roman" w:hAnsi="Times New Roman" w:cs="Times New Roman"/>
          <w:sz w:val="24"/>
          <w:szCs w:val="24"/>
        </w:rPr>
        <w:tab/>
        <w:t>Ou seja, em contratos de arrendamento em que há a combinação de serviço e do bem a ser arrendado, o valor do serviço precisa ser reconhecido conforme a IFRS 16.</w:t>
      </w:r>
    </w:p>
    <w:p w:rsidR="00344A69" w:rsidRPr="00E373F4" w:rsidRDefault="00E373F4" w:rsidP="00E373F4">
      <w:pPr>
        <w:spacing w:line="360" w:lineRule="auto"/>
        <w:ind w:right="-568"/>
        <w:jc w:val="both"/>
        <w:rPr>
          <w:rFonts w:ascii="Times New Roman" w:hAnsi="Times New Roman" w:cs="Times New Roman"/>
          <w:sz w:val="24"/>
          <w:szCs w:val="24"/>
        </w:rPr>
      </w:pPr>
      <w:r>
        <w:rPr>
          <w:rFonts w:ascii="Times New Roman" w:hAnsi="Times New Roman" w:cs="Times New Roman"/>
          <w:b/>
          <w:sz w:val="28"/>
          <w:szCs w:val="28"/>
        </w:rPr>
        <w:tab/>
      </w:r>
      <w:r w:rsidRPr="00E373F4">
        <w:rPr>
          <w:rFonts w:ascii="Times New Roman" w:hAnsi="Times New Roman" w:cs="Times New Roman"/>
          <w:sz w:val="24"/>
          <w:szCs w:val="24"/>
        </w:rPr>
        <w:t xml:space="preserve">Além dessa exceção, </w:t>
      </w:r>
      <w:r>
        <w:rPr>
          <w:rFonts w:ascii="Times New Roman" w:hAnsi="Times New Roman" w:cs="Times New Roman"/>
          <w:sz w:val="24"/>
          <w:szCs w:val="24"/>
        </w:rPr>
        <w:t xml:space="preserve">a norma “não exige que uma empresa reconheça ativos e passivos para (a) arrendamentos de curto prazo e, (b) arrendamentos de ativos de baixo valor, como por exemplo, um arrendamento de computador </w:t>
      </w:r>
      <w:r w:rsidR="00544F1E">
        <w:rPr>
          <w:rFonts w:ascii="Times New Roman" w:hAnsi="Times New Roman" w:cs="Times New Roman"/>
          <w:sz w:val="24"/>
          <w:szCs w:val="24"/>
        </w:rPr>
        <w:t>pessoal”.</w:t>
      </w:r>
      <w:r w:rsidR="0067021F" w:rsidRPr="0067021F">
        <w:rPr>
          <w:rFonts w:ascii="Times New Roman" w:hAnsi="Times New Roman" w:cs="Times New Roman"/>
          <w:sz w:val="24"/>
          <w:szCs w:val="24"/>
        </w:rPr>
        <w:t xml:space="preserve"> </w:t>
      </w:r>
      <w:r w:rsidR="0067021F">
        <w:rPr>
          <w:rFonts w:ascii="Times New Roman" w:hAnsi="Times New Roman" w:cs="Times New Roman"/>
          <w:sz w:val="24"/>
          <w:szCs w:val="24"/>
        </w:rPr>
        <w:t>(IFRS 16, 2016).</w:t>
      </w:r>
    </w:p>
    <w:p w:rsidR="00E373F4" w:rsidRPr="00F36E62" w:rsidRDefault="00E373F4" w:rsidP="00E95C6F">
      <w:pPr>
        <w:ind w:right="-568"/>
        <w:jc w:val="both"/>
        <w:rPr>
          <w:rFonts w:ascii="Times New Roman" w:hAnsi="Times New Roman" w:cs="Times New Roman"/>
          <w:b/>
          <w:sz w:val="28"/>
          <w:szCs w:val="28"/>
        </w:rPr>
      </w:pPr>
    </w:p>
    <w:p w:rsidR="00CA22F1" w:rsidRDefault="00CA22F1" w:rsidP="00E95C6F">
      <w:pPr>
        <w:ind w:right="-568"/>
        <w:jc w:val="both"/>
        <w:rPr>
          <w:rFonts w:ascii="Times New Roman" w:hAnsi="Times New Roman" w:cs="Times New Roman"/>
          <w:b/>
          <w:sz w:val="28"/>
          <w:szCs w:val="28"/>
        </w:rPr>
      </w:pPr>
    </w:p>
    <w:p w:rsidR="00CA22F1" w:rsidRDefault="00CA22F1" w:rsidP="00E95C6F">
      <w:pPr>
        <w:ind w:right="-568"/>
        <w:jc w:val="both"/>
        <w:rPr>
          <w:rFonts w:ascii="Times New Roman" w:hAnsi="Times New Roman" w:cs="Times New Roman"/>
          <w:b/>
          <w:sz w:val="28"/>
          <w:szCs w:val="28"/>
        </w:rPr>
      </w:pPr>
    </w:p>
    <w:p w:rsidR="0083341D" w:rsidRPr="00F36E62" w:rsidRDefault="0083341D" w:rsidP="00E95C6F">
      <w:pPr>
        <w:ind w:right="-568"/>
        <w:jc w:val="both"/>
        <w:rPr>
          <w:rFonts w:ascii="Times New Roman" w:hAnsi="Times New Roman" w:cs="Times New Roman"/>
          <w:b/>
          <w:sz w:val="28"/>
          <w:szCs w:val="28"/>
        </w:rPr>
      </w:pPr>
      <w:proofErr w:type="gramStart"/>
      <w:r w:rsidRPr="00F36E62">
        <w:rPr>
          <w:rFonts w:ascii="Times New Roman" w:hAnsi="Times New Roman" w:cs="Times New Roman"/>
          <w:b/>
          <w:sz w:val="28"/>
          <w:szCs w:val="28"/>
        </w:rPr>
        <w:t>3 METODOLOGIA</w:t>
      </w:r>
      <w:proofErr w:type="gramEnd"/>
    </w:p>
    <w:p w:rsidR="00166533" w:rsidRPr="00F36E62" w:rsidRDefault="00166533" w:rsidP="00166533">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t>A presente pesquisa caracteriza-se como sendo estritamente bibliográfica, pois tem como objetivo descrever as principais mudanç</w:t>
      </w:r>
      <w:r w:rsidR="00D56680" w:rsidRPr="00F36E62">
        <w:rPr>
          <w:rFonts w:ascii="Times New Roman" w:hAnsi="Times New Roman" w:cs="Times New Roman"/>
          <w:sz w:val="24"/>
          <w:szCs w:val="24"/>
        </w:rPr>
        <w:t>as que virão com a nova norma</w:t>
      </w:r>
      <w:r w:rsidRPr="00F36E62">
        <w:rPr>
          <w:rFonts w:ascii="Times New Roman" w:hAnsi="Times New Roman" w:cs="Times New Roman"/>
          <w:sz w:val="24"/>
          <w:szCs w:val="24"/>
        </w:rPr>
        <w:t xml:space="preserve"> IFRS 16. A base de pesquisa do trabalho foi, principalmente, o CPC 06, a IFRS 16 e a IAS 17, porém, foram </w:t>
      </w:r>
      <w:r w:rsidR="008C7755" w:rsidRPr="00F36E62">
        <w:rPr>
          <w:rFonts w:ascii="Times New Roman" w:hAnsi="Times New Roman" w:cs="Times New Roman"/>
          <w:sz w:val="24"/>
          <w:szCs w:val="24"/>
        </w:rPr>
        <w:t>utilizadas</w:t>
      </w:r>
      <w:r w:rsidR="00AF7D3C">
        <w:rPr>
          <w:rFonts w:ascii="Times New Roman" w:hAnsi="Times New Roman" w:cs="Times New Roman"/>
          <w:sz w:val="24"/>
          <w:szCs w:val="24"/>
        </w:rPr>
        <w:t xml:space="preserve"> consultas em</w:t>
      </w:r>
      <w:r w:rsidR="008C7755" w:rsidRPr="00F36E62">
        <w:rPr>
          <w:rFonts w:ascii="Times New Roman" w:hAnsi="Times New Roman" w:cs="Times New Roman"/>
          <w:sz w:val="24"/>
          <w:szCs w:val="24"/>
        </w:rPr>
        <w:t xml:space="preserve"> </w:t>
      </w:r>
      <w:r w:rsidRPr="00F36E62">
        <w:rPr>
          <w:rFonts w:ascii="Times New Roman" w:hAnsi="Times New Roman" w:cs="Times New Roman"/>
          <w:sz w:val="24"/>
          <w:szCs w:val="24"/>
        </w:rPr>
        <w:t>informações e análises efetuadas pela</w:t>
      </w:r>
      <w:r w:rsidR="008C7755" w:rsidRPr="00F36E62">
        <w:rPr>
          <w:rFonts w:ascii="Times New Roman" w:hAnsi="Times New Roman" w:cs="Times New Roman"/>
          <w:sz w:val="24"/>
          <w:szCs w:val="24"/>
        </w:rPr>
        <w:t>s empresas</w:t>
      </w:r>
      <w:r w:rsidRPr="00F36E62">
        <w:rPr>
          <w:rFonts w:ascii="Times New Roman" w:hAnsi="Times New Roman" w:cs="Times New Roman"/>
          <w:sz w:val="24"/>
          <w:szCs w:val="24"/>
        </w:rPr>
        <w:t xml:space="preserve"> KPMG Auditores Indepe</w:t>
      </w:r>
      <w:r w:rsidR="00026E37" w:rsidRPr="00F36E62">
        <w:rPr>
          <w:rFonts w:ascii="Times New Roman" w:hAnsi="Times New Roman" w:cs="Times New Roman"/>
          <w:sz w:val="24"/>
          <w:szCs w:val="24"/>
        </w:rPr>
        <w:t>ndentes e Ern</w:t>
      </w:r>
      <w:r w:rsidR="008C7755" w:rsidRPr="00F36E62">
        <w:rPr>
          <w:rFonts w:ascii="Times New Roman" w:hAnsi="Times New Roman" w:cs="Times New Roman"/>
          <w:sz w:val="24"/>
          <w:szCs w:val="24"/>
        </w:rPr>
        <w:t>st Young</w:t>
      </w:r>
      <w:r w:rsidR="006114BD" w:rsidRPr="00F36E62">
        <w:rPr>
          <w:rFonts w:ascii="Times New Roman" w:hAnsi="Times New Roman" w:cs="Times New Roman"/>
          <w:sz w:val="24"/>
          <w:szCs w:val="24"/>
        </w:rPr>
        <w:t xml:space="preserve"> Global </w:t>
      </w:r>
      <w:proofErr w:type="spellStart"/>
      <w:r w:rsidR="006114BD" w:rsidRPr="00F36E62">
        <w:rPr>
          <w:rFonts w:ascii="Times New Roman" w:hAnsi="Times New Roman" w:cs="Times New Roman"/>
          <w:sz w:val="24"/>
          <w:szCs w:val="24"/>
        </w:rPr>
        <w:t>Limited</w:t>
      </w:r>
      <w:proofErr w:type="spellEnd"/>
      <w:r w:rsidR="00673409">
        <w:rPr>
          <w:rFonts w:ascii="Times New Roman" w:hAnsi="Times New Roman" w:cs="Times New Roman"/>
          <w:sz w:val="24"/>
          <w:szCs w:val="24"/>
        </w:rPr>
        <w:t>, empresas</w:t>
      </w:r>
      <w:r w:rsidRPr="00F36E62">
        <w:rPr>
          <w:rFonts w:ascii="Times New Roman" w:hAnsi="Times New Roman" w:cs="Times New Roman"/>
          <w:sz w:val="24"/>
          <w:szCs w:val="24"/>
        </w:rPr>
        <w:t xml:space="preserve"> de auditoria ex</w:t>
      </w:r>
      <w:r w:rsidR="00673409">
        <w:rPr>
          <w:rFonts w:ascii="Times New Roman" w:hAnsi="Times New Roman" w:cs="Times New Roman"/>
          <w:sz w:val="24"/>
          <w:szCs w:val="24"/>
        </w:rPr>
        <w:t>terna que publicam materiais referente à</w:t>
      </w:r>
      <w:r w:rsidR="00E56E29">
        <w:rPr>
          <w:rFonts w:ascii="Times New Roman" w:hAnsi="Times New Roman" w:cs="Times New Roman"/>
          <w:sz w:val="24"/>
          <w:szCs w:val="24"/>
        </w:rPr>
        <w:t>s</w:t>
      </w:r>
      <w:r w:rsidR="00673409">
        <w:rPr>
          <w:rFonts w:ascii="Times New Roman" w:hAnsi="Times New Roman" w:cs="Times New Roman"/>
          <w:sz w:val="24"/>
          <w:szCs w:val="24"/>
        </w:rPr>
        <w:t xml:space="preserve"> atualizações das normas contábeis.</w:t>
      </w:r>
    </w:p>
    <w:p w:rsidR="0083341D" w:rsidRPr="00F36E62" w:rsidRDefault="00166533" w:rsidP="00166533">
      <w:pPr>
        <w:autoSpaceDE w:val="0"/>
        <w:autoSpaceDN w:val="0"/>
        <w:adjustRightInd w:val="0"/>
        <w:spacing w:after="0" w:line="36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ab/>
        <w:t>A pesquisa não utilizou informações de população e amostra, pois foi realizada exclusivamente através de pesquisa bibliográfica. Segundo Vergara, pesquisa de amostra, “entende-se por população não o número de habitantes de um local, mas um conjunto de elementos que possuem características que serão objeto de estudo”, desse modo, não houve informações amostrais nesta pesquisa. Já quanto à coleta de dados, tratando-se de pesquisa bibliográfica, de acordo com Vergara, refere-se “quando a coleta de dados é feita na literatura que, direta ou indiretamente, trata do assunto: livros, artigos, anais de congresso, teses, dissertações, jornais, Internet”. (VERGARA, 2013, p. 45 e 54).</w:t>
      </w:r>
    </w:p>
    <w:p w:rsidR="0083341D" w:rsidRPr="00F36E62" w:rsidRDefault="0083341D" w:rsidP="00E95C6F">
      <w:pPr>
        <w:ind w:right="-568"/>
        <w:jc w:val="both"/>
        <w:rPr>
          <w:rFonts w:ascii="Times New Roman" w:hAnsi="Times New Roman" w:cs="Times New Roman"/>
        </w:rPr>
      </w:pPr>
    </w:p>
    <w:p w:rsidR="009A1756" w:rsidRDefault="009A1756" w:rsidP="00E95C6F">
      <w:pPr>
        <w:ind w:right="-568"/>
        <w:jc w:val="both"/>
        <w:rPr>
          <w:rFonts w:ascii="Times New Roman" w:hAnsi="Times New Roman" w:cs="Times New Roman"/>
        </w:rPr>
      </w:pPr>
    </w:p>
    <w:p w:rsidR="00FC6140" w:rsidRPr="00F36E62" w:rsidRDefault="00FC6140" w:rsidP="00E95C6F">
      <w:pPr>
        <w:ind w:right="-568"/>
        <w:jc w:val="both"/>
        <w:rPr>
          <w:rFonts w:ascii="Times New Roman" w:hAnsi="Times New Roman" w:cs="Times New Roman"/>
        </w:rPr>
      </w:pPr>
    </w:p>
    <w:p w:rsidR="0083341D" w:rsidRPr="00F36E62" w:rsidRDefault="009D20B4" w:rsidP="00E95C6F">
      <w:pPr>
        <w:ind w:right="-568"/>
        <w:jc w:val="both"/>
        <w:rPr>
          <w:rFonts w:ascii="Times New Roman" w:hAnsi="Times New Roman" w:cs="Times New Roman"/>
          <w:b/>
          <w:sz w:val="28"/>
          <w:szCs w:val="28"/>
        </w:rPr>
      </w:pPr>
      <w:r>
        <w:rPr>
          <w:rFonts w:ascii="Times New Roman" w:hAnsi="Times New Roman" w:cs="Times New Roman"/>
          <w:b/>
          <w:sz w:val="28"/>
          <w:szCs w:val="28"/>
        </w:rPr>
        <w:t>4</w:t>
      </w:r>
      <w:r w:rsidR="0083341D" w:rsidRPr="00F36E62">
        <w:rPr>
          <w:rFonts w:ascii="Times New Roman" w:hAnsi="Times New Roman" w:cs="Times New Roman"/>
          <w:b/>
          <w:sz w:val="28"/>
          <w:szCs w:val="28"/>
        </w:rPr>
        <w:t xml:space="preserve"> </w:t>
      </w:r>
      <w:r w:rsidR="00717C8A" w:rsidRPr="00F36E62">
        <w:rPr>
          <w:rFonts w:ascii="Times New Roman" w:hAnsi="Times New Roman" w:cs="Times New Roman"/>
          <w:b/>
          <w:sz w:val="28"/>
          <w:szCs w:val="28"/>
        </w:rPr>
        <w:t>CONSIDERAÇÕES FINAIS</w:t>
      </w:r>
    </w:p>
    <w:p w:rsidR="00261448" w:rsidRDefault="009D20B4" w:rsidP="00261448">
      <w:pPr>
        <w:spacing w:line="360" w:lineRule="auto"/>
        <w:ind w:right="-568"/>
        <w:jc w:val="both"/>
        <w:rPr>
          <w:rFonts w:ascii="Times New Roman" w:hAnsi="Times New Roman" w:cs="Times New Roman"/>
          <w:sz w:val="24"/>
          <w:szCs w:val="24"/>
        </w:rPr>
      </w:pPr>
      <w:r w:rsidRPr="009D20B4">
        <w:rPr>
          <w:rFonts w:ascii="Times New Roman" w:hAnsi="Times New Roman" w:cs="Times New Roman"/>
        </w:rPr>
        <w:tab/>
      </w:r>
      <w:r w:rsidRPr="009D20B4">
        <w:rPr>
          <w:rFonts w:ascii="Times New Roman" w:hAnsi="Times New Roman" w:cs="Times New Roman"/>
          <w:sz w:val="24"/>
          <w:szCs w:val="24"/>
        </w:rPr>
        <w:t>A partir da realização desta pesquisa, conclui-se que a norma IFRS 16 – em substituição à IAS 17 – exigirá que as companhias que possuem operações de arrendamento mercantil adotem a norma (</w:t>
      </w:r>
      <w:r>
        <w:rPr>
          <w:rFonts w:ascii="Times New Roman" w:hAnsi="Times New Roman" w:cs="Times New Roman"/>
          <w:sz w:val="24"/>
          <w:szCs w:val="24"/>
        </w:rPr>
        <w:t xml:space="preserve">no caso de </w:t>
      </w:r>
      <w:r w:rsidRPr="009D20B4">
        <w:rPr>
          <w:rFonts w:ascii="Times New Roman" w:hAnsi="Times New Roman" w:cs="Times New Roman"/>
          <w:sz w:val="24"/>
          <w:szCs w:val="24"/>
        </w:rPr>
        <w:t>arrendatários), reconheçam suas operações nos ativos e passivos,</w:t>
      </w:r>
      <w:r>
        <w:rPr>
          <w:rFonts w:ascii="Times New Roman" w:hAnsi="Times New Roman" w:cs="Times New Roman"/>
          <w:sz w:val="24"/>
          <w:szCs w:val="24"/>
        </w:rPr>
        <w:t xml:space="preserve"> para que suas demonstrações melhorem substancialmente as informações fornecidas para todos os seus usuários, sejam eles, investidore</w:t>
      </w:r>
      <w:r w:rsidR="00261448">
        <w:rPr>
          <w:rFonts w:ascii="Times New Roman" w:hAnsi="Times New Roman" w:cs="Times New Roman"/>
          <w:sz w:val="24"/>
          <w:szCs w:val="24"/>
        </w:rPr>
        <w:t>s, fornecedores, clientes, etc. Além disso, a adoção da norma melhorará a comparabilidade entre as empresas com operações de leasing e as informações serão fornecidas com mais transparência pelos arrendatários. Entretanto, as companhias terão que identificar todos os contratos e informações de arrendamentos, efetuar cál</w:t>
      </w:r>
      <w:r w:rsidR="0003683D">
        <w:rPr>
          <w:rFonts w:ascii="Times New Roman" w:hAnsi="Times New Roman" w:cs="Times New Roman"/>
          <w:sz w:val="24"/>
          <w:szCs w:val="24"/>
        </w:rPr>
        <w:t>culos de estimativas relacionado</w:t>
      </w:r>
      <w:r w:rsidR="00261448">
        <w:rPr>
          <w:rFonts w:ascii="Times New Roman" w:hAnsi="Times New Roman" w:cs="Times New Roman"/>
          <w:sz w:val="24"/>
          <w:szCs w:val="24"/>
        </w:rPr>
        <w:t>s à mensuração e classificação dess</w:t>
      </w:r>
      <w:r w:rsidR="0003683D">
        <w:rPr>
          <w:rFonts w:ascii="Times New Roman" w:hAnsi="Times New Roman" w:cs="Times New Roman"/>
          <w:sz w:val="24"/>
          <w:szCs w:val="24"/>
        </w:rPr>
        <w:t xml:space="preserve">as operações envolvendo juros e </w:t>
      </w:r>
      <w:r w:rsidR="00261448">
        <w:rPr>
          <w:rFonts w:ascii="Times New Roman" w:hAnsi="Times New Roman" w:cs="Times New Roman"/>
          <w:sz w:val="24"/>
          <w:szCs w:val="24"/>
        </w:rPr>
        <w:t xml:space="preserve">depreciação/amortização, que trará efeitos no resultado (despesas operacionais e </w:t>
      </w:r>
      <w:r w:rsidR="00261448">
        <w:rPr>
          <w:rFonts w:ascii="Times New Roman" w:hAnsi="Times New Roman" w:cs="Times New Roman"/>
          <w:sz w:val="24"/>
          <w:szCs w:val="24"/>
        </w:rPr>
        <w:lastRenderedPageBreak/>
        <w:t>financeiras), além de impactos nos indicadores financeiros, como o</w:t>
      </w:r>
      <w:r w:rsidR="0003683D">
        <w:rPr>
          <w:rFonts w:ascii="Times New Roman" w:hAnsi="Times New Roman" w:cs="Times New Roman"/>
          <w:sz w:val="24"/>
          <w:szCs w:val="24"/>
        </w:rPr>
        <w:t xml:space="preserve"> EBITDA e o fluxo de caixa; e também, as empresas terão de avaliar seus procedimentos de controle interno relacionados c</w:t>
      </w:r>
      <w:r w:rsidR="00A7486D">
        <w:rPr>
          <w:rFonts w:ascii="Times New Roman" w:hAnsi="Times New Roman" w:cs="Times New Roman"/>
          <w:sz w:val="24"/>
          <w:szCs w:val="24"/>
        </w:rPr>
        <w:t>om as operações de arrendamento.</w:t>
      </w:r>
      <w:r w:rsidR="00261448">
        <w:rPr>
          <w:rFonts w:ascii="Times New Roman" w:hAnsi="Times New Roman" w:cs="Times New Roman"/>
          <w:sz w:val="24"/>
          <w:szCs w:val="24"/>
        </w:rPr>
        <w:t xml:space="preserve"> Cabe ressaltar que a norma não trará mudanças para os arrendadores, somente para os arrendatários.</w:t>
      </w:r>
    </w:p>
    <w:p w:rsidR="00261448" w:rsidRPr="00F36E62" w:rsidRDefault="00261448" w:rsidP="00261448">
      <w:pPr>
        <w:autoSpaceDE w:val="0"/>
        <w:autoSpaceDN w:val="0"/>
        <w:adjustRightInd w:val="0"/>
        <w:spacing w:after="0" w:line="360" w:lineRule="auto"/>
        <w:ind w:right="-568"/>
        <w:jc w:val="both"/>
        <w:rPr>
          <w:rFonts w:ascii="Times New Roman" w:hAnsi="Times New Roman" w:cs="Times New Roman"/>
          <w:sz w:val="24"/>
          <w:szCs w:val="24"/>
        </w:rPr>
      </w:pPr>
    </w:p>
    <w:p w:rsidR="00A7486D" w:rsidRPr="00224A0D" w:rsidRDefault="00A7486D" w:rsidP="00224A0D">
      <w:pPr>
        <w:spacing w:line="360" w:lineRule="auto"/>
        <w:ind w:right="-568"/>
        <w:jc w:val="both"/>
        <w:rPr>
          <w:rFonts w:ascii="Times New Roman" w:hAnsi="Times New Roman" w:cs="Times New Roman"/>
          <w:sz w:val="24"/>
          <w:szCs w:val="24"/>
        </w:rPr>
      </w:pPr>
    </w:p>
    <w:p w:rsidR="0083341D" w:rsidRPr="00F36E62" w:rsidRDefault="0083341D" w:rsidP="00E95C6F">
      <w:pPr>
        <w:ind w:right="-568"/>
        <w:jc w:val="both"/>
        <w:rPr>
          <w:rFonts w:ascii="Times New Roman" w:hAnsi="Times New Roman" w:cs="Times New Roman"/>
          <w:b/>
          <w:sz w:val="28"/>
          <w:szCs w:val="28"/>
        </w:rPr>
      </w:pPr>
      <w:r w:rsidRPr="00F36E62">
        <w:rPr>
          <w:rFonts w:ascii="Times New Roman" w:hAnsi="Times New Roman" w:cs="Times New Roman"/>
          <w:b/>
          <w:sz w:val="28"/>
          <w:szCs w:val="28"/>
        </w:rPr>
        <w:t>REFERÊNCIAS</w:t>
      </w:r>
    </w:p>
    <w:p w:rsidR="00012223" w:rsidRPr="00F36E62" w:rsidRDefault="00012223" w:rsidP="00A7486D">
      <w:pPr>
        <w:spacing w:line="24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 xml:space="preserve">BRASIL. Lei nº 6.099, </w:t>
      </w:r>
      <w:r w:rsidR="00FC419B" w:rsidRPr="00F36E62">
        <w:rPr>
          <w:rFonts w:ascii="Times New Roman" w:hAnsi="Times New Roman" w:cs="Times New Roman"/>
          <w:sz w:val="24"/>
          <w:szCs w:val="24"/>
        </w:rPr>
        <w:t>de 12 de setembro de 1974:</w:t>
      </w:r>
      <w:r w:rsidR="008A47FC" w:rsidRPr="00F36E62">
        <w:rPr>
          <w:rFonts w:ascii="Times New Roman" w:hAnsi="Times New Roman" w:cs="Times New Roman"/>
          <w:sz w:val="24"/>
          <w:szCs w:val="24"/>
        </w:rPr>
        <w:t xml:space="preserve"> D</w:t>
      </w:r>
      <w:r w:rsidRPr="00F36E62">
        <w:rPr>
          <w:rFonts w:ascii="Times New Roman" w:hAnsi="Times New Roman" w:cs="Times New Roman"/>
          <w:sz w:val="24"/>
          <w:szCs w:val="24"/>
        </w:rPr>
        <w:t>ispõe sobre o tratamento tributário de arrendamento merc</w:t>
      </w:r>
      <w:r w:rsidR="008A47FC" w:rsidRPr="00F36E62">
        <w:rPr>
          <w:rFonts w:ascii="Times New Roman" w:hAnsi="Times New Roman" w:cs="Times New Roman"/>
          <w:sz w:val="24"/>
          <w:szCs w:val="24"/>
        </w:rPr>
        <w:t>antil, e dá outras providências.</w:t>
      </w:r>
      <w:r w:rsidRPr="00F36E62">
        <w:rPr>
          <w:rFonts w:ascii="Times New Roman" w:hAnsi="Times New Roman" w:cs="Times New Roman"/>
          <w:sz w:val="24"/>
          <w:szCs w:val="24"/>
        </w:rPr>
        <w:t xml:space="preserve"> Brasília, DF, de 12 de setembro de 1974. Disponível em: &lt; </w:t>
      </w:r>
      <w:hyperlink r:id="rId6" w:history="1">
        <w:r w:rsidRPr="00F36E62">
          <w:rPr>
            <w:rStyle w:val="Hyperlink"/>
            <w:rFonts w:ascii="Times New Roman" w:hAnsi="Times New Roman" w:cs="Times New Roman"/>
            <w:sz w:val="24"/>
            <w:szCs w:val="24"/>
          </w:rPr>
          <w:t>http://www.planalto.gov.br/ccivil_03/LEIS/L6099.htm</w:t>
        </w:r>
      </w:hyperlink>
      <w:r w:rsidRPr="00F36E62">
        <w:rPr>
          <w:rFonts w:ascii="Times New Roman" w:hAnsi="Times New Roman" w:cs="Times New Roman"/>
          <w:sz w:val="24"/>
          <w:szCs w:val="24"/>
        </w:rPr>
        <w:t>&gt;. Acesso em 21 set. 2018.</w:t>
      </w:r>
    </w:p>
    <w:p w:rsidR="00A62F88" w:rsidRPr="00F36E62" w:rsidRDefault="00A62F88" w:rsidP="00E95C6F">
      <w:pPr>
        <w:ind w:right="-568"/>
        <w:jc w:val="both"/>
        <w:rPr>
          <w:rFonts w:ascii="Times New Roman" w:hAnsi="Times New Roman" w:cs="Times New Roman"/>
          <w:sz w:val="24"/>
          <w:szCs w:val="24"/>
        </w:rPr>
      </w:pPr>
    </w:p>
    <w:p w:rsidR="005176DF" w:rsidRPr="00F36E62" w:rsidRDefault="00A62F88" w:rsidP="00A7486D">
      <w:pPr>
        <w:spacing w:line="24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 xml:space="preserve">BANCO CENTRAL DO BRASIL. </w:t>
      </w:r>
      <w:r w:rsidRPr="00F36E62">
        <w:rPr>
          <w:rFonts w:ascii="Times New Roman" w:hAnsi="Times New Roman" w:cs="Times New Roman"/>
          <w:b/>
          <w:sz w:val="24"/>
          <w:szCs w:val="24"/>
        </w:rPr>
        <w:t>Diagnóstico da Convergência às Normas Internacionais IAS 17 Leasing.</w:t>
      </w:r>
      <w:r w:rsidRPr="00F36E62">
        <w:rPr>
          <w:rFonts w:ascii="Times New Roman" w:hAnsi="Times New Roman" w:cs="Times New Roman"/>
          <w:sz w:val="24"/>
          <w:szCs w:val="24"/>
        </w:rPr>
        <w:t xml:space="preserve"> Disponível em: </w:t>
      </w:r>
      <w:r w:rsidR="00A91CDC" w:rsidRPr="00F36E62">
        <w:rPr>
          <w:rFonts w:ascii="Times New Roman" w:hAnsi="Times New Roman" w:cs="Times New Roman"/>
          <w:sz w:val="24"/>
          <w:szCs w:val="24"/>
        </w:rPr>
        <w:t>&lt;</w:t>
      </w:r>
      <w:hyperlink r:id="rId7" w:history="1">
        <w:r w:rsidRPr="00F36E62">
          <w:rPr>
            <w:rStyle w:val="Hyperlink"/>
            <w:rFonts w:ascii="Times New Roman" w:hAnsi="Times New Roman" w:cs="Times New Roman"/>
            <w:sz w:val="24"/>
            <w:szCs w:val="24"/>
          </w:rPr>
          <w:t>https://www.bcb.gov.br/nor/convergencia/IAS_17_%20Arrendamento_Mercantil.pdf</w:t>
        </w:r>
      </w:hyperlink>
      <w:r w:rsidR="00A91CDC" w:rsidRPr="00F36E62">
        <w:rPr>
          <w:rFonts w:ascii="Times New Roman" w:hAnsi="Times New Roman" w:cs="Times New Roman"/>
          <w:sz w:val="24"/>
          <w:szCs w:val="24"/>
        </w:rPr>
        <w:t>&gt;.</w:t>
      </w:r>
      <w:r w:rsidRPr="00F36E62">
        <w:rPr>
          <w:rFonts w:ascii="Times New Roman" w:hAnsi="Times New Roman" w:cs="Times New Roman"/>
          <w:sz w:val="24"/>
          <w:szCs w:val="24"/>
        </w:rPr>
        <w:t xml:space="preserve"> Acesso em 13 out. 2018.</w:t>
      </w:r>
    </w:p>
    <w:p w:rsidR="00A62F88" w:rsidRPr="00F36E62" w:rsidRDefault="00A62F88" w:rsidP="00E95C6F">
      <w:pPr>
        <w:ind w:right="-568"/>
        <w:jc w:val="both"/>
        <w:rPr>
          <w:rFonts w:ascii="Times New Roman" w:hAnsi="Times New Roman" w:cs="Times New Roman"/>
          <w:sz w:val="24"/>
          <w:szCs w:val="24"/>
        </w:rPr>
      </w:pPr>
    </w:p>
    <w:p w:rsidR="00D06801" w:rsidRPr="00F36E62" w:rsidRDefault="005176DF" w:rsidP="00A7486D">
      <w:pPr>
        <w:spacing w:line="24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CONSELHO FEDERAL DE CONTABILIDADE. Pronunciamento Técnico CPC (R1) – Operações de Arrendamento Mercantil. Disponível em: &lt;</w:t>
      </w:r>
      <w:hyperlink r:id="rId8" w:history="1">
        <w:r w:rsidRPr="00F36E62">
          <w:rPr>
            <w:rStyle w:val="Hyperlink"/>
            <w:rFonts w:ascii="Times New Roman" w:hAnsi="Times New Roman" w:cs="Times New Roman"/>
            <w:sz w:val="24"/>
            <w:szCs w:val="24"/>
          </w:rPr>
          <w:t>http://static.cpc.aatb.com.br/Documentos/163_CPC_06_R1_rev%2008.pdf</w:t>
        </w:r>
      </w:hyperlink>
      <w:r w:rsidRPr="00F36E62">
        <w:rPr>
          <w:rFonts w:ascii="Times New Roman" w:hAnsi="Times New Roman" w:cs="Times New Roman"/>
          <w:sz w:val="24"/>
          <w:szCs w:val="24"/>
        </w:rPr>
        <w:t>&gt;. Acesso em: 21 set. 2018.</w:t>
      </w:r>
    </w:p>
    <w:p w:rsidR="005176DF" w:rsidRPr="00F36E62" w:rsidRDefault="005176DF" w:rsidP="005176DF">
      <w:pPr>
        <w:ind w:right="-568"/>
        <w:jc w:val="both"/>
        <w:rPr>
          <w:rFonts w:ascii="Times New Roman" w:hAnsi="Times New Roman" w:cs="Times New Roman"/>
          <w:sz w:val="24"/>
          <w:szCs w:val="24"/>
        </w:rPr>
      </w:pPr>
    </w:p>
    <w:p w:rsidR="005D154F" w:rsidRPr="00F36E62" w:rsidRDefault="005D154F" w:rsidP="00A7486D">
      <w:pPr>
        <w:spacing w:line="24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 xml:space="preserve">CONSELHO FEDERAL DE CONTABILIDADE. Pronunciamento Técnico CPC (R2) – Operações de Arrendamento Mercantil. Disponível em: &lt; </w:t>
      </w:r>
      <w:hyperlink r:id="rId9" w:history="1">
        <w:r w:rsidRPr="00F36E62">
          <w:rPr>
            <w:rStyle w:val="Hyperlink"/>
            <w:rFonts w:ascii="Times New Roman" w:hAnsi="Times New Roman" w:cs="Times New Roman"/>
            <w:sz w:val="24"/>
            <w:szCs w:val="24"/>
          </w:rPr>
          <w:t>http://static.cpc.aatb.com.br/Documentos/533_CPC_06_(R2).pdf</w:t>
        </w:r>
      </w:hyperlink>
      <w:r w:rsidRPr="00F36E62">
        <w:rPr>
          <w:rFonts w:ascii="Times New Roman" w:hAnsi="Times New Roman" w:cs="Times New Roman"/>
          <w:sz w:val="24"/>
          <w:szCs w:val="24"/>
        </w:rPr>
        <w:t>&gt;. Acesso em: 23 set. 2018.</w:t>
      </w:r>
    </w:p>
    <w:p w:rsidR="007C0F75" w:rsidRPr="00F36E62" w:rsidRDefault="007C0F75" w:rsidP="00E95C6F">
      <w:pPr>
        <w:ind w:right="-568"/>
        <w:jc w:val="both"/>
        <w:rPr>
          <w:rStyle w:val="Hyperlink"/>
          <w:rFonts w:ascii="Times New Roman" w:hAnsi="Times New Roman" w:cs="Times New Roman"/>
          <w:sz w:val="24"/>
          <w:szCs w:val="24"/>
        </w:rPr>
      </w:pPr>
    </w:p>
    <w:p w:rsidR="00E02C14" w:rsidRPr="00F36E62" w:rsidRDefault="00E02C14" w:rsidP="00A7486D">
      <w:pPr>
        <w:autoSpaceDE w:val="0"/>
        <w:autoSpaceDN w:val="0"/>
        <w:adjustRightInd w:val="0"/>
        <w:spacing w:after="0" w:line="24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 xml:space="preserve">ERNST &amp; YOUNG. </w:t>
      </w:r>
      <w:r w:rsidRPr="00F36E62">
        <w:rPr>
          <w:rFonts w:ascii="Times New Roman" w:hAnsi="Times New Roman" w:cs="Times New Roman"/>
          <w:b/>
          <w:sz w:val="24"/>
          <w:szCs w:val="24"/>
        </w:rPr>
        <w:t>IFRS 16: A nova norma sobre arrendamento mercantil</w:t>
      </w:r>
      <w:r w:rsidRPr="00F36E62">
        <w:rPr>
          <w:rFonts w:ascii="Times New Roman" w:hAnsi="Times New Roman" w:cs="Times New Roman"/>
          <w:sz w:val="24"/>
          <w:szCs w:val="24"/>
        </w:rPr>
        <w:t>. Disponível em: &lt;</w:t>
      </w:r>
      <w:hyperlink r:id="rId10" w:history="1">
        <w:r w:rsidRPr="00F36E62">
          <w:rPr>
            <w:rStyle w:val="Hyperlink"/>
            <w:rFonts w:ascii="Times New Roman" w:hAnsi="Times New Roman" w:cs="Times New Roman"/>
            <w:sz w:val="24"/>
            <w:szCs w:val="24"/>
          </w:rPr>
          <w:t>https://www.ey.com/Publication/vwLUAssets/IFRS-16/$File/Folder-IFRS16.PDF</w:t>
        </w:r>
      </w:hyperlink>
      <w:r w:rsidRPr="00F36E62">
        <w:rPr>
          <w:rFonts w:ascii="Times New Roman" w:hAnsi="Times New Roman" w:cs="Times New Roman"/>
          <w:sz w:val="24"/>
          <w:szCs w:val="24"/>
        </w:rPr>
        <w:t>&gt;. Acesso em: 01 out. 2018.</w:t>
      </w:r>
    </w:p>
    <w:p w:rsidR="00E02C14" w:rsidRPr="00F36E62" w:rsidRDefault="00E02C14" w:rsidP="00E95C6F">
      <w:pPr>
        <w:ind w:right="-568"/>
        <w:jc w:val="both"/>
        <w:rPr>
          <w:rStyle w:val="Hyperlink"/>
          <w:rFonts w:ascii="Times New Roman" w:hAnsi="Times New Roman" w:cs="Times New Roman"/>
          <w:sz w:val="24"/>
          <w:szCs w:val="24"/>
        </w:rPr>
      </w:pPr>
    </w:p>
    <w:p w:rsidR="00E02C14" w:rsidRDefault="00E02C14" w:rsidP="00A7486D">
      <w:pPr>
        <w:spacing w:line="24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 xml:space="preserve">IFRS 16. </w:t>
      </w:r>
      <w:r w:rsidRPr="00F36E62">
        <w:rPr>
          <w:rFonts w:ascii="Times New Roman" w:hAnsi="Times New Roman" w:cs="Times New Roman"/>
          <w:b/>
          <w:sz w:val="24"/>
          <w:szCs w:val="24"/>
        </w:rPr>
        <w:t>Leases</w:t>
      </w:r>
      <w:r w:rsidRPr="00F36E62">
        <w:rPr>
          <w:rFonts w:ascii="Times New Roman" w:hAnsi="Times New Roman" w:cs="Times New Roman"/>
          <w:sz w:val="24"/>
          <w:szCs w:val="24"/>
        </w:rPr>
        <w:t>. Disponível em: &lt;</w:t>
      </w:r>
      <w:hyperlink r:id="rId11" w:history="1">
        <w:r w:rsidRPr="00F36E62">
          <w:rPr>
            <w:rStyle w:val="Hyperlink"/>
            <w:rFonts w:ascii="Times New Roman" w:hAnsi="Times New Roman" w:cs="Times New Roman"/>
            <w:sz w:val="24"/>
            <w:szCs w:val="24"/>
          </w:rPr>
          <w:t>https://www.ifrs.org/issued-standards/list-of-standards/ifrs-16-leases/</w:t>
        </w:r>
      </w:hyperlink>
      <w:r w:rsidRPr="00F36E62">
        <w:rPr>
          <w:rFonts w:ascii="Times New Roman" w:hAnsi="Times New Roman" w:cs="Times New Roman"/>
          <w:sz w:val="24"/>
          <w:szCs w:val="24"/>
        </w:rPr>
        <w:t>&gt;. Acesso em: 11 out. 2018.</w:t>
      </w:r>
    </w:p>
    <w:p w:rsidR="00673409" w:rsidRDefault="00673409" w:rsidP="00A7486D">
      <w:pPr>
        <w:spacing w:line="240" w:lineRule="auto"/>
        <w:ind w:right="-568"/>
        <w:jc w:val="both"/>
        <w:rPr>
          <w:rFonts w:ascii="Times New Roman" w:hAnsi="Times New Roman" w:cs="Times New Roman"/>
          <w:sz w:val="24"/>
          <w:szCs w:val="24"/>
        </w:rPr>
      </w:pPr>
    </w:p>
    <w:p w:rsidR="00673409" w:rsidRPr="00F36E62" w:rsidRDefault="00673409" w:rsidP="00673409">
      <w:pPr>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IFRS 16. Leases. Disponível em: &lt;</w:t>
      </w:r>
      <w:hyperlink r:id="rId12" w:history="1">
        <w:r w:rsidRPr="00252C4A">
          <w:rPr>
            <w:rStyle w:val="Hyperlink"/>
            <w:rFonts w:ascii="Times New Roman" w:hAnsi="Times New Roman" w:cs="Times New Roman"/>
            <w:sz w:val="24"/>
            <w:szCs w:val="24"/>
          </w:rPr>
          <w:t>https://www.ifrs.org/-/media/project/leases/ifrs/published-documents/ifrs16-project-summary.pdf</w:t>
        </w:r>
      </w:hyperlink>
      <w:r>
        <w:rPr>
          <w:rFonts w:ascii="Times New Roman" w:hAnsi="Times New Roman" w:cs="Times New Roman"/>
          <w:sz w:val="24"/>
          <w:szCs w:val="24"/>
        </w:rPr>
        <w:t>&gt;. Acesso em: 13 out. 2018.</w:t>
      </w:r>
    </w:p>
    <w:p w:rsidR="00E02C14" w:rsidRPr="00F36E62" w:rsidRDefault="00E02C14" w:rsidP="00E95C6F">
      <w:pPr>
        <w:ind w:right="-568"/>
        <w:jc w:val="both"/>
        <w:rPr>
          <w:rStyle w:val="Hyperlink"/>
          <w:rFonts w:ascii="Times New Roman" w:hAnsi="Times New Roman" w:cs="Times New Roman"/>
          <w:sz w:val="24"/>
          <w:szCs w:val="24"/>
        </w:rPr>
      </w:pPr>
    </w:p>
    <w:p w:rsidR="00740CB1" w:rsidRDefault="00740CB1" w:rsidP="00A7486D">
      <w:pPr>
        <w:autoSpaceDE w:val="0"/>
        <w:autoSpaceDN w:val="0"/>
        <w:adjustRightInd w:val="0"/>
        <w:spacing w:after="0" w:line="24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 xml:space="preserve">KPMG. </w:t>
      </w:r>
      <w:r w:rsidRPr="00F36E62">
        <w:rPr>
          <w:rFonts w:ascii="Times New Roman" w:hAnsi="Times New Roman" w:cs="Times New Roman"/>
          <w:b/>
          <w:sz w:val="24"/>
          <w:szCs w:val="24"/>
        </w:rPr>
        <w:t>IFRS em Destaque 02/2016: IFRS 16 Arrendamentos.</w:t>
      </w:r>
      <w:r w:rsidRPr="00F36E62">
        <w:rPr>
          <w:rFonts w:ascii="Times New Roman" w:hAnsi="Times New Roman" w:cs="Times New Roman"/>
          <w:sz w:val="24"/>
          <w:szCs w:val="24"/>
        </w:rPr>
        <w:t xml:space="preserve"> Um balanço mais transparente. Disponível em:  </w:t>
      </w:r>
      <w:hyperlink r:id="rId13" w:history="1">
        <w:r w:rsidRPr="00F36E62">
          <w:rPr>
            <w:rStyle w:val="Hyperlink"/>
            <w:rFonts w:ascii="Times New Roman" w:hAnsi="Times New Roman" w:cs="Times New Roman"/>
            <w:sz w:val="24"/>
            <w:szCs w:val="24"/>
          </w:rPr>
          <w:t>https://assets.kpmg.com/content/dam/kpmg/pdf/2016/04/br-ifrs-em-destaque-02-2016.pdf</w:t>
        </w:r>
      </w:hyperlink>
      <w:r w:rsidRPr="00F36E62">
        <w:rPr>
          <w:rFonts w:ascii="Times New Roman" w:hAnsi="Times New Roman" w:cs="Times New Roman"/>
        </w:rPr>
        <w:t xml:space="preserve">. </w:t>
      </w:r>
      <w:r w:rsidRPr="00F36E62">
        <w:rPr>
          <w:rFonts w:ascii="Times New Roman" w:hAnsi="Times New Roman" w:cs="Times New Roman"/>
          <w:sz w:val="24"/>
          <w:szCs w:val="24"/>
        </w:rPr>
        <w:t>Acesso em: 25</w:t>
      </w:r>
      <w:r w:rsidR="00F36E62">
        <w:rPr>
          <w:rFonts w:ascii="Times New Roman" w:hAnsi="Times New Roman" w:cs="Times New Roman"/>
          <w:sz w:val="24"/>
          <w:szCs w:val="24"/>
        </w:rPr>
        <w:t xml:space="preserve"> set. 2018.</w:t>
      </w:r>
    </w:p>
    <w:p w:rsidR="00A7486D" w:rsidRPr="00F36E62" w:rsidRDefault="00A7486D" w:rsidP="00F36E62">
      <w:pPr>
        <w:autoSpaceDE w:val="0"/>
        <w:autoSpaceDN w:val="0"/>
        <w:adjustRightInd w:val="0"/>
        <w:spacing w:after="0" w:line="360" w:lineRule="auto"/>
        <w:ind w:right="-568"/>
        <w:jc w:val="both"/>
        <w:rPr>
          <w:rFonts w:ascii="Times New Roman" w:hAnsi="Times New Roman" w:cs="Times New Roman"/>
          <w:sz w:val="24"/>
          <w:szCs w:val="24"/>
        </w:rPr>
      </w:pPr>
    </w:p>
    <w:p w:rsidR="009C5C97" w:rsidRPr="00F36E62" w:rsidRDefault="008C7755" w:rsidP="00673409">
      <w:pPr>
        <w:autoSpaceDE w:val="0"/>
        <w:autoSpaceDN w:val="0"/>
        <w:adjustRightInd w:val="0"/>
        <w:spacing w:after="0" w:line="240" w:lineRule="auto"/>
        <w:ind w:right="-568"/>
        <w:jc w:val="both"/>
        <w:rPr>
          <w:rFonts w:ascii="Times New Roman" w:hAnsi="Times New Roman" w:cs="Times New Roman"/>
          <w:sz w:val="24"/>
          <w:szCs w:val="24"/>
        </w:rPr>
      </w:pPr>
      <w:r w:rsidRPr="00F36E62">
        <w:rPr>
          <w:rFonts w:ascii="Times New Roman" w:hAnsi="Times New Roman" w:cs="Times New Roman"/>
          <w:sz w:val="24"/>
          <w:szCs w:val="24"/>
        </w:rPr>
        <w:t xml:space="preserve">VERGARA, Sylvia Constant. </w:t>
      </w:r>
      <w:r w:rsidRPr="00F36E62">
        <w:rPr>
          <w:rFonts w:ascii="Times New Roman" w:hAnsi="Times New Roman" w:cs="Times New Roman"/>
          <w:b/>
          <w:bCs/>
          <w:sz w:val="24"/>
          <w:szCs w:val="24"/>
        </w:rPr>
        <w:t xml:space="preserve">Projetos e Relatórios de Pesquisa em Administração. </w:t>
      </w:r>
      <w:r w:rsidRPr="00F36E62">
        <w:rPr>
          <w:rFonts w:ascii="Times New Roman" w:hAnsi="Times New Roman" w:cs="Times New Roman"/>
          <w:sz w:val="24"/>
          <w:szCs w:val="24"/>
        </w:rPr>
        <w:t>São Paulo: Ed. Atlas, 2013.</w:t>
      </w:r>
    </w:p>
    <w:p w:rsidR="009C5C97" w:rsidRPr="00F36E62" w:rsidRDefault="009C5C97" w:rsidP="008C7755">
      <w:pPr>
        <w:autoSpaceDE w:val="0"/>
        <w:autoSpaceDN w:val="0"/>
        <w:adjustRightInd w:val="0"/>
        <w:spacing w:after="0" w:line="360" w:lineRule="auto"/>
        <w:ind w:right="-568"/>
        <w:jc w:val="both"/>
        <w:rPr>
          <w:rFonts w:ascii="Times New Roman" w:hAnsi="Times New Roman" w:cs="Times New Roman"/>
          <w:sz w:val="24"/>
          <w:szCs w:val="24"/>
        </w:rPr>
      </w:pPr>
    </w:p>
    <w:p w:rsidR="007C0F75" w:rsidRPr="00F36E62" w:rsidRDefault="007C0F75" w:rsidP="008C7755">
      <w:pPr>
        <w:autoSpaceDE w:val="0"/>
        <w:autoSpaceDN w:val="0"/>
        <w:adjustRightInd w:val="0"/>
        <w:spacing w:after="0" w:line="360" w:lineRule="auto"/>
        <w:ind w:right="-568"/>
        <w:jc w:val="both"/>
        <w:rPr>
          <w:rFonts w:ascii="Times New Roman" w:hAnsi="Times New Roman" w:cs="Times New Roman"/>
          <w:sz w:val="24"/>
          <w:szCs w:val="24"/>
        </w:rPr>
      </w:pPr>
    </w:p>
    <w:p w:rsidR="007C0F75" w:rsidRPr="00F36E62" w:rsidRDefault="007C0F75" w:rsidP="008C7755">
      <w:pPr>
        <w:autoSpaceDE w:val="0"/>
        <w:autoSpaceDN w:val="0"/>
        <w:adjustRightInd w:val="0"/>
        <w:spacing w:after="0" w:line="360" w:lineRule="auto"/>
        <w:ind w:right="-568"/>
        <w:jc w:val="both"/>
        <w:rPr>
          <w:rFonts w:ascii="Times New Roman" w:hAnsi="Times New Roman" w:cs="Times New Roman"/>
          <w:sz w:val="24"/>
          <w:szCs w:val="24"/>
        </w:rPr>
      </w:pPr>
    </w:p>
    <w:sectPr w:rsidR="007C0F75" w:rsidRPr="00F36E62" w:rsidSect="00E24F6B">
      <w:pgSz w:w="11906" w:h="16838"/>
      <w:pgMar w:top="22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6C75"/>
    <w:multiLevelType w:val="hybridMultilevel"/>
    <w:tmpl w:val="FE84B4AA"/>
    <w:lvl w:ilvl="0" w:tplc="969089C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AF835F4"/>
    <w:multiLevelType w:val="hybridMultilevel"/>
    <w:tmpl w:val="1F381BF0"/>
    <w:lvl w:ilvl="0" w:tplc="447CD8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41D"/>
    <w:rsid w:val="00010B33"/>
    <w:rsid w:val="000115A3"/>
    <w:rsid w:val="00012223"/>
    <w:rsid w:val="00024478"/>
    <w:rsid w:val="00026E37"/>
    <w:rsid w:val="00026EB3"/>
    <w:rsid w:val="000354DB"/>
    <w:rsid w:val="0003683D"/>
    <w:rsid w:val="00073D5C"/>
    <w:rsid w:val="000F39BF"/>
    <w:rsid w:val="00114851"/>
    <w:rsid w:val="00116E42"/>
    <w:rsid w:val="00162A1B"/>
    <w:rsid w:val="00166533"/>
    <w:rsid w:val="0018346F"/>
    <w:rsid w:val="001955F0"/>
    <w:rsid w:val="001A7322"/>
    <w:rsid w:val="001B1504"/>
    <w:rsid w:val="00216001"/>
    <w:rsid w:val="002208B9"/>
    <w:rsid w:val="00224A0D"/>
    <w:rsid w:val="0022557E"/>
    <w:rsid w:val="00261448"/>
    <w:rsid w:val="0026283D"/>
    <w:rsid w:val="002839B9"/>
    <w:rsid w:val="002913E5"/>
    <w:rsid w:val="002A0FD9"/>
    <w:rsid w:val="002A4D90"/>
    <w:rsid w:val="002D584D"/>
    <w:rsid w:val="00337473"/>
    <w:rsid w:val="00344A69"/>
    <w:rsid w:val="00407C71"/>
    <w:rsid w:val="00415741"/>
    <w:rsid w:val="00437225"/>
    <w:rsid w:val="00437446"/>
    <w:rsid w:val="00463408"/>
    <w:rsid w:val="004E0351"/>
    <w:rsid w:val="004E2D8E"/>
    <w:rsid w:val="00501883"/>
    <w:rsid w:val="00513CB5"/>
    <w:rsid w:val="005176DF"/>
    <w:rsid w:val="00535BB0"/>
    <w:rsid w:val="00544F1E"/>
    <w:rsid w:val="00560641"/>
    <w:rsid w:val="00592ABA"/>
    <w:rsid w:val="005D154F"/>
    <w:rsid w:val="005D59F5"/>
    <w:rsid w:val="006078FB"/>
    <w:rsid w:val="006114BD"/>
    <w:rsid w:val="006129BE"/>
    <w:rsid w:val="00637F39"/>
    <w:rsid w:val="00660FE5"/>
    <w:rsid w:val="0067021F"/>
    <w:rsid w:val="00673409"/>
    <w:rsid w:val="006956AA"/>
    <w:rsid w:val="006A6E67"/>
    <w:rsid w:val="006B41EA"/>
    <w:rsid w:val="006C1BCC"/>
    <w:rsid w:val="006C7062"/>
    <w:rsid w:val="006D4A06"/>
    <w:rsid w:val="006D7589"/>
    <w:rsid w:val="006E2B8B"/>
    <w:rsid w:val="006E512B"/>
    <w:rsid w:val="00700DB5"/>
    <w:rsid w:val="00717C8A"/>
    <w:rsid w:val="0072327B"/>
    <w:rsid w:val="00740CB1"/>
    <w:rsid w:val="00744766"/>
    <w:rsid w:val="007C0F75"/>
    <w:rsid w:val="007E0C72"/>
    <w:rsid w:val="00804C8F"/>
    <w:rsid w:val="0083341D"/>
    <w:rsid w:val="008840BA"/>
    <w:rsid w:val="008A13AB"/>
    <w:rsid w:val="008A47FC"/>
    <w:rsid w:val="008C7755"/>
    <w:rsid w:val="008E36AB"/>
    <w:rsid w:val="00905EE0"/>
    <w:rsid w:val="00916DC7"/>
    <w:rsid w:val="0092772B"/>
    <w:rsid w:val="009536B1"/>
    <w:rsid w:val="0095725C"/>
    <w:rsid w:val="00957C39"/>
    <w:rsid w:val="00976AB5"/>
    <w:rsid w:val="00990F49"/>
    <w:rsid w:val="0099174B"/>
    <w:rsid w:val="00995440"/>
    <w:rsid w:val="009A1756"/>
    <w:rsid w:val="009A1B77"/>
    <w:rsid w:val="009B056A"/>
    <w:rsid w:val="009C5C97"/>
    <w:rsid w:val="009D20B4"/>
    <w:rsid w:val="009D794A"/>
    <w:rsid w:val="00A12D5A"/>
    <w:rsid w:val="00A23A91"/>
    <w:rsid w:val="00A30E0C"/>
    <w:rsid w:val="00A62F88"/>
    <w:rsid w:val="00A70639"/>
    <w:rsid w:val="00A7486D"/>
    <w:rsid w:val="00A86118"/>
    <w:rsid w:val="00A91CDC"/>
    <w:rsid w:val="00AA0275"/>
    <w:rsid w:val="00AB51C6"/>
    <w:rsid w:val="00AC4C6C"/>
    <w:rsid w:val="00AD0766"/>
    <w:rsid w:val="00AD1688"/>
    <w:rsid w:val="00AF7D3C"/>
    <w:rsid w:val="00B6151A"/>
    <w:rsid w:val="00B70D68"/>
    <w:rsid w:val="00B761FD"/>
    <w:rsid w:val="00BB44F6"/>
    <w:rsid w:val="00BF7493"/>
    <w:rsid w:val="00C00DFA"/>
    <w:rsid w:val="00C32870"/>
    <w:rsid w:val="00C36A3C"/>
    <w:rsid w:val="00C41275"/>
    <w:rsid w:val="00CA22F1"/>
    <w:rsid w:val="00CA34BB"/>
    <w:rsid w:val="00CC710F"/>
    <w:rsid w:val="00D06801"/>
    <w:rsid w:val="00D33473"/>
    <w:rsid w:val="00D56680"/>
    <w:rsid w:val="00D905E4"/>
    <w:rsid w:val="00DB6EEE"/>
    <w:rsid w:val="00DD1490"/>
    <w:rsid w:val="00E02C14"/>
    <w:rsid w:val="00E11D25"/>
    <w:rsid w:val="00E24F6B"/>
    <w:rsid w:val="00E373F4"/>
    <w:rsid w:val="00E421CA"/>
    <w:rsid w:val="00E450EF"/>
    <w:rsid w:val="00E565DA"/>
    <w:rsid w:val="00E56E29"/>
    <w:rsid w:val="00E67671"/>
    <w:rsid w:val="00E95C6F"/>
    <w:rsid w:val="00E97EBA"/>
    <w:rsid w:val="00EA0916"/>
    <w:rsid w:val="00EB35E9"/>
    <w:rsid w:val="00EF0029"/>
    <w:rsid w:val="00F36E62"/>
    <w:rsid w:val="00F43F52"/>
    <w:rsid w:val="00F51AEB"/>
    <w:rsid w:val="00F5284F"/>
    <w:rsid w:val="00F628D1"/>
    <w:rsid w:val="00F8440D"/>
    <w:rsid w:val="00F85F41"/>
    <w:rsid w:val="00F86F1C"/>
    <w:rsid w:val="00FB62BA"/>
    <w:rsid w:val="00FC419B"/>
    <w:rsid w:val="00FC4B17"/>
    <w:rsid w:val="00FC6140"/>
    <w:rsid w:val="00FD559F"/>
    <w:rsid w:val="00FE659C"/>
    <w:rsid w:val="00FF145D"/>
    <w:rsid w:val="00FF44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0AA68-EF9B-4EEB-901B-2BB92B07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9BE"/>
    <w:rPr>
      <w:color w:val="0563C1" w:themeColor="hyperlink"/>
      <w:u w:val="single"/>
    </w:rPr>
  </w:style>
  <w:style w:type="paragraph" w:styleId="ListParagraph">
    <w:name w:val="List Paragraph"/>
    <w:basedOn w:val="Normal"/>
    <w:uiPriority w:val="34"/>
    <w:qFormat/>
    <w:rsid w:val="00957C39"/>
    <w:pPr>
      <w:ind w:left="720"/>
      <w:contextualSpacing/>
    </w:pPr>
  </w:style>
  <w:style w:type="paragraph" w:styleId="HTMLPreformatted">
    <w:name w:val="HTML Preformatted"/>
    <w:basedOn w:val="Normal"/>
    <w:link w:val="HTMLPreformattedChar"/>
    <w:uiPriority w:val="99"/>
    <w:semiHidden/>
    <w:unhideWhenUsed/>
    <w:rsid w:val="00DB6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semiHidden/>
    <w:rsid w:val="00DB6EEE"/>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32694">
      <w:bodyDiv w:val="1"/>
      <w:marLeft w:val="0"/>
      <w:marRight w:val="0"/>
      <w:marTop w:val="0"/>
      <w:marBottom w:val="0"/>
      <w:divBdr>
        <w:top w:val="none" w:sz="0" w:space="0" w:color="auto"/>
        <w:left w:val="none" w:sz="0" w:space="0" w:color="auto"/>
        <w:bottom w:val="none" w:sz="0" w:space="0" w:color="auto"/>
        <w:right w:val="none" w:sz="0" w:space="0" w:color="auto"/>
      </w:divBdr>
    </w:div>
    <w:div w:id="1158112261">
      <w:bodyDiv w:val="1"/>
      <w:marLeft w:val="0"/>
      <w:marRight w:val="0"/>
      <w:marTop w:val="0"/>
      <w:marBottom w:val="0"/>
      <w:divBdr>
        <w:top w:val="none" w:sz="0" w:space="0" w:color="auto"/>
        <w:left w:val="none" w:sz="0" w:space="0" w:color="auto"/>
        <w:bottom w:val="none" w:sz="0" w:space="0" w:color="auto"/>
        <w:right w:val="none" w:sz="0" w:space="0" w:color="auto"/>
      </w:divBdr>
    </w:div>
    <w:div w:id="1760174463">
      <w:bodyDiv w:val="1"/>
      <w:marLeft w:val="0"/>
      <w:marRight w:val="0"/>
      <w:marTop w:val="0"/>
      <w:marBottom w:val="0"/>
      <w:divBdr>
        <w:top w:val="none" w:sz="0" w:space="0" w:color="auto"/>
        <w:left w:val="none" w:sz="0" w:space="0" w:color="auto"/>
        <w:bottom w:val="none" w:sz="0" w:space="0" w:color="auto"/>
        <w:right w:val="none" w:sz="0" w:space="0" w:color="auto"/>
      </w:divBdr>
    </w:div>
    <w:div w:id="1807232686">
      <w:bodyDiv w:val="1"/>
      <w:marLeft w:val="0"/>
      <w:marRight w:val="0"/>
      <w:marTop w:val="0"/>
      <w:marBottom w:val="0"/>
      <w:divBdr>
        <w:top w:val="none" w:sz="0" w:space="0" w:color="auto"/>
        <w:left w:val="none" w:sz="0" w:space="0" w:color="auto"/>
        <w:bottom w:val="none" w:sz="0" w:space="0" w:color="auto"/>
        <w:right w:val="none" w:sz="0" w:space="0" w:color="auto"/>
      </w:divBdr>
    </w:div>
    <w:div w:id="1959213063">
      <w:bodyDiv w:val="1"/>
      <w:marLeft w:val="0"/>
      <w:marRight w:val="0"/>
      <w:marTop w:val="0"/>
      <w:marBottom w:val="0"/>
      <w:divBdr>
        <w:top w:val="none" w:sz="0" w:space="0" w:color="auto"/>
        <w:left w:val="none" w:sz="0" w:space="0" w:color="auto"/>
        <w:bottom w:val="none" w:sz="0" w:space="0" w:color="auto"/>
        <w:right w:val="none" w:sz="0" w:space="0" w:color="auto"/>
      </w:divBdr>
    </w:div>
    <w:div w:id="206302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cpc.aatb.com.br/Documentos/163_CPC_06_R1_rev%2008.pdf" TargetMode="External"/><Relationship Id="rId13" Type="http://schemas.openxmlformats.org/officeDocument/2006/relationships/hyperlink" Target="https://assets.kpmg.com/content/dam/kpmg/pdf/2016/04/br-ifrs-em-destaque-02-2016.pdf" TargetMode="External"/><Relationship Id="rId3" Type="http://schemas.openxmlformats.org/officeDocument/2006/relationships/settings" Target="settings.xml"/><Relationship Id="rId7" Type="http://schemas.openxmlformats.org/officeDocument/2006/relationships/hyperlink" Target="https://www.bcb.gov.br/nor/convergencia/IAS_17_%20Arrendamento_Mercantil.pdf" TargetMode="External"/><Relationship Id="rId12" Type="http://schemas.openxmlformats.org/officeDocument/2006/relationships/hyperlink" Target="https://www.ifrs.org/-/media/project/leases/ifrs/published-documents/ifrs16-project-summar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6099.htm" TargetMode="External"/><Relationship Id="rId11" Type="http://schemas.openxmlformats.org/officeDocument/2006/relationships/hyperlink" Target="https://www.ifrs.org/issued-standards/list-of-standards/ifrs-16-lease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ey.com/Publication/vwLUAssets/IFRS-16/$File/Folder-IFRS16.PDF" TargetMode="External"/><Relationship Id="rId4" Type="http://schemas.openxmlformats.org/officeDocument/2006/relationships/webSettings" Target="webSettings.xml"/><Relationship Id="rId9" Type="http://schemas.openxmlformats.org/officeDocument/2006/relationships/hyperlink" Target="http://static.cpc.aatb.com.br/Documentos/533_CPC_06_(R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10</Pages>
  <Words>3050</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Casagrande, Maise F</dc:creator>
  <cp:keywords/>
  <dc:description/>
  <cp:lastModifiedBy>Casagrande, Maise F</cp:lastModifiedBy>
  <cp:revision>140</cp:revision>
  <dcterms:created xsi:type="dcterms:W3CDTF">2018-09-13T22:24:00Z</dcterms:created>
  <dcterms:modified xsi:type="dcterms:W3CDTF">2018-10-23T18:10:00Z</dcterms:modified>
</cp:coreProperties>
</file>