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93E" w:rsidRDefault="0051193E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51193E" w:rsidRDefault="00502FDF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PONTIFÍCIA UNIVERSIDADE CATÓLICA DE MINAS GERAIS</w:t>
      </w:r>
    </w:p>
    <w:p w:rsidR="0051193E" w:rsidRDefault="00502FDF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Instituto de Ciências Econômicas e Gerenciais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Curso de Ciências Econômicas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Diego </w:t>
      </w:r>
      <w:r w:rsidR="00893DCB">
        <w:rPr>
          <w:rFonts w:ascii="Arial" w:hAnsi="Arial" w:cs="Arial"/>
          <w:color w:val="000000"/>
          <w:sz w:val="24"/>
          <w:szCs w:val="24"/>
          <w:lang w:eastAsia="pt-BR"/>
        </w:rPr>
        <w:t>ge</w:t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  <w:lang w:eastAsia="pt-BR"/>
        </w:rPr>
        <w:t>Oliveira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Èrika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Karoline Martins de Queiroz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Inaldo Braz oliveira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Rafael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Winalda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Francisco Borges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Stefany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Oliveira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Victor Hugo Ferreira Roberto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ANÁLISE DOS SETUPS Itaú (ITUB4) e Gerdau (GGBR4)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Período da análise 2011-2016</w:t>
      </w:r>
    </w:p>
    <w:p w:rsidR="0051193E" w:rsidRDefault="0051193E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1193E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Belo Horizonte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2017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Diego Oliveira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Èrika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Karoline Martins de Queiroz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Inaldo Braz oliveira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Rafael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Winalda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Francisco Borges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Stefany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Oliveira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Victor Hugo Ferreira Roberto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1193E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ANÁLISE DOS SETUPS Itaú (ITUB4) e Gerdau (GGBR4)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Período da Análise 2011-2016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right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Trabalho apresentado à disciplina de Análise </w:t>
      </w:r>
    </w:p>
    <w:p w:rsidR="0051193E" w:rsidRDefault="00502FDF">
      <w:pPr>
        <w:spacing w:after="0" w:line="360" w:lineRule="auto"/>
        <w:jc w:val="right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Técnica, do 7º Período da Graduação em Ciências </w:t>
      </w:r>
    </w:p>
    <w:p w:rsidR="0051193E" w:rsidRDefault="00502FDF">
      <w:pPr>
        <w:spacing w:after="0" w:line="360" w:lineRule="auto"/>
        <w:jc w:val="right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Econômicas. </w:t>
      </w:r>
    </w:p>
    <w:p w:rsidR="0051193E" w:rsidRDefault="00502FDF">
      <w:pPr>
        <w:spacing w:after="160" w:line="360" w:lineRule="auto"/>
        <w:jc w:val="right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Prof. Frederico Sande Viana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Belo Horizonte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2017</w:t>
      </w:r>
    </w:p>
    <w:p w:rsidR="0051193E" w:rsidRDefault="00502FDF">
      <w:r>
        <w:br w:type="page"/>
      </w:r>
    </w:p>
    <w:p w:rsidR="0051193E" w:rsidRDefault="00502FDF">
      <w:pPr>
        <w:spacing w:after="160" w:line="360" w:lineRule="auto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color w:val="000000"/>
          <w:sz w:val="24"/>
          <w:szCs w:val="24"/>
          <w:lang w:eastAsia="pt-BR"/>
        </w:rPr>
        <w:lastRenderedPageBreak/>
        <w:t>SUMÁRIO</w:t>
      </w:r>
    </w:p>
    <w:sdt>
      <w:sdtPr>
        <w:rPr>
          <w:rFonts w:ascii="Calibri" w:eastAsia="Times New Roman" w:hAnsi="Times New Roman" w:cs="Times New Roman"/>
          <w:color w:val="auto"/>
          <w:sz w:val="22"/>
          <w:szCs w:val="22"/>
          <w:lang w:eastAsia="en-US"/>
        </w:rPr>
        <w:id w:val="-7882037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02FDF" w:rsidRDefault="00502FDF">
          <w:pPr>
            <w:pStyle w:val="CabealhodoSumrio"/>
          </w:pPr>
          <w:r>
            <w:t>Sumário</w:t>
          </w:r>
        </w:p>
        <w:p w:rsidR="00502FDF" w:rsidRDefault="00502FDF">
          <w:pPr>
            <w:pStyle w:val="Sumrio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865188" w:history="1">
            <w:r w:rsidRPr="000B20B7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Pr="000B20B7">
              <w:rPr>
                <w:rStyle w:val="Hyperlink"/>
                <w:rFonts w:ascii="Arial" w:eastAsia="Arial" w:hAnsi="Arial" w:cs="Arial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_Toc484865188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89" w:history="1">
            <w:r w:rsidR="00502FDF" w:rsidRPr="000B20B7">
              <w:rPr>
                <w:rStyle w:val="Hyperlink"/>
                <w:noProof/>
              </w:rPr>
              <w:t>2.</w:t>
            </w:r>
            <w:r w:rsidR="00502FDF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METODOLOGIA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_Toc484865189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5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0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3. ANÁLISE GERAL DE COMPORTAMENTO ITAU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_Toc484865190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6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1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3.1 ANASLIDE DE TENDENCIA ITUB 4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_Toc484865191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6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2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3.2 ANÁLISE DE VOLATILIDADE HISTÓRICA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_Toc484865192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8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3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3.3 ANÁLISE DE VOLUME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_Toc484865193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9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4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4. ANÁLISE GERAL DE COMPORTAMENTO GERDAU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_Toc484865194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10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5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4.1 ANALISE DE TENDENCIA GERDAU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_Toc484865195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10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6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4.2 ANÁLISE DO PADRÃO DE COMPORTAMENTO DO VOLUME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_Toc484865196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12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7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4.3 ANÁLISE DA VOLATILIDADE HISTÓRICA DAS SÉRIES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_Toc484865197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12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8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5 DESENVOLVIMENTO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_Toc484865198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13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199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5.1 GERDAU (GGBR4)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_Toc484865199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13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200" w:history="1">
            <w:r w:rsidR="00502FDF" w:rsidRPr="000B20B7">
              <w:rPr>
                <w:rStyle w:val="Hyperlink"/>
                <w:rFonts w:ascii="Arial" w:eastAsia="Arial" w:hAnsi="Arial" w:cs="Arial"/>
                <w:i/>
                <w:noProof/>
              </w:rPr>
              <w:t>5.1.1Setup Média Móvel (MMA-9)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_Toc484865200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13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201" w:history="1">
            <w:r w:rsidR="00502FDF" w:rsidRPr="000B20B7">
              <w:rPr>
                <w:rStyle w:val="Hyperlink"/>
                <w:rFonts w:ascii="Arial" w:eastAsia="Arial" w:hAnsi="Arial" w:cs="Arial"/>
                <w:i/>
                <w:noProof/>
              </w:rPr>
              <w:t>5.1.2 Setup Índice de Força Relativa (IFR-9)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_Toc484865201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16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202" w:history="1">
            <w:r w:rsidR="00502FDF" w:rsidRPr="000B20B7">
              <w:rPr>
                <w:rStyle w:val="Hyperlink"/>
                <w:rFonts w:ascii="Arial" w:hAnsi="Arial" w:cs="Arial"/>
                <w:noProof/>
                <w:lang w:eastAsia="pt-BR"/>
              </w:rPr>
              <w:t>Gráfico_4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_Toc484865202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16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203" w:history="1">
            <w:r w:rsidR="00502FDF" w:rsidRPr="000B20B7">
              <w:rPr>
                <w:rStyle w:val="Hyperlink"/>
                <w:rFonts w:ascii="Arial" w:eastAsia="Arial" w:hAnsi="Arial" w:cs="Arial"/>
                <w:noProof/>
              </w:rPr>
              <w:t>5.2 ITAU (ITUB4)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_Toc484865203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19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204" w:history="1">
            <w:r w:rsidR="00502FDF" w:rsidRPr="000B20B7">
              <w:rPr>
                <w:rStyle w:val="Hyperlink"/>
                <w:rFonts w:ascii="Arial" w:eastAsia="Arial" w:hAnsi="Arial" w:cs="Arial"/>
                <w:i/>
                <w:noProof/>
              </w:rPr>
              <w:t>5.2.1 Setup Média Móvel (MMA-9)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_Toc484865204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19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205" w:history="1">
            <w:r w:rsidR="00502FDF" w:rsidRPr="000B20B7">
              <w:rPr>
                <w:rStyle w:val="Hyperlink"/>
                <w:rFonts w:ascii="Arial" w:eastAsia="Arial" w:hAnsi="Arial" w:cs="Arial"/>
                <w:i/>
                <w:noProof/>
              </w:rPr>
              <w:t>5.2.2 Setup Índice de Força Relativa (IFR-9)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_Toc484865205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22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206" w:history="1">
            <w:r w:rsidR="00502FDF" w:rsidRPr="000B20B7">
              <w:rPr>
                <w:rStyle w:val="Hyperlink"/>
                <w:rFonts w:ascii="Arial" w:hAnsi="Arial" w:cs="Arial"/>
                <w:b/>
                <w:noProof/>
                <w:kern w:val="36"/>
                <w:lang w:eastAsia="pt-BR"/>
              </w:rPr>
              <w:t>6. CONCLUSÃO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_Toc484865206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24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893DCB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84865207" w:history="1">
            <w:r w:rsidR="00502FDF" w:rsidRPr="000B20B7">
              <w:rPr>
                <w:rStyle w:val="Hyperlink"/>
                <w:rFonts w:ascii="Arial" w:hAnsi="Arial" w:cs="Arial"/>
                <w:noProof/>
              </w:rPr>
              <w:t>7. REFERÊNCIA</w:t>
            </w:r>
            <w:r w:rsidR="00502FDF">
              <w:rPr>
                <w:noProof/>
                <w:webHidden/>
              </w:rPr>
              <w:tab/>
            </w:r>
            <w:r w:rsidR="00502FDF">
              <w:rPr>
                <w:noProof/>
                <w:webHidden/>
              </w:rPr>
              <w:fldChar w:fldCharType="begin"/>
            </w:r>
            <w:r w:rsidR="00502FDF">
              <w:rPr>
                <w:noProof/>
                <w:webHidden/>
              </w:rPr>
              <w:instrText xml:space="preserve"> PAGEREF _Toc484865207 \h </w:instrText>
            </w:r>
            <w:r w:rsidR="00502FDF">
              <w:rPr>
                <w:noProof/>
                <w:webHidden/>
              </w:rPr>
            </w:r>
            <w:r w:rsidR="00502FDF">
              <w:rPr>
                <w:noProof/>
                <w:webHidden/>
              </w:rPr>
              <w:fldChar w:fldCharType="separate"/>
            </w:r>
            <w:r w:rsidR="00502FDF">
              <w:rPr>
                <w:noProof/>
                <w:webHidden/>
              </w:rPr>
              <w:t>25</w:t>
            </w:r>
            <w:r w:rsidR="00502FDF">
              <w:rPr>
                <w:noProof/>
                <w:webHidden/>
              </w:rPr>
              <w:fldChar w:fldCharType="end"/>
            </w:r>
          </w:hyperlink>
        </w:p>
        <w:p w:rsidR="00502FDF" w:rsidRDefault="00502FDF">
          <w:r>
            <w:rPr>
              <w:b/>
              <w:bCs/>
            </w:rPr>
            <w:fldChar w:fldCharType="end"/>
          </w:r>
        </w:p>
      </w:sdtContent>
    </w:sdt>
    <w:p w:rsidR="0051193E" w:rsidRDefault="0051193E">
      <w:pPr>
        <w:spacing w:after="16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02FDF">
      <w:pPr>
        <w:pStyle w:val="Ttulo1"/>
        <w:numPr>
          <w:ilvl w:val="0"/>
          <w:numId w:val="11"/>
        </w:numPr>
        <w:rPr>
          <w:sz w:val="24"/>
          <w:szCs w:val="24"/>
        </w:rPr>
      </w:pPr>
      <w:bookmarkStart w:id="1" w:name="_Toc484865188"/>
      <w:r>
        <w:rPr>
          <w:rFonts w:ascii="Arial" w:eastAsia="Arial" w:hAnsi="Arial" w:cs="Arial"/>
          <w:sz w:val="24"/>
          <w:szCs w:val="24"/>
        </w:rPr>
        <w:t>INTRODUÇÃO</w:t>
      </w:r>
      <w:bookmarkEnd w:id="1"/>
      <w:r>
        <w:t xml:space="preserve"> 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O mercado de ações oferece diversas oportunidades de investimentos. Nas bolsas de valores é possível comprar e vender ações em tempo real, utilizando para tanto os serviços das diversas corretoras de valores. A busca por investimentos que rendam mais que a poupança vem aumentando, conforme aponta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BM&amp;FBovespa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participação de investidores pessoa física em 2016 foi a maior desde 2012. De 2015 a 2016 observa-se um aumento de 3.3 pp.</w:t>
      </w:r>
    </w:p>
    <w:p w:rsidR="0051193E" w:rsidRDefault="00502FD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Nesse sentido, é de suma importância que o investidor busque maior capacitação para atuar nesse mercado. A formulação de uma boa estratégia é crucial para obter bons rendimentos e garantir uma maior cesta de consumo ao longo da vida.   </w:t>
      </w:r>
    </w:p>
    <w:p w:rsidR="0051193E" w:rsidRDefault="00502FD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Esse trabalho irá apresentar dois tipos de estratégias utilizados por investidores. Foram feitas simulações de compra e venda de ações com base em séries históricas dos preços passados. Para nortear os momentos de compra e venda, foram utilizados dois indicadores: média móvel aritmética de 9 períodos (MMA-9) e índice de força relativa de 9 períodos (IFR-9). Esse método é conhecido como </w:t>
      </w:r>
      <w:proofErr w:type="spellStart"/>
      <w:r>
        <w:rPr>
          <w:rFonts w:ascii="Arial" w:hAnsi="Arial" w:cs="Arial"/>
          <w:i/>
          <w:color w:val="000000"/>
          <w:sz w:val="24"/>
          <w:szCs w:val="24"/>
          <w:lang w:eastAsia="pt-BR"/>
        </w:rPr>
        <w:t>backtesting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. Seus resultados serão organizados e apresentados por meio de um </w:t>
      </w:r>
      <w:r>
        <w:rPr>
          <w:rFonts w:ascii="Arial" w:hAnsi="Arial" w:cs="Arial"/>
          <w:i/>
          <w:color w:val="000000"/>
          <w:sz w:val="24"/>
          <w:szCs w:val="24"/>
          <w:lang w:eastAsia="pt-BR"/>
        </w:rPr>
        <w:t xml:space="preserve">setup. </w:t>
      </w:r>
    </w:p>
    <w:p w:rsidR="0051193E" w:rsidRDefault="00502FD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As empresas analisadas são Gerdau, empresa brasileira que atua no ramo siderúrgico, e o Banco Itaú, maior banco da América Latina, cujos ativos somam cerca de US$ 438 bilhões. </w:t>
      </w:r>
    </w:p>
    <w:p w:rsidR="0051193E" w:rsidRDefault="00502FD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Pretende-se com este trabalho demonstrar o quão importante é a adoção e validação de uma estratégia, utilizando para tanto de recursos como tabelas e gráficos que facilitam análises comparativas.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pStyle w:val="Ttulo1"/>
        <w:numPr>
          <w:ilvl w:val="0"/>
          <w:numId w:val="11"/>
        </w:numPr>
        <w:rPr>
          <w:sz w:val="24"/>
          <w:szCs w:val="24"/>
        </w:rPr>
      </w:pPr>
      <w:bookmarkStart w:id="2" w:name="_Toc484865189"/>
      <w:r>
        <w:rPr>
          <w:rFonts w:ascii="Arial" w:eastAsia="Arial" w:hAnsi="Arial" w:cs="Arial"/>
          <w:sz w:val="24"/>
          <w:szCs w:val="24"/>
        </w:rPr>
        <w:t>METODOLOGIA</w:t>
      </w:r>
      <w:bookmarkEnd w:id="2"/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Utilizando-se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  média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móvel aritmética de nove períodos (MMA-9), a movimentação da média móvel aritmética do preço de fechamento define as decisões de compra e venda. As compras são realizadas quando a média móvel se incline para cima, demonstrando um fechamento com média maior que a média anterior, já as vendas são realizadas quando ocorre o contrário, ou seja, quando a média se inclina para baixo.</w:t>
      </w:r>
    </w:p>
    <w:p w:rsidR="0051193E" w:rsidRDefault="00502FD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O Índice de força relativa - IFR significa é uma linha que pode variar entre 0 e 100. Ele funciona como um termômetro do cansaço do mercado, medindo se ele já subiu ou caiu muito e precisa tomar fôlego antes de continuar na mesma tendência. Tradicionalmente considera-se que uma ação está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sobrevendida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quando se IRF atinge valores inferiores a 30, este é o momento ideal para a compra. Quando o IFR está acima de 70, considera-se que o ativo está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sobrecomprado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caracterizando um bom momento para venda. 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before="240" w:after="0" w:line="360" w:lineRule="auto"/>
        <w:rPr>
          <w:rFonts w:ascii="Arial" w:hAnsi="Arial" w:cs="Arial"/>
          <w:b/>
          <w:color w:val="000000"/>
          <w:kern w:val="36"/>
          <w:sz w:val="24"/>
          <w:szCs w:val="24"/>
          <w:lang w:eastAsia="pt-BR"/>
        </w:rPr>
      </w:pPr>
      <w:r>
        <w:br w:type="page"/>
      </w:r>
    </w:p>
    <w:p w:rsidR="0051193E" w:rsidRDefault="00502FDF">
      <w:pPr>
        <w:pStyle w:val="Ttulo1"/>
        <w:rPr>
          <w:rFonts w:ascii="Arial" w:eastAsia="Arial" w:hAnsi="Arial" w:cs="Arial"/>
          <w:sz w:val="24"/>
          <w:szCs w:val="24"/>
        </w:rPr>
      </w:pPr>
      <w:bookmarkStart w:id="3" w:name="_Toc484865190"/>
      <w:r>
        <w:rPr>
          <w:rFonts w:ascii="Arial" w:eastAsia="Arial" w:hAnsi="Arial" w:cs="Arial"/>
          <w:sz w:val="24"/>
          <w:szCs w:val="24"/>
        </w:rPr>
        <w:lastRenderedPageBreak/>
        <w:t>3. ANÁLISE GERAL DE COMPORTAMENTO ITAU</w:t>
      </w:r>
      <w:bookmarkEnd w:id="3"/>
    </w:p>
    <w:p w:rsidR="0051193E" w:rsidRDefault="0051193E">
      <w:pPr>
        <w:spacing w:before="240" w:after="0" w:line="285" w:lineRule="exact"/>
        <w:jc w:val="both"/>
        <w:rPr>
          <w:rFonts w:ascii="Arial" w:eastAsia="Arial" w:hAnsi="Arial" w:cs="Arial"/>
          <w:b/>
          <w:sz w:val="24"/>
          <w:szCs w:val="24"/>
        </w:rPr>
      </w:pPr>
    </w:p>
    <w:p w:rsidR="0051193E" w:rsidRDefault="00502FDF">
      <w:pPr>
        <w:pStyle w:val="Ttulo2"/>
      </w:pPr>
      <w:bookmarkStart w:id="4" w:name="_Toc484865191"/>
      <w:r>
        <w:rPr>
          <w:rFonts w:ascii="Arial" w:eastAsia="Arial" w:hAnsi="Arial" w:cs="Arial"/>
          <w:sz w:val="24"/>
          <w:szCs w:val="24"/>
        </w:rPr>
        <w:t>3.1 ANASLIDE DE TENDENCIA ITUB 4</w:t>
      </w:r>
      <w:bookmarkEnd w:id="4"/>
    </w:p>
    <w:p w:rsidR="0051193E" w:rsidRDefault="0051193E">
      <w:pPr>
        <w:pStyle w:val="Ttulo2"/>
        <w:rPr>
          <w:rFonts w:ascii="Arial" w:eastAsia="Arial" w:hAnsi="Arial" w:cs="Arial"/>
          <w:sz w:val="24"/>
          <w:szCs w:val="24"/>
        </w:rPr>
      </w:pPr>
    </w:p>
    <w:p w:rsidR="0051193E" w:rsidRDefault="0051193E">
      <w:pPr>
        <w:pStyle w:val="Ttulo2"/>
        <w:rPr>
          <w:rFonts w:ascii="Arial" w:eastAsia="Arial" w:hAnsi="Arial" w:cs="Arial"/>
          <w:sz w:val="24"/>
          <w:szCs w:val="24"/>
        </w:rPr>
      </w:pPr>
    </w:p>
    <w:p w:rsidR="0051193E" w:rsidRDefault="00502FDF">
      <w:pPr>
        <w:spacing w:before="240" w:after="0" w:line="285" w:lineRule="exact"/>
        <w:ind w:left="3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Tendência Global ITUB 4</w:t>
      </w:r>
    </w:p>
    <w:p w:rsidR="0051193E" w:rsidRDefault="00502FDF">
      <w:pPr>
        <w:spacing w:before="240" w:after="0" w:line="360" w:lineRule="auto"/>
        <w:ind w:left="300"/>
        <w:rPr>
          <w:rFonts w:ascii="Arial" w:eastAsia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753098" cy="2876550"/>
            <wp:effectExtent l="0" t="0" r="0" b="0"/>
            <wp:docPr id="2957012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TRADINGVIEW (2017)</w:t>
      </w:r>
      <w:r>
        <w:rPr>
          <w:rFonts w:ascii="Arial" w:eastAsia="Arial" w:hAnsi="Arial" w:cs="Arial"/>
        </w:rPr>
        <w:t xml:space="preserve"> </w:t>
      </w:r>
    </w:p>
    <w:p w:rsidR="0051193E" w:rsidRDefault="00502FDF">
      <w:pPr>
        <w:spacing w:before="240" w:after="0" w:line="300" w:lineRule="exact"/>
        <w:ind w:left="1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1193E" w:rsidRDefault="00502FDF">
      <w:pPr>
        <w:spacing w:before="240" w:after="0" w:line="285" w:lineRule="exact"/>
        <w:ind w:left="3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Gráfico 6: Tendência Global ITUB 4</w:t>
      </w:r>
    </w:p>
    <w:p w:rsidR="0051193E" w:rsidRDefault="00502FDF">
      <w:pPr>
        <w:spacing w:before="240" w:after="0" w:line="360" w:lineRule="auto"/>
        <w:ind w:left="300"/>
        <w:jc w:val="both"/>
        <w:rPr>
          <w:rFonts w:ascii="Arial" w:eastAsia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53098" cy="2657475"/>
            <wp:effectExtent l="0" t="0" r="0" b="0"/>
            <wp:docPr id="2301200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TRADINGVIEW (2017)</w:t>
      </w:r>
      <w:r>
        <w:rPr>
          <w:rFonts w:ascii="Arial" w:eastAsia="Arial" w:hAnsi="Arial" w:cs="Arial"/>
        </w:rPr>
        <w:t xml:space="preserve"> </w:t>
      </w:r>
    </w:p>
    <w:p w:rsidR="0051193E" w:rsidRDefault="0051193E">
      <w:pPr>
        <w:spacing w:before="240" w:after="0" w:line="285" w:lineRule="exact"/>
        <w:jc w:val="both"/>
        <w:rPr>
          <w:rFonts w:ascii="Arial" w:eastAsia="Arial" w:hAnsi="Arial" w:cs="Arial"/>
        </w:rPr>
      </w:pPr>
    </w:p>
    <w:p w:rsidR="0051193E" w:rsidRDefault="0051193E">
      <w:pPr>
        <w:spacing w:before="240" w:after="0" w:line="285" w:lineRule="exact"/>
        <w:ind w:left="300"/>
        <w:jc w:val="both"/>
        <w:rPr>
          <w:rFonts w:ascii="Arial" w:eastAsia="Arial" w:hAnsi="Arial" w:cs="Arial"/>
        </w:rPr>
      </w:pPr>
    </w:p>
    <w:p w:rsidR="0051193E" w:rsidRDefault="00502FDF">
      <w:pPr>
        <w:spacing w:before="240" w:after="0" w:line="285" w:lineRule="exact"/>
        <w:ind w:left="3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Gráfico 7: Tendências 1ª, 2ª e 3ª – ITUB 4</w:t>
      </w:r>
    </w:p>
    <w:p w:rsidR="0051193E" w:rsidRDefault="00502FDF">
      <w:pPr>
        <w:spacing w:before="240" w:after="0" w:line="360" w:lineRule="auto"/>
        <w:rPr>
          <w:rFonts w:ascii="Arial" w:eastAsia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753098" cy="2657475"/>
            <wp:effectExtent l="0" t="0" r="0" b="0"/>
            <wp:docPr id="180643399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TRADINGVIEW (2017)</w:t>
      </w:r>
      <w:r>
        <w:rPr>
          <w:rFonts w:ascii="Arial" w:eastAsia="Arial" w:hAnsi="Arial" w:cs="Arial"/>
        </w:rPr>
        <w:t xml:space="preserve"> </w:t>
      </w:r>
    </w:p>
    <w:p w:rsidR="0051193E" w:rsidRDefault="0051193E">
      <w:pPr>
        <w:spacing w:before="240" w:after="0" w:line="240" w:lineRule="exact"/>
        <w:ind w:left="150"/>
        <w:rPr>
          <w:rFonts w:ascii="Arial" w:eastAsia="Arial" w:hAnsi="Arial" w:cs="Arial"/>
        </w:rPr>
      </w:pPr>
    </w:p>
    <w:p w:rsidR="0051193E" w:rsidRDefault="0051193E">
      <w:pPr>
        <w:spacing w:before="240" w:after="0" w:line="240" w:lineRule="exact"/>
        <w:rPr>
          <w:rFonts w:ascii="Arial" w:eastAsia="Arial" w:hAnsi="Arial" w:cs="Arial"/>
        </w:rPr>
      </w:pPr>
    </w:p>
    <w:p w:rsidR="0051193E" w:rsidRDefault="00502FDF">
      <w:pPr>
        <w:spacing w:before="240" w:after="0" w:line="3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Gráfico 8: Análise dos Topos e Fundos </w:t>
      </w:r>
    </w:p>
    <w:p w:rsidR="0051193E" w:rsidRDefault="00502FDF">
      <w:pPr>
        <w:spacing w:before="240" w:after="0" w:line="3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5753098" cy="2876550"/>
            <wp:effectExtent l="0" t="0" r="0" b="0"/>
            <wp:docPr id="13443530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TRADINGVIEW (2017)</w:t>
      </w:r>
      <w:r>
        <w:rPr>
          <w:rFonts w:ascii="Arial" w:eastAsia="Arial" w:hAnsi="Arial" w:cs="Arial"/>
        </w:rPr>
        <w:t xml:space="preserve"> </w:t>
      </w:r>
    </w:p>
    <w:p w:rsidR="0051193E" w:rsidRDefault="00502FDF">
      <w:pPr>
        <w:spacing w:before="240" w:after="0" w:line="300" w:lineRule="exact"/>
        <w:ind w:left="1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</w:t>
      </w:r>
    </w:p>
    <w:p w:rsidR="0051193E" w:rsidRDefault="00502FDF">
      <w:pPr>
        <w:spacing w:before="240" w:after="0" w:line="300" w:lineRule="exact"/>
        <w:ind w:left="1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Gráfico 9: Padrão Ombro - Cabeça - Ombro</w:t>
      </w:r>
    </w:p>
    <w:p w:rsidR="0051193E" w:rsidRDefault="00502FDF">
      <w:pPr>
        <w:spacing w:before="240" w:after="0" w:line="360" w:lineRule="auto"/>
        <w:ind w:left="165"/>
        <w:rPr>
          <w:rFonts w:ascii="Arial" w:eastAsia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753098" cy="2647950"/>
            <wp:effectExtent l="0" t="0" r="0" b="0"/>
            <wp:docPr id="16581656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TRADINGVIEW (2017)</w:t>
      </w:r>
    </w:p>
    <w:p w:rsidR="0051193E" w:rsidRDefault="00502FDF">
      <w:pPr>
        <w:spacing w:before="240" w:after="0" w:line="300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51193E" w:rsidRDefault="0051193E">
      <w:pPr>
        <w:spacing w:before="240" w:after="0" w:line="300" w:lineRule="exact"/>
        <w:ind w:left="150"/>
        <w:rPr>
          <w:rFonts w:ascii="Arial" w:eastAsia="Arial" w:hAnsi="Arial" w:cs="Arial"/>
        </w:rPr>
      </w:pPr>
    </w:p>
    <w:p w:rsidR="0051193E" w:rsidRDefault="00502FDF">
      <w:pPr>
        <w:spacing w:before="240" w:after="0" w:line="300" w:lineRule="exact"/>
        <w:ind w:left="1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Gráfico 10: Padrão Bandeira     </w:t>
      </w:r>
    </w:p>
    <w:p w:rsidR="0051193E" w:rsidRDefault="00502FDF">
      <w:pPr>
        <w:spacing w:before="240" w:after="0" w:line="300" w:lineRule="exact"/>
        <w:ind w:left="1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br/>
      </w:r>
      <w:r>
        <w:rPr>
          <w:noProof/>
          <w:lang w:eastAsia="pt-BR"/>
        </w:rPr>
        <w:drawing>
          <wp:inline distT="0" distB="0" distL="0" distR="0">
            <wp:extent cx="5753098" cy="2647950"/>
            <wp:effectExtent l="0" t="0" r="0" b="0"/>
            <wp:docPr id="2506088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TRADINGVIEW (2017)</w:t>
      </w:r>
      <w:r>
        <w:rPr>
          <w:rFonts w:ascii="Arial" w:eastAsia="Arial" w:hAnsi="Arial" w:cs="Arial"/>
        </w:rPr>
        <w:t xml:space="preserve"> </w:t>
      </w:r>
    </w:p>
    <w:p w:rsidR="0051193E" w:rsidRDefault="00502FDF">
      <w:pPr>
        <w:spacing w:before="240" w:after="0" w:line="300" w:lineRule="exact"/>
        <w:ind w:left="3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</w:t>
      </w:r>
    </w:p>
    <w:p w:rsidR="0051193E" w:rsidRDefault="0051193E">
      <w:pPr>
        <w:spacing w:before="240" w:after="0" w:line="285" w:lineRule="exact"/>
        <w:ind w:left="300"/>
        <w:jc w:val="both"/>
        <w:rPr>
          <w:rFonts w:ascii="Arial" w:eastAsia="Arial" w:hAnsi="Arial" w:cs="Arial"/>
        </w:rPr>
      </w:pPr>
    </w:p>
    <w:p w:rsidR="0051193E" w:rsidRDefault="00502FDF">
      <w:pPr>
        <w:pStyle w:val="Ttulo2"/>
      </w:pPr>
      <w:bookmarkStart w:id="5" w:name="_Toc484865192"/>
      <w:r>
        <w:rPr>
          <w:rFonts w:ascii="Arial" w:eastAsia="Arial" w:hAnsi="Arial" w:cs="Arial"/>
          <w:sz w:val="24"/>
          <w:szCs w:val="24"/>
        </w:rPr>
        <w:t>3.2 ANÁLISE DE VOLATILIDADE HISTÓRICA</w:t>
      </w:r>
      <w:bookmarkEnd w:id="5"/>
      <w:r>
        <w:t xml:space="preserve"> </w:t>
      </w:r>
    </w:p>
    <w:p w:rsidR="0051193E" w:rsidRDefault="00502FDF">
      <w:pPr>
        <w:spacing w:before="240" w:after="0" w:line="300" w:lineRule="exact"/>
        <w:ind w:left="1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1193E" w:rsidRDefault="00502FDF">
      <w:pPr>
        <w:spacing w:before="240" w:after="0" w:line="285" w:lineRule="exact"/>
        <w:ind w:left="1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Gráfico 11: Análise da Volatilidade_ Crise de 2008</w:t>
      </w:r>
    </w:p>
    <w:p w:rsidR="0051193E" w:rsidRDefault="00502FDF">
      <w:pPr>
        <w:spacing w:before="240" w:after="0" w:line="360" w:lineRule="auto"/>
        <w:rPr>
          <w:rFonts w:ascii="Arial" w:eastAsia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53098" cy="2647950"/>
            <wp:effectExtent l="0" t="0" r="0" b="0"/>
            <wp:docPr id="189625935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FONTE: TRADINGVIEW (2017)</w:t>
      </w:r>
      <w:r>
        <w:rPr>
          <w:rFonts w:ascii="Arial" w:eastAsia="Arial" w:hAnsi="Arial" w:cs="Arial"/>
        </w:rPr>
        <w:t xml:space="preserve"> </w:t>
      </w:r>
    </w:p>
    <w:p w:rsidR="0051193E" w:rsidRDefault="00502FDF">
      <w:pPr>
        <w:spacing w:before="240" w:after="0" w:line="300" w:lineRule="exact"/>
        <w:ind w:left="1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1193E" w:rsidRDefault="00502FDF">
      <w:pPr>
        <w:spacing w:before="240" w:after="0" w:line="300" w:lineRule="exact"/>
        <w:ind w:left="1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</w:t>
      </w:r>
      <w:r>
        <w:br/>
      </w:r>
      <w:r>
        <w:rPr>
          <w:rFonts w:ascii="Arial" w:eastAsia="Arial" w:hAnsi="Arial" w:cs="Arial"/>
        </w:rPr>
        <w:t xml:space="preserve"> </w:t>
      </w:r>
      <w:r>
        <w:br/>
      </w:r>
      <w:r>
        <w:rPr>
          <w:rFonts w:ascii="Arial" w:eastAsia="Arial" w:hAnsi="Arial" w:cs="Arial"/>
        </w:rPr>
        <w:t xml:space="preserve"> </w:t>
      </w:r>
      <w:r>
        <w:br/>
      </w:r>
      <w:r>
        <w:rPr>
          <w:rFonts w:ascii="Arial" w:eastAsia="Arial" w:hAnsi="Arial" w:cs="Arial"/>
        </w:rPr>
        <w:t>Gráfico 12: Análise da Volatilidade</w:t>
      </w:r>
      <w:proofErr w:type="gramStart"/>
      <w:r>
        <w:rPr>
          <w:rFonts w:ascii="Arial" w:eastAsia="Arial" w:hAnsi="Arial" w:cs="Arial"/>
        </w:rPr>
        <w:t>_  impeachment</w:t>
      </w:r>
      <w:proofErr w:type="gramEnd"/>
      <w:r>
        <w:rPr>
          <w:rFonts w:ascii="Arial" w:eastAsia="Arial" w:hAnsi="Arial" w:cs="Arial"/>
        </w:rPr>
        <w:t xml:space="preserve"> da Dilma</w:t>
      </w:r>
    </w:p>
    <w:p w:rsidR="0051193E" w:rsidRDefault="00502FDF">
      <w:pPr>
        <w:spacing w:before="240" w:after="0" w:line="360" w:lineRule="auto"/>
        <w:ind w:left="-15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>
            <wp:extent cx="5753098" cy="2647950"/>
            <wp:effectExtent l="0" t="0" r="0" b="0"/>
            <wp:docPr id="1170297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TRADINGVIEW (2017)</w:t>
      </w:r>
    </w:p>
    <w:p w:rsidR="0051193E" w:rsidRDefault="0051193E">
      <w:pPr>
        <w:spacing w:before="240" w:after="0" w:line="285" w:lineRule="exact"/>
        <w:jc w:val="both"/>
        <w:rPr>
          <w:rFonts w:ascii="Arial" w:eastAsia="Arial" w:hAnsi="Arial" w:cs="Arial"/>
          <w:b/>
        </w:rPr>
      </w:pPr>
    </w:p>
    <w:p w:rsidR="0051193E" w:rsidRDefault="00502FDF">
      <w:pPr>
        <w:pStyle w:val="Ttulo2"/>
      </w:pPr>
      <w:bookmarkStart w:id="6" w:name="_Toc484865193"/>
      <w:r>
        <w:rPr>
          <w:rFonts w:ascii="Arial" w:eastAsia="Arial" w:hAnsi="Arial" w:cs="Arial"/>
          <w:sz w:val="24"/>
          <w:szCs w:val="24"/>
        </w:rPr>
        <w:t>3.3 ANÁLISE DE VOLUME</w:t>
      </w:r>
      <w:bookmarkEnd w:id="6"/>
      <w:r>
        <w:t xml:space="preserve"> </w:t>
      </w:r>
    </w:p>
    <w:p w:rsidR="0051193E" w:rsidRDefault="00502FDF">
      <w:pPr>
        <w:spacing w:before="240" w:after="0" w:line="300" w:lineRule="exact"/>
        <w:ind w:left="1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1193E" w:rsidRDefault="00502FDF">
      <w:pPr>
        <w:spacing w:before="240" w:after="0" w:line="285" w:lineRule="exac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Gráfico 13: Comportamento do Volume do ITUB 4</w:t>
      </w:r>
    </w:p>
    <w:p w:rsidR="0051193E" w:rsidRDefault="00502FDF">
      <w:pPr>
        <w:spacing w:before="240" w:after="0" w:line="360" w:lineRule="auto"/>
        <w:rPr>
          <w:rFonts w:ascii="Arial" w:eastAsia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53098" cy="2647950"/>
            <wp:effectExtent l="0" t="0" r="0" b="0"/>
            <wp:docPr id="54971249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TRADINGVIEW (2017)</w:t>
      </w:r>
      <w:r>
        <w:rPr>
          <w:rFonts w:ascii="Arial" w:eastAsia="Arial" w:hAnsi="Arial" w:cs="Arial"/>
        </w:rPr>
        <w:t xml:space="preserve">  </w:t>
      </w:r>
    </w:p>
    <w:p w:rsidR="0051193E" w:rsidRDefault="0051193E">
      <w:pPr>
        <w:spacing w:before="240" w:after="0" w:line="360" w:lineRule="auto"/>
        <w:rPr>
          <w:rFonts w:ascii="Arial" w:eastAsia="Arial" w:hAnsi="Arial" w:cs="Arial"/>
        </w:rPr>
      </w:pPr>
    </w:p>
    <w:p w:rsidR="0051193E" w:rsidRDefault="00502FDF">
      <w:pPr>
        <w:spacing w:before="240" w:after="0" w:line="285" w:lineRule="exact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Gráfico 14: Comportamento do Volume do ITUB 4</w:t>
      </w:r>
    </w:p>
    <w:p w:rsidR="0051193E" w:rsidRDefault="00502FDF">
      <w:pPr>
        <w:spacing w:before="240" w:after="0" w:line="360" w:lineRule="auto"/>
        <w:rPr>
          <w:rFonts w:ascii="Arial" w:eastAsia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753098" cy="2647950"/>
            <wp:effectExtent l="0" t="0" r="0" b="0"/>
            <wp:docPr id="14211637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TRADINGVIEW (2017)</w:t>
      </w:r>
      <w:r>
        <w:rPr>
          <w:rFonts w:ascii="Arial" w:eastAsia="Arial" w:hAnsi="Arial" w:cs="Arial"/>
        </w:rPr>
        <w:t xml:space="preserve">  </w:t>
      </w:r>
    </w:p>
    <w:p w:rsidR="0051193E" w:rsidRDefault="0051193E">
      <w:pPr>
        <w:pStyle w:val="Ttulo2"/>
        <w:rPr>
          <w:rFonts w:ascii="Arial" w:eastAsia="Arial" w:hAnsi="Arial" w:cs="Arial"/>
          <w:sz w:val="24"/>
          <w:szCs w:val="24"/>
        </w:rPr>
      </w:pPr>
    </w:p>
    <w:p w:rsidR="0051193E" w:rsidRDefault="0051193E">
      <w:pPr>
        <w:pStyle w:val="Ttulo2"/>
        <w:rPr>
          <w:rFonts w:ascii="Arial" w:eastAsia="Arial" w:hAnsi="Arial" w:cs="Arial"/>
          <w:sz w:val="24"/>
          <w:szCs w:val="24"/>
        </w:rPr>
      </w:pPr>
    </w:p>
    <w:p w:rsidR="0051193E" w:rsidRDefault="00502FDF">
      <w:pPr>
        <w:pStyle w:val="Ttulo1"/>
      </w:pPr>
      <w:bookmarkStart w:id="7" w:name="_Toc484865194"/>
      <w:r>
        <w:rPr>
          <w:rFonts w:ascii="Arial" w:eastAsia="Arial" w:hAnsi="Arial" w:cs="Arial"/>
          <w:sz w:val="24"/>
          <w:szCs w:val="24"/>
        </w:rPr>
        <w:t>4. ANÁLISE GERAL DE COMPORTAMENTO GERDAU</w:t>
      </w:r>
      <w:bookmarkEnd w:id="7"/>
    </w:p>
    <w:p w:rsidR="0051193E" w:rsidRDefault="0051193E">
      <w:pPr>
        <w:pStyle w:val="Ttulo2"/>
        <w:rPr>
          <w:rFonts w:ascii="Arial" w:eastAsia="Arial" w:hAnsi="Arial" w:cs="Arial"/>
          <w:sz w:val="24"/>
          <w:szCs w:val="24"/>
        </w:rPr>
      </w:pPr>
    </w:p>
    <w:p w:rsidR="0051193E" w:rsidRDefault="0051193E">
      <w:pPr>
        <w:pStyle w:val="Ttulo2"/>
        <w:rPr>
          <w:rFonts w:ascii="Arial" w:eastAsia="Arial" w:hAnsi="Arial" w:cs="Arial"/>
          <w:sz w:val="24"/>
          <w:szCs w:val="24"/>
        </w:rPr>
      </w:pPr>
    </w:p>
    <w:p w:rsidR="0051193E" w:rsidRDefault="00502FDF">
      <w:pPr>
        <w:pStyle w:val="Ttulo2"/>
      </w:pPr>
      <w:bookmarkStart w:id="8" w:name="_Toc484865195"/>
      <w:r>
        <w:rPr>
          <w:rFonts w:ascii="Arial" w:eastAsia="Arial" w:hAnsi="Arial" w:cs="Arial"/>
          <w:sz w:val="24"/>
          <w:szCs w:val="24"/>
        </w:rPr>
        <w:t>4.1 ANALISE DE TENDENCIA GERDAU</w:t>
      </w:r>
      <w:bookmarkEnd w:id="8"/>
    </w:p>
    <w:p w:rsidR="0051193E" w:rsidRDefault="0051193E">
      <w:pPr>
        <w:pStyle w:val="Ttulo2"/>
        <w:rPr>
          <w:rFonts w:ascii="Arial" w:eastAsia="Arial" w:hAnsi="Arial" w:cs="Arial"/>
          <w:sz w:val="24"/>
          <w:szCs w:val="24"/>
        </w:rPr>
      </w:pPr>
    </w:p>
    <w:p w:rsidR="0051193E" w:rsidRDefault="00502FDF">
      <w:pPr>
        <w:spacing w:before="240" w:after="0" w:line="570" w:lineRule="exact"/>
        <w:ind w:left="3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Análise de </w:t>
      </w:r>
      <w:proofErr w:type="spellStart"/>
      <w:r>
        <w:rPr>
          <w:rFonts w:ascii="Arial" w:eastAsia="Arial" w:hAnsi="Arial" w:cs="Arial"/>
          <w:sz w:val="24"/>
          <w:szCs w:val="24"/>
        </w:rPr>
        <w:t>candles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GGBR4</w:t>
      </w:r>
    </w:p>
    <w:p w:rsidR="0051193E" w:rsidRDefault="00502FDF">
      <w:pPr>
        <w:spacing w:before="240" w:after="0" w:line="360" w:lineRule="auto"/>
        <w:ind w:left="300"/>
        <w:rPr>
          <w:rFonts w:ascii="Arial" w:eastAsia="Arial" w:hAnsi="Arial" w:cs="Arial"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>
            <wp:extent cx="5753098" cy="2038350"/>
            <wp:effectExtent l="0" t="0" r="0" b="0"/>
            <wp:docPr id="76701319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Toro Radar (2017)</w:t>
      </w:r>
    </w:p>
    <w:p w:rsidR="0051193E" w:rsidRDefault="0051193E">
      <w:pPr>
        <w:spacing w:before="240" w:after="0" w:line="570" w:lineRule="exact"/>
        <w:ind w:left="300"/>
        <w:jc w:val="center"/>
        <w:rPr>
          <w:rFonts w:ascii="Arial" w:eastAsia="Arial" w:hAnsi="Arial" w:cs="Arial"/>
          <w:sz w:val="24"/>
          <w:szCs w:val="24"/>
        </w:rPr>
      </w:pPr>
    </w:p>
    <w:p w:rsidR="0051193E" w:rsidRDefault="00502FDF">
      <w:pPr>
        <w:spacing w:before="240" w:after="0" w:line="570" w:lineRule="exact"/>
        <w:ind w:left="3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Análise de formações gráficas GGBR4</w:t>
      </w:r>
    </w:p>
    <w:p w:rsidR="0051193E" w:rsidRDefault="00502FDF">
      <w:pPr>
        <w:spacing w:before="240" w:after="0" w:line="360" w:lineRule="auto"/>
        <w:ind w:left="30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43575" cy="2038350"/>
            <wp:effectExtent l="0" t="0" r="0" b="0"/>
            <wp:docPr id="14290740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Toro Radar (2017)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1193E" w:rsidRDefault="0051193E">
      <w:pPr>
        <w:spacing w:before="240" w:after="0" w:line="360" w:lineRule="exact"/>
        <w:ind w:left="300"/>
        <w:jc w:val="both"/>
        <w:rPr>
          <w:rFonts w:ascii="Arial" w:eastAsia="Arial" w:hAnsi="Arial" w:cs="Arial"/>
          <w:sz w:val="24"/>
          <w:szCs w:val="24"/>
        </w:rPr>
      </w:pPr>
    </w:p>
    <w:p w:rsidR="0051193E" w:rsidRDefault="0051193E">
      <w:pPr>
        <w:spacing w:before="240" w:after="0" w:line="570" w:lineRule="exact"/>
        <w:jc w:val="both"/>
        <w:rPr>
          <w:rFonts w:ascii="Arial" w:eastAsia="Arial" w:hAnsi="Arial" w:cs="Arial"/>
          <w:color w:val="00000A"/>
          <w:sz w:val="24"/>
          <w:szCs w:val="24"/>
        </w:rPr>
      </w:pPr>
    </w:p>
    <w:p w:rsidR="0051193E" w:rsidRDefault="0051193E">
      <w:pPr>
        <w:spacing w:before="240" w:after="0" w:line="420" w:lineRule="exact"/>
        <w:ind w:left="300"/>
        <w:jc w:val="both"/>
        <w:rPr>
          <w:rFonts w:ascii="Arial" w:eastAsia="Arial" w:hAnsi="Arial" w:cs="Arial"/>
          <w:sz w:val="24"/>
          <w:szCs w:val="24"/>
        </w:rPr>
      </w:pPr>
    </w:p>
    <w:p w:rsidR="0051193E" w:rsidRDefault="0051193E">
      <w:pPr>
        <w:spacing w:before="240" w:after="0" w:line="420" w:lineRule="exact"/>
        <w:ind w:left="300"/>
        <w:jc w:val="both"/>
        <w:rPr>
          <w:rFonts w:ascii="Arial" w:eastAsia="Arial" w:hAnsi="Arial" w:cs="Arial"/>
          <w:sz w:val="24"/>
          <w:szCs w:val="24"/>
        </w:rPr>
      </w:pPr>
    </w:p>
    <w:p w:rsidR="0051193E" w:rsidRDefault="0051193E">
      <w:pPr>
        <w:spacing w:before="240" w:after="0" w:line="420" w:lineRule="exact"/>
        <w:ind w:left="300"/>
        <w:jc w:val="both"/>
        <w:rPr>
          <w:rFonts w:ascii="Arial" w:eastAsia="Arial" w:hAnsi="Arial" w:cs="Arial"/>
          <w:sz w:val="24"/>
          <w:szCs w:val="24"/>
        </w:rPr>
      </w:pPr>
    </w:p>
    <w:p w:rsidR="0051193E" w:rsidRDefault="0051193E">
      <w:pPr>
        <w:spacing w:before="240" w:after="0" w:line="420" w:lineRule="exact"/>
        <w:ind w:left="300"/>
        <w:jc w:val="both"/>
        <w:rPr>
          <w:rFonts w:ascii="Arial" w:eastAsia="Arial" w:hAnsi="Arial" w:cs="Arial"/>
          <w:sz w:val="24"/>
          <w:szCs w:val="24"/>
        </w:rPr>
      </w:pPr>
    </w:p>
    <w:p w:rsidR="0051193E" w:rsidRDefault="00502FDF">
      <w:pPr>
        <w:pStyle w:val="Ttulo2"/>
      </w:pPr>
      <w:bookmarkStart w:id="9" w:name="_Toc484865196"/>
      <w:r>
        <w:rPr>
          <w:rFonts w:ascii="Arial" w:eastAsia="Arial" w:hAnsi="Arial" w:cs="Arial"/>
          <w:sz w:val="24"/>
          <w:szCs w:val="24"/>
        </w:rPr>
        <w:t>4.2 ANÁLISE DO PADRÃO DE COMPORTAMENTO DO VOLUME</w:t>
      </w:r>
      <w:bookmarkEnd w:id="9"/>
    </w:p>
    <w:p w:rsidR="0051193E" w:rsidRDefault="00502FDF">
      <w:pPr>
        <w:spacing w:before="240" w:after="0" w:line="570" w:lineRule="exact"/>
        <w:ind w:left="3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Análise do volume GGBR4</w:t>
      </w:r>
    </w:p>
    <w:p w:rsidR="0051193E" w:rsidRDefault="00502FDF">
      <w:pPr>
        <w:spacing w:before="240" w:after="0" w:line="360" w:lineRule="auto"/>
        <w:ind w:left="30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53098" cy="2038350"/>
            <wp:effectExtent l="0" t="0" r="0" b="0"/>
            <wp:docPr id="58199488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>Fonte: Toro Radar (2017)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1193E" w:rsidRDefault="0051193E">
      <w:pPr>
        <w:spacing w:before="240" w:after="0" w:line="360" w:lineRule="auto"/>
        <w:ind w:left="300"/>
        <w:rPr>
          <w:rFonts w:ascii="Arial" w:eastAsia="Arial" w:hAnsi="Arial" w:cs="Arial"/>
          <w:sz w:val="24"/>
          <w:szCs w:val="24"/>
        </w:rPr>
      </w:pPr>
    </w:p>
    <w:p w:rsidR="0051193E" w:rsidRDefault="00502FDF">
      <w:pPr>
        <w:pStyle w:val="Ttulo2"/>
      </w:pPr>
      <w:bookmarkStart w:id="10" w:name="_Toc484865197"/>
      <w:r>
        <w:rPr>
          <w:rFonts w:ascii="Arial" w:eastAsia="Arial" w:hAnsi="Arial" w:cs="Arial"/>
          <w:sz w:val="24"/>
          <w:szCs w:val="24"/>
        </w:rPr>
        <w:t>4.3 ANÁLISE DA VOLATILIDADE HISTÓRICA DAS SÉRIES</w:t>
      </w:r>
      <w:bookmarkEnd w:id="10"/>
    </w:p>
    <w:p w:rsidR="0051193E" w:rsidRDefault="0051193E">
      <w:pPr>
        <w:spacing w:before="240" w:after="0" w:line="570" w:lineRule="exact"/>
        <w:ind w:left="300"/>
        <w:jc w:val="center"/>
        <w:rPr>
          <w:rFonts w:ascii="Arial" w:eastAsia="Arial" w:hAnsi="Arial" w:cs="Arial"/>
          <w:sz w:val="24"/>
          <w:szCs w:val="24"/>
        </w:rPr>
      </w:pPr>
    </w:p>
    <w:p w:rsidR="0051193E" w:rsidRDefault="00502FDF">
      <w:pPr>
        <w:spacing w:before="240" w:after="0" w:line="570" w:lineRule="exact"/>
        <w:ind w:left="3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Análise da volatilidade GGBR4</w:t>
      </w:r>
    </w:p>
    <w:p w:rsidR="0051193E" w:rsidRDefault="00502FDF">
      <w:pPr>
        <w:spacing w:before="240" w:after="0" w:line="360" w:lineRule="auto"/>
        <w:ind w:left="30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53098" cy="2047875"/>
            <wp:effectExtent l="0" t="0" r="0" b="0"/>
            <wp:docPr id="55932918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 xml:space="preserve">Fonte: Toro Radar (2017) </w:t>
      </w:r>
    </w:p>
    <w:p w:rsidR="0051193E" w:rsidRDefault="0051193E">
      <w:pPr>
        <w:spacing w:before="240" w:after="0" w:line="285" w:lineRule="exact"/>
        <w:ind w:left="300"/>
        <w:jc w:val="both"/>
        <w:rPr>
          <w:rFonts w:ascii="Arial" w:eastAsia="Arial" w:hAnsi="Arial" w:cs="Arial"/>
          <w:sz w:val="24"/>
          <w:szCs w:val="24"/>
        </w:rPr>
      </w:pPr>
    </w:p>
    <w:p w:rsidR="0051193E" w:rsidRDefault="0051193E">
      <w:pPr>
        <w:spacing w:before="240" w:after="0" w:line="360" w:lineRule="auto"/>
        <w:rPr>
          <w:rFonts w:ascii="Arial" w:eastAsia="Arial" w:hAnsi="Arial" w:cs="Arial"/>
          <w:sz w:val="24"/>
          <w:szCs w:val="24"/>
        </w:rPr>
      </w:pPr>
    </w:p>
    <w:p w:rsidR="0051193E" w:rsidRDefault="00502FDF">
      <w:pPr>
        <w:spacing w:before="240" w:after="0" w:line="360" w:lineRule="auto"/>
        <w:rPr>
          <w:rFonts w:ascii="Arial" w:hAnsi="Arial" w:cs="Arial"/>
          <w:b/>
          <w:color w:val="000000"/>
          <w:kern w:val="36"/>
          <w:sz w:val="24"/>
          <w:szCs w:val="24"/>
          <w:lang w:eastAsia="pt-BR"/>
        </w:rPr>
      </w:pPr>
      <w:r>
        <w:br w:type="page"/>
      </w:r>
    </w:p>
    <w:p w:rsidR="0051193E" w:rsidRDefault="00502FDF">
      <w:pPr>
        <w:pStyle w:val="Ttulo1"/>
      </w:pPr>
      <w:bookmarkStart w:id="11" w:name="_Toc484865198"/>
      <w:r>
        <w:rPr>
          <w:rFonts w:ascii="Arial" w:eastAsia="Arial" w:hAnsi="Arial" w:cs="Arial"/>
          <w:sz w:val="24"/>
          <w:szCs w:val="24"/>
        </w:rPr>
        <w:lastRenderedPageBreak/>
        <w:t>5 DESENVOLVIMENTO</w:t>
      </w:r>
      <w:bookmarkEnd w:id="11"/>
      <w:r>
        <w:t xml:space="preserve"> </w:t>
      </w:r>
    </w:p>
    <w:p w:rsidR="0051193E" w:rsidRDefault="00502FDF">
      <w:pPr>
        <w:pStyle w:val="Ttulo2"/>
      </w:pPr>
      <w:bookmarkStart w:id="12" w:name="_Toc484865199"/>
      <w:r>
        <w:rPr>
          <w:rFonts w:ascii="Arial" w:eastAsia="Arial" w:hAnsi="Arial" w:cs="Arial"/>
          <w:sz w:val="24"/>
          <w:szCs w:val="24"/>
        </w:rPr>
        <w:t>5.1 GERDAU (GGBR4)</w:t>
      </w:r>
      <w:bookmarkEnd w:id="12"/>
      <w:r>
        <w:t xml:space="preserve"> </w:t>
      </w:r>
    </w:p>
    <w:p w:rsidR="0051193E" w:rsidRDefault="00502FDF">
      <w:pPr>
        <w:pStyle w:val="Ttulo3"/>
      </w:pPr>
      <w:bookmarkStart w:id="13" w:name="_Toc484865200"/>
      <w:r>
        <w:rPr>
          <w:rFonts w:ascii="Arial" w:eastAsia="Arial" w:hAnsi="Arial" w:cs="Arial"/>
          <w:i/>
          <w:color w:val="auto"/>
        </w:rPr>
        <w:t>5.1.1Setup Média Móvel (MMA-9)</w:t>
      </w:r>
      <w:bookmarkEnd w:id="13"/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373126" cy="5276850"/>
            <wp:effectExtent l="19050" t="0" r="8624" b="0"/>
            <wp:docPr id="1" name="Imagem 1" descr="https://lh6.googleusercontent.com/bxu_UlmmSwmQ5gdBQxBH1IiR5CKpMspcrVXs6i4zadUyhtn924QsZ4cCD1gcPN2qVTYESdRK-tDtg6_OGZ4l_q5VxBIGMJJ1a0sX6nEtmF805yDWXtZ9uDMivSZLEiPXZjpALW6Hmokn-u-w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bxu_UlmmSwmQ5gdBQxBH1IiR5CKpMspcrVXs6i4zadUyhtn924QsZ4cCD1gcPN2qVTYESdRK-tDtg6_OGZ4l_q5VxBIGMJJ1a0sX6nEtmF805yDWXtZ9uDMivSZLEiPXZjpALW6Hmokn-u-wJ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26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Aplicando-se estratégia baseada no indicador de média móvel relativa referente a 9 semanas, percebe-se um aumento significativo do capital acumulado. De 03/01/2011 a 12/12/2016 observa-se um crescimento de 1620%, conforme demonstrado no Gráfico 1.</w:t>
      </w:r>
    </w:p>
    <w:p w:rsidR="0051193E" w:rsidRDefault="0051193E">
      <w:pPr>
        <w:spacing w:after="16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Gráfico_ 1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000625" cy="3000375"/>
            <wp:effectExtent l="19050" t="0" r="9525" b="0"/>
            <wp:docPr id="2" name="Imagem 2" descr="https://lh5.googleusercontent.com/HcjxnUyKz4v7-Z47FLODmUcKPyO9ZNIehp1G_U9LU56MhjJSLhMLalrFYXE-lLvv8joqUwcVztrfk7R8R3a5JaM7EYvm_M8w375silKh1BoSPKPxoK5sY7mCN2HyIsRqFbFMrAM0Z_663mFb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HcjxnUyKz4v7-Z47FLODmUcKPyO9ZNIehp1G_U9LU56MhjJSLhMLalrFYXE-lLvv8joqUwcVztrfk7R8R3a5JaM7EYvm_M8w375silKh1BoSPKPxoK5sY7mCN2HyIsRqFbFMrAM0Z_663mFb1Q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83" cy="3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Na simulação realizada, um capital inicial de R$ 50 mil reais resultou, em um período de aproximadamente 5 anos e meio, um capital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acumulado  de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R$ 860.013,82. Esse crescimento, pode ser dividido em dois períodos. Inicialmente, de 2011 a 2013, temos um crescimento conservador, graficamente, conforme demonstrado no Gráfico_2, percebe-se nesse período que a linha de acumulação de capital é quase horizontal.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Gráfico_2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05300" cy="2486025"/>
            <wp:effectExtent l="19050" t="0" r="0" b="0"/>
            <wp:docPr id="3" name="Imagem 3" descr="https://lh3.googleusercontent.com/ZXnR16oGLUOb0b6ziqi-uWNp4ynDiNTkIxoPxSExS7tAzM7o5J3y7uVWJPW7YFPkvbpfjx1SCUZTw1Yn39PtngG9-GKrKEVRq7EnK16D0s-s1JQJI-vqdk264ewPDXNSeMLhrcfRehtz-RCk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ZXnR16oGLUOb0b6ziqi-uWNp4ynDiNTkIxoPxSExS7tAzM7o5J3y7uVWJPW7YFPkvbpfjx1SCUZTw1Yn39PtngG9-GKrKEVRq7EnK16D0s-s1JQJI-vqdk264ewPDXNSeMLhrcfRehtz-RCkU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 partir de 2014 verifica-se um crescimento mais agressivo do Capital Acumulado líquido. Uma confirmação desse período, é o trade iniciado no dia 17/07/2013 e finalizado em 06/01/2014. Nessa operação o retorno acumulado sobre capital foi de 180%, 50p.p superior ao período anterior. O retorno % médio por trade alcançou os 10%, sendo o menor retorno adquirido analisando todos os períodos subsequentes, evidenciando o sucesso da estratégia adotada.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           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Gráfico_3</w:t>
      </w:r>
    </w:p>
    <w:p w:rsidR="0051193E" w:rsidRDefault="00502FDF" w:rsidP="00502FDF">
      <w:pPr>
        <w:rPr>
          <w:lang w:eastAsia="pt-BR"/>
        </w:rPr>
      </w:pPr>
      <w:r>
        <w:rPr>
          <w:lang w:eastAsia="pt-BR"/>
        </w:rPr>
        <w:t>          </w:t>
      </w:r>
      <w:r>
        <w:rPr>
          <w:noProof/>
          <w:lang w:eastAsia="pt-BR"/>
        </w:rPr>
        <w:drawing>
          <wp:inline distT="0" distB="0" distL="0" distR="0">
            <wp:extent cx="4572000" cy="2743200"/>
            <wp:effectExtent l="19050" t="0" r="0" b="0"/>
            <wp:docPr id="4" name="Imagem 4" descr="https://lh5.googleusercontent.com/e_yO7At_n0qyUOVf2AQst0PhN1fWUklRoFeZDykbm6RAdV9mtqiV2sSsmbd9IUftbt1qBBLWu0PaO5xx3bZD85tFZaWgNjGlr-wqNXOzNkJOLCPY-OgC_vZSHJLkg3hfCvRnUzRYjxKR3aiM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e_yO7At_n0qyUOVf2AQst0PhN1fWUklRoFeZDykbm6RAdV9mtqiV2sSsmbd9IUftbt1qBBLWu0PaO5xx3bZD85tFZaWgNjGlr-wqNXOzNkJOLCPY-OgC_vZSHJLkg3hfCvRnUzRYjxKR3aiMs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É importante ressaltar que apesar da utilização da estratégia, houve um período em que se constatou prejuízo na operação, o que demonstra que a estratégia é suscetível a alguns erros. Esse fato ocorreu no primeiro</w:t>
      </w:r>
      <w:r>
        <w:rPr>
          <w:rFonts w:ascii="Arial" w:hAnsi="Arial" w:cs="Arial"/>
          <w:i/>
          <w:color w:val="000000"/>
          <w:sz w:val="24"/>
          <w:szCs w:val="24"/>
          <w:lang w:eastAsia="pt-BR"/>
        </w:rPr>
        <w:t xml:space="preserve"> trade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apresentado no setup, entre 03 de janeiro de 2011 e 28 de fevereiro do mesmo ano, em que foram aplicados R$ 50.000,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00 ,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possibilitando a compra de 3000 ações ao preço de R$16,58. No dia 28 de fevereiro, o modelo gerado indicava momento de venda das ações, que na data estavam sendo negociadas a R$ 15,70. Tal operação realizou um prejuízo de R$2122,00.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 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62625" cy="2790825"/>
            <wp:effectExtent l="19050" t="0" r="9525" b="0"/>
            <wp:docPr id="5" name="Imagem 5" descr="https://lh3.googleusercontent.com/BPCi0VGYM8MFloUATJbIQyIBdzMb5vsOXi7S_1Wu2Bb6nPRF1270Qd9PUGq37726tfEP2G5pJFQvXWEvWtSReoR8cT-uyERStXgLX6Sho0SeujYFTcv7084UwMYBrB7NGMbDpQzy5N1iHRDe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BPCi0VGYM8MFloUATJbIQyIBdzMb5vsOXi7S_1Wu2Bb6nPRF1270Qd9PUGq37726tfEP2G5pJFQvXWEvWtSReoR8cT-uyERStXgLX6Sho0SeujYFTcv7084UwMYBrB7NGMbDpQzy5N1iHRDeh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tabs>
          <w:tab w:val="left" w:pos="2055"/>
        </w:tabs>
        <w:spacing w:after="160" w:line="360" w:lineRule="auto"/>
        <w:ind w:left="-1418"/>
        <w:jc w:val="both"/>
        <w:rPr>
          <w:rFonts w:ascii="Arial" w:hAnsi="Arial" w:cs="Arial"/>
          <w:b/>
          <w:kern w:val="36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  <w:r>
        <w:rPr>
          <w:rFonts w:ascii="Arial" w:hAnsi="Arial" w:cs="Arial"/>
          <w:sz w:val="24"/>
          <w:szCs w:val="24"/>
          <w:lang w:eastAsia="pt-BR"/>
        </w:rPr>
        <w:tab/>
      </w:r>
    </w:p>
    <w:p w:rsidR="0051193E" w:rsidRDefault="00502FDF">
      <w:pPr>
        <w:pStyle w:val="Ttulo3"/>
      </w:pPr>
      <w:bookmarkStart w:id="14" w:name="_Toc484865201"/>
      <w:r>
        <w:rPr>
          <w:rFonts w:ascii="Arial" w:eastAsia="Arial" w:hAnsi="Arial" w:cs="Arial"/>
          <w:i/>
          <w:color w:val="auto"/>
        </w:rPr>
        <w:t>5.1.2 Setup Índice de Força Relativa (IFR-9)</w:t>
      </w:r>
      <w:bookmarkEnd w:id="14"/>
    </w:p>
    <w:p w:rsidR="0051193E" w:rsidRDefault="00502FDF">
      <w:pPr>
        <w:spacing w:before="40" w:after="0" w:line="360" w:lineRule="auto"/>
        <w:jc w:val="both"/>
        <w:outlineLvl w:val="1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 </w:t>
      </w:r>
    </w:p>
    <w:p w:rsidR="0051193E" w:rsidRDefault="00502FDF" w:rsidP="00502FDF">
      <w:pPr>
        <w:rPr>
          <w:b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753225" cy="1811841"/>
            <wp:effectExtent l="19050" t="0" r="9525" b="0"/>
            <wp:docPr id="6" name="Imagem 6" descr="https://lh3.googleusercontent.com/UDrtBlzX_G5-SAT9vFQ-Ce5c1zxft-_bZMBxA8n_q9au-N2gZrZ_lhuNkWeJ7Cf2zFZrI9mPvAXNgLlp3LIyJJYLOSIozHK8UMqM0oN5dREMnKavalXVN4dGe3k6Yh6xXMepxwaoWtTPSoai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UDrtBlzX_G5-SAT9vFQ-Ce5c1zxft-_bZMBxA8n_q9au-N2gZrZ_lhuNkWeJ7Cf2zFZrI9mPvAXNgLlp3LIyJJYLOSIozHK8UMqM0oN5dREMnKavalXVN4dGe3k6Yh6xXMepxwaoWtTPSoai_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81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before="40" w:after="0" w:line="360" w:lineRule="auto"/>
        <w:jc w:val="both"/>
        <w:outlineLvl w:val="1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Backtesting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demonstra que a estratégia de se utilizar o indicador IRF de 9 semanas para comprar e vender ações da Gerdau, não é recomendável. Durante o período analisado, o capital inicial investido reduziu-se 54 %, conforme demonstrado no Gráfico_ 4. O Capital em sua última operação realizou um prejuízo geral de aproximadamente R$26.500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before="40" w:after="0" w:line="360" w:lineRule="auto"/>
        <w:jc w:val="both"/>
        <w:outlineLvl w:val="1"/>
        <w:rPr>
          <w:rFonts w:ascii="Arial" w:hAnsi="Arial" w:cs="Arial"/>
          <w:b/>
          <w:sz w:val="24"/>
          <w:szCs w:val="24"/>
          <w:lang w:eastAsia="pt-BR"/>
        </w:rPr>
      </w:pPr>
      <w:bookmarkStart w:id="15" w:name="_Toc484865202"/>
      <w:r>
        <w:rPr>
          <w:rFonts w:ascii="Arial" w:hAnsi="Arial" w:cs="Arial"/>
          <w:color w:val="000000"/>
          <w:sz w:val="24"/>
          <w:szCs w:val="24"/>
          <w:lang w:eastAsia="pt-BR"/>
        </w:rPr>
        <w:t>Gráfico_4</w:t>
      </w:r>
      <w:bookmarkEnd w:id="15"/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 </w:t>
      </w:r>
    </w:p>
    <w:p w:rsidR="0051193E" w:rsidRDefault="00502FDF" w:rsidP="00502FDF">
      <w:pPr>
        <w:rPr>
          <w:b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72000" cy="2743200"/>
            <wp:effectExtent l="19050" t="0" r="0" b="0"/>
            <wp:docPr id="7" name="Imagem 7" descr="https://lh6.googleusercontent.com/8y9qFPXZ50KcMR7Mf0RwMzClkwlL-yxceUxwy5mTA2Mjh_uGNLdrxdOwgWFBaol48cNwmX0IdRsmwc576gFV2CqvCwIyvsrd7fiuFMUQpY85lLFa4iJCwEhWrMovolV5d2RZTc6tYtNiylpp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8y9qFPXZ50KcMR7Mf0RwMzClkwlL-yxceUxwy5mTA2Mjh_uGNLdrxdOwgWFBaol48cNwmX0IdRsmwc576gFV2CqvCwIyvsrd7fiuFMUQpY85lLFa4iJCwEhWrMovolV5d2RZTc6tYtNiylppD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Apesar do resultado negativo em um curto período de tempo a estratégia foi efetiva. O trade realizado entre 14 de maio de 2012 e 30 de julho de 2012, gerou um crescimento de 2% do capital acumulado líquido. Esse é um valor expressivo uma vez que o patrimônio acumulado líquido apresentava-se em queda. </w:t>
      </w:r>
    </w:p>
    <w:p w:rsidR="0051193E" w:rsidRDefault="00502FDF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 análise do Retorno acumulado sobre o capital evidencia três períodos expressivos. O primeiro ponto refere-se à situação comentada anteriormente, em que o retorno acumulado cresceu e poderia apresentar um sinal de que a estratégia estaria dando certo. O segundo período refere-se a julho de 2012 e estende-se até agosto de 2013, em que o retorno médio passa a decrescer, mas não de forma acentuada. Em outubro de 2013, o </w:t>
      </w:r>
      <w:proofErr w:type="spellStart"/>
      <w:r>
        <w:rPr>
          <w:rFonts w:ascii="Arial" w:hAnsi="Arial" w:cs="Arial"/>
          <w:i/>
          <w:color w:val="000000"/>
          <w:sz w:val="24"/>
          <w:szCs w:val="24"/>
          <w:lang w:eastAsia="pt-BR"/>
        </w:rPr>
        <w:t>backtesting</w:t>
      </w:r>
      <w:proofErr w:type="spellEnd"/>
      <w:r>
        <w:rPr>
          <w:rFonts w:ascii="Arial" w:hAnsi="Arial" w:cs="Arial"/>
          <w:i/>
          <w:color w:val="000000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demonstra, que a estratégia utilizada não é conveniente para a Gerdau, o retorno acumulado sobre o capital cai de forma acentuada.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1193E">
      <w:pPr>
        <w:spacing w:after="16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193E" w:rsidRDefault="0051193E">
      <w:pPr>
        <w:spacing w:after="160"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Gráfico_5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72000" cy="2743200"/>
            <wp:effectExtent l="19050" t="0" r="0" b="0"/>
            <wp:docPr id="8" name="Imagem 8" descr="https://lh6.googleusercontent.com/5IB0f_Rl-P774lP1NRKX3H3a3uUtxWf6ubGQxO_6T4nLJsPFtzQ0In3H-cUlRFKhDz1fHEt8f70Xd0TtydKstsOhmzKBIiNok6Quop0OrjOcOnu4zzzMeny7v1c2fDzGcdgRM4ZFYhtA02Jb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5IB0f_Rl-P774lP1NRKX3H3a3uUtxWf6ubGQxO_6T4nLJsPFtzQ0In3H-cUlRFKhDz1fHEt8f70Xd0TtydKstsOhmzKBIiNok6Quop0OrjOcOnu4zzzMeny7v1c2fDzGcdgRM4ZFYhtA02JbOQ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Como a utilização do IRF para compra e venda de ações apontou poucas situações de compra e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venda ,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o Retorno médio por trade ficou muito semelhante ao Retorno % acumulado sobre capital, conforme aponta o gráfico a seguir.</w:t>
      </w:r>
    </w:p>
    <w:p w:rsidR="0051193E" w:rsidRDefault="00502FDF">
      <w:pPr>
        <w:spacing w:before="40" w:after="0" w:line="360" w:lineRule="auto"/>
        <w:jc w:val="both"/>
        <w:outlineLvl w:val="1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Gráfico_6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410075" cy="2562225"/>
            <wp:effectExtent l="19050" t="0" r="9525" b="0"/>
            <wp:docPr id="9" name="Imagem 9" descr="https://lh3.googleusercontent.com/kqXxeif5KA6aZisga5u_YwvooGMqYCByUL96T8h1RgI2O1E7cFrDfzz8anyondbzoFWzfKqvioMv9-KU0T8QJbzwpNVqG40F9Ym7L4XN5eLlsLmeJ60it56XMNTHNoVhJbnwHwr0esYw8_y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kqXxeif5KA6aZisga5u_YwvooGMqYCByUL96T8h1RgI2O1E7cFrDfzz8anyondbzoFWzfKqvioMv9-KU0T8QJbzwpNVqG40F9Ym7L4XN5eLlsLmeJ60it56XMNTHNoVhJbnwHwr0esYw8_yam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62625" cy="2838450"/>
            <wp:effectExtent l="19050" t="0" r="9525" b="0"/>
            <wp:docPr id="10" name="Imagem 10" descr="https://lh6.googleusercontent.com/4q6mN-6CkIXDMJsqEXnSoAATlH9Z2iiFDegmYkgq0hgsSbaCThtsDp-7a7FdMd9tCtfn4Mvukf_BtV_SprznK_uhshUmKzotJy-3KxFxlUoRHVwfkNuzEgi86u6lEk8UR8ozgguPbu-RSx2z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4q6mN-6CkIXDMJsqEXnSoAATlH9Z2iiFDegmYkgq0hgsSbaCThtsDp-7a7FdMd9tCtfn4Mvukf_BtV_SprznK_uhshUmKzotJy-3KxFxlUoRHVwfkNuzEgi86u6lEk8UR8ozgguPbu-RSx2zYw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pStyle w:val="Ttulo2"/>
        <w:rPr>
          <w:rFonts w:ascii="Arial" w:eastAsia="Arial" w:hAnsi="Arial" w:cs="Arial"/>
          <w:sz w:val="24"/>
          <w:szCs w:val="24"/>
        </w:rPr>
      </w:pPr>
      <w:bookmarkStart w:id="16" w:name="_Toc484865203"/>
      <w:r>
        <w:rPr>
          <w:rFonts w:ascii="Arial" w:eastAsia="Arial" w:hAnsi="Arial" w:cs="Arial"/>
          <w:sz w:val="24"/>
          <w:szCs w:val="24"/>
        </w:rPr>
        <w:t>5.2 ITAU (ITUB4)</w:t>
      </w:r>
      <w:bookmarkEnd w:id="16"/>
    </w:p>
    <w:p w:rsidR="0051193E" w:rsidRDefault="00502FDF">
      <w:pPr>
        <w:pStyle w:val="Ttulo3"/>
      </w:pPr>
      <w:bookmarkStart w:id="17" w:name="_Toc484865204"/>
      <w:r>
        <w:rPr>
          <w:rFonts w:ascii="Arial" w:eastAsia="Arial" w:hAnsi="Arial" w:cs="Arial"/>
          <w:i/>
          <w:color w:val="auto"/>
        </w:rPr>
        <w:t>5.2.1 Setup Média Móvel (MMA-9)</w:t>
      </w:r>
      <w:bookmarkEnd w:id="17"/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72200" cy="3267075"/>
            <wp:effectExtent l="19050" t="0" r="0" b="0"/>
            <wp:docPr id="11" name="Imagem 11" descr="https://lh3.googleusercontent.com/jIBkuMvhbJVL_ln3d1IQUs_a-ad1NHxBojjNVtnpvJ-kQ8XbBRZ-MD6wr35cqx_kKvhlgSfePlm8byr9rEYDn8yyzvENViXGqv9p56YoOK1NXJTJqwSnqBDjaxEXTDKudBkw4-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jIBkuMvhbJVL_ln3d1IQUs_a-ad1NHxBojjNVtnpvJ-kQ8XbBRZ-MD6wr35cqx_kKvhlgSfePlm8byr9rEYDn8yyzvENViXGqv9p56YoOK1NXJTJqwSnqBDjaxEXTDKudBkw4-sw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Aplicando-se estratégia baseada no indicador de média móvel relativa referente a 9 semanas, percebe-se um aumento significativo do capital acumulado. De </w:t>
      </w: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08/08/2011 a 11/04/2016 observa-se um crescimento de 1968%, conforme demonstrado no Gráfico 1.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Gráfico_1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038725" cy="3114675"/>
            <wp:effectExtent l="19050" t="0" r="9525" b="0"/>
            <wp:docPr id="12" name="Imagem 12" descr="https://lh6.googleusercontent.com/z4AHS8truYq5ELDrx43OtKEtI9W79oBTFkVOPa-NctCySQzAELrv16FM09w1oM8H5Lt6CI2Fq2lFKf5u3KVdLsOhiYAPF6Sughow2NAxPYr3I-VNdsSGnGap_cMSjewNk7kW8jw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z4AHS8truYq5ELDrx43OtKEtI9W79oBTFkVOPa-NctCySQzAELrv16FM09w1oM8H5Lt6CI2Fq2lFKf5u3KVdLsOhiYAPF6Sughow2NAxPYr3I-VNdsSGnGap_cMSjewNk7kW8jwj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 Na simulação realizada, um capital inicial de R$ 50 mil reais resultou, em um período de aproximadamente 5 anos e meio, um capital </w:t>
      </w:r>
      <w:proofErr w:type="gramStart"/>
      <w:r>
        <w:rPr>
          <w:rFonts w:ascii="Arial" w:hAnsi="Arial" w:cs="Arial"/>
          <w:sz w:val="24"/>
          <w:szCs w:val="24"/>
          <w:lang w:eastAsia="pt-BR"/>
        </w:rPr>
        <w:t>acumulado  de</w:t>
      </w:r>
      <w:proofErr w:type="gramEnd"/>
      <w:r>
        <w:rPr>
          <w:rFonts w:ascii="Arial" w:hAnsi="Arial" w:cs="Arial"/>
          <w:sz w:val="24"/>
          <w:szCs w:val="24"/>
          <w:lang w:eastAsia="pt-BR"/>
        </w:rPr>
        <w:t xml:space="preserve"> R$1.033.938,51  temos um crescimento conservador, graficamente, conforme demonstrado no Gráfico_2, percebe-se nesse período que a linha de acumulação de capital é quase horizontal.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Gráfico_2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675" cy="3333750"/>
            <wp:effectExtent l="19050" t="0" r="9525" b="0"/>
            <wp:docPr id="13" name="Imagem 13" descr="https://lh4.googleusercontent.com/A48wELmufMtg9LSmOnLhe9NYmE5TuoJyOLkYLdi51kxb7DBdxb55rJsNjQcGPnJN-fR9kl1fJSsRoywLLdFAqUx7o0IppdNdiqeUkVFXK36pyC4oSKwUjc99NONKIKCZPe14ex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A48wELmufMtg9LSmOnLhe9NYmE5TuoJyOLkYLdi51kxb7DBdxb55rJsNjQcGPnJN-fR9kl1fJSsRoywLLdFAqUx7o0IppdNdiqeUkVFXK36pyC4oSKwUjc99NONKIKCZPe14exsS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53125" cy="3020465"/>
            <wp:effectExtent l="19050" t="0" r="9525" b="0"/>
            <wp:docPr id="14" name="Imagem 14" descr="ITUB4 - SETU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TUB4 - SETUP 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pStyle w:val="Ttulo3"/>
      </w:pPr>
      <w:bookmarkStart w:id="18" w:name="_Toc484865205"/>
      <w:r>
        <w:rPr>
          <w:rFonts w:ascii="Arial" w:eastAsia="Arial" w:hAnsi="Arial" w:cs="Arial"/>
          <w:i/>
          <w:color w:val="auto"/>
        </w:rPr>
        <w:lastRenderedPageBreak/>
        <w:t>5.2.2 Setup Índice de Força Relativa (IFR-9)</w:t>
      </w:r>
      <w:bookmarkEnd w:id="18"/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057775" cy="904875"/>
            <wp:effectExtent l="19050" t="0" r="9525" b="0"/>
            <wp:docPr id="15" name="Imagem 15" descr="https://lh5.googleusercontent.com/p8ptcQHe4w4b1Rx7e4KNO4mM4wEIYVnPWzi1X4orVzQwudrikxGF5uGKwrbowT4Pn0utzkTztOr8ZV6INHZxp9RwjSEbusZonxkBMYhTuVH-EowRZlkL41Cqf_mFQVHc1_ffq-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p8ptcQHe4w4b1Rx7e4KNO4mM4wEIYVnPWzi1X4orVzQwudrikxGF5uGKwrbowT4Pn0utzkTztOr8ZV6INHZxp9RwjSEbusZonxkBMYhTuVH-EowRZlkL41Cqf_mFQVHc1_ffq-D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Backtesting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demonstra que a estratégia de se utilizar o indicador IRF de 9 semanas para comprar e vender ações da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Itau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>, é recomendável. Durante o período analisado, o capital inicial investido aumentou 164 %, conforme demonstrado no Gráfico_ 2. O Capital em sua última operação realizou um lucro geral de aproximadamente R$131.991,02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Gráfico_2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43525" cy="3305175"/>
            <wp:effectExtent l="19050" t="0" r="9525" b="0"/>
            <wp:docPr id="16" name="Imagem 16" descr="https://lh5.googleusercontent.com/h-F7yvYY3em3h0RTTmLiF0ram0dICR98xcfGiY6_TV91ATOQcUpYKxRN9j8t8jfINQuAyCXJYpuy6WwMKg0j42YHv3r5JT9zbUiI_qW85gDha3P0PBsQFfyQVI-HyeI8mj_d5U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h-F7yvYY3em3h0RTTmLiF0ram0dICR98xcfGiY6_TV91ATOQcUpYKxRN9j8t8jfINQuAyCXJYpuy6WwMKg0j42YHv3r5JT9zbUiI_qW85gDha3P0PBsQFfyQVI-HyeI8mj_d5Ur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Como a utilização do IRF para compra e venda de ações apontou boas situações de compra e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venda ,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o Retorno médio por trade não ficou muito semelhante ao Retorno % acumulado sobre capital, conforme aponta o gráfico a seguir.</w:t>
      </w:r>
    </w:p>
    <w:p w:rsidR="0051193E" w:rsidRDefault="00502FDF">
      <w:pPr>
        <w:spacing w:after="160" w:line="360" w:lineRule="auto"/>
        <w:ind w:firstLine="851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 </w:t>
      </w:r>
    </w:p>
    <w:p w:rsidR="0051193E" w:rsidRDefault="00502FDF" w:rsidP="00502FDF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29250" cy="3352800"/>
            <wp:effectExtent l="19050" t="0" r="0" b="0"/>
            <wp:docPr id="17" name="Imagem 17" descr="https://lh4.googleusercontent.com/kYREn3uPyUXJymczv3sbuIRWnnOMzYn3y_kiNsgmknA1okQEEzd0qrGYyzHSX2FzwhrkXb7RxjFulXq6o2DPhOMZ6xuSRJmnyyz-94zlEuGK85c6cYsf1kISAe2inBGupuRBqw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kYREn3uPyUXJymczv3sbuIRWnnOMzYn3y_kiNsgmknA1okQEEzd0qrGYyzHSX2FzwhrkXb7RxjFulXq6o2DPhOMZ6xuSRJmnyyz-94zlEuGK85c6cYsf1kISAe2inBGupuRBqwR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6153150" cy="3133725"/>
            <wp:effectExtent l="19050" t="0" r="0" b="0"/>
            <wp:docPr id="18" name="Imagem 18" descr="ITUB4 - SETU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TUB4 - SETUP 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r>
        <w:br w:type="page"/>
      </w:r>
    </w:p>
    <w:p w:rsidR="0051193E" w:rsidRDefault="00502FDF">
      <w:pPr>
        <w:spacing w:before="240" w:after="0" w:line="360" w:lineRule="auto"/>
        <w:jc w:val="both"/>
        <w:outlineLvl w:val="0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bookmarkStart w:id="19" w:name="_Toc484865206"/>
      <w:r>
        <w:rPr>
          <w:rFonts w:ascii="Arial" w:hAnsi="Arial" w:cs="Arial"/>
          <w:b/>
          <w:color w:val="000000"/>
          <w:kern w:val="36"/>
          <w:sz w:val="24"/>
          <w:szCs w:val="24"/>
          <w:lang w:eastAsia="pt-BR"/>
        </w:rPr>
        <w:lastRenderedPageBreak/>
        <w:t>6. CONCLUSÃO</w:t>
      </w:r>
      <w:bookmarkEnd w:id="19"/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02FD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 um modo geral, as metodologias utilizadas neste trabalho levam a analises relevantes. Aplicando-se estratégia baseada no indicador de média móvel relativa referente a 9 semanas, para a empresa Gerdau, percebe-se um aumento significativo do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capital ,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observando um crescimento de 1620%. Na simulação realizada, um capital inicial de R$ 50 mil reais resultou, em um período de aproximadamente 5 anos e meio, um capital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acumulado  de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R$ 860.013,82. Entretanto, o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Backtesting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demonstra que a estratégia de se utilizar o indicador IRF de 9 semanas para comprar e vender ações da Gerdau, não é recomendável. Durante o período analisado, o capital inicial investido reduziu-se 54 %.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Já com a empresa Itaú, o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Backtesting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demonstra que a estratégia de se utilizar o indicador IRF de 9 semanas para comprar e vender ações da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pt-BR"/>
        </w:rPr>
        <w:t>Itau</w:t>
      </w:r>
      <w:proofErr w:type="spellEnd"/>
      <w:r>
        <w:rPr>
          <w:rFonts w:ascii="Arial" w:hAnsi="Arial" w:cs="Arial"/>
          <w:color w:val="000000"/>
          <w:sz w:val="24"/>
          <w:szCs w:val="24"/>
          <w:lang w:eastAsia="pt-BR"/>
        </w:rPr>
        <w:t>, é recomendável. Durante o período analisado, o capital inicial investido aumentou 164 %. Aplicando-se estratégia baseada no indicador de média móvel relativa referente a 9 semanas, para a empresa Itaú, percebe-se um aumento significativo do capital acumulado, observando um crescimento de 1968%</w:t>
      </w:r>
      <w:r>
        <w:rPr>
          <w:rFonts w:ascii="Arial" w:hAnsi="Arial" w:cs="Arial"/>
          <w:i/>
          <w:color w:val="000000"/>
          <w:sz w:val="24"/>
          <w:szCs w:val="24"/>
          <w:lang w:eastAsia="pt-BR"/>
        </w:rPr>
        <w:t xml:space="preserve">,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demonstrando ser uma ótima opção de investimento. </w:t>
      </w: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Default="0051193E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51193E" w:rsidRPr="00502FDF" w:rsidRDefault="00502FDF" w:rsidP="00502FDF">
      <w:pPr>
        <w:pStyle w:val="Ttulo1"/>
        <w:rPr>
          <w:rFonts w:ascii="Arial" w:hAnsi="Arial" w:cs="Arial"/>
          <w:sz w:val="24"/>
          <w:szCs w:val="24"/>
        </w:rPr>
      </w:pPr>
      <w:bookmarkStart w:id="20" w:name="_Toc484865207"/>
      <w:r w:rsidRPr="00502FDF">
        <w:rPr>
          <w:rFonts w:ascii="Arial" w:hAnsi="Arial" w:cs="Arial"/>
          <w:sz w:val="24"/>
          <w:szCs w:val="24"/>
        </w:rPr>
        <w:lastRenderedPageBreak/>
        <w:t>7. REFERÊNCIA</w:t>
      </w:r>
      <w:bookmarkEnd w:id="20"/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OLIVEIRA, Eulina. Participação de pessoas físicas na Bolsa sobe para 17% em 2016. </w:t>
      </w:r>
      <w:r>
        <w:rPr>
          <w:rFonts w:ascii="Arial" w:hAnsi="Arial" w:cs="Arial"/>
          <w:b/>
          <w:color w:val="000000"/>
          <w:sz w:val="24"/>
          <w:szCs w:val="24"/>
          <w:lang w:eastAsia="pt-BR"/>
        </w:rPr>
        <w:t>Mercado-Folha de São Paulo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. 05 de janeiro de 2017. Disponível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em:</w:t>
      </w:r>
      <w:r>
        <w:rPr>
          <w:rFonts w:ascii="Arial" w:hAnsi="Arial" w:cs="Arial"/>
          <w:color w:val="000000"/>
          <w:sz w:val="24"/>
          <w:szCs w:val="24"/>
          <w:lang w:eastAsia="pt-BR"/>
        </w:rPr>
        <w:br/>
        <w:t>&lt;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http://www1.folha.uol.com.br/mercado/2017/01/1847195-pessoa-fisica-aumenta-participacao-na-bolsa-em-2016.shtml&gt;  Acesso em: 05 jun. 2017.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TORORADAR. IFR- Saiba o que é o Índice de Força Relativa. </w:t>
      </w:r>
      <w:r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Aprenda tudo sobre o mercado de ações.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25 de maio de 2017. Disponível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em:</w:t>
      </w:r>
      <w:r>
        <w:rPr>
          <w:rFonts w:ascii="Arial" w:hAnsi="Arial" w:cs="Arial"/>
          <w:color w:val="000000"/>
          <w:sz w:val="24"/>
          <w:szCs w:val="24"/>
          <w:lang w:eastAsia="pt-BR"/>
        </w:rPr>
        <w:br/>
        <w:t>&lt;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https://www.tororadar.com.br/investimento/analise-tecnica/indice-de-forca-relativa-ifr&gt;  Acesso em: 05 jun. 2017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02FDF">
      <w:pPr>
        <w:spacing w:after="16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 </w:t>
      </w:r>
    </w:p>
    <w:p w:rsidR="0051193E" w:rsidRDefault="0051193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51193E">
      <w:pgSz w:w="11906" w:h="16838"/>
      <w:pgMar w:top="1701" w:right="1134" w:bottom="1134" w:left="17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15564"/>
    <w:multiLevelType w:val="multilevel"/>
    <w:tmpl w:val="6792D8E0"/>
    <w:lvl w:ilvl="0">
      <w:start w:val="4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">
    <w:nsid w:val="1C0814AB"/>
    <w:multiLevelType w:val="hybridMultilevel"/>
    <w:tmpl w:val="0D8E5680"/>
    <w:lvl w:ilvl="0" w:tplc="C9AA39AA">
      <w:start w:val="1"/>
      <w:numFmt w:val="decimal"/>
      <w:lvlText w:val="%1."/>
      <w:lvlJc w:val="left"/>
      <w:pPr>
        <w:ind w:left="1440" w:hanging="720"/>
      </w:pPr>
      <w:rPr>
        <w:rFonts w:hint="default"/>
        <w:sz w:val="24"/>
      </w:rPr>
    </w:lvl>
    <w:lvl w:ilvl="1" w:tplc="8D081636">
      <w:start w:val="1"/>
      <w:numFmt w:val="lowerLetter"/>
      <w:lvlText w:val="%2."/>
      <w:lvlJc w:val="left"/>
      <w:pPr>
        <w:ind w:left="1800" w:hanging="360"/>
      </w:pPr>
    </w:lvl>
    <w:lvl w:ilvl="2" w:tplc="765C2658">
      <w:start w:val="1"/>
      <w:numFmt w:val="lowerRoman"/>
      <w:lvlText w:val="%3."/>
      <w:lvlJc w:val="right"/>
      <w:pPr>
        <w:ind w:left="2520" w:hanging="180"/>
      </w:pPr>
    </w:lvl>
    <w:lvl w:ilvl="3" w:tplc="769A5722">
      <w:start w:val="1"/>
      <w:numFmt w:val="decimal"/>
      <w:lvlText w:val="%4."/>
      <w:lvlJc w:val="left"/>
      <w:pPr>
        <w:ind w:left="3240" w:hanging="360"/>
      </w:pPr>
    </w:lvl>
    <w:lvl w:ilvl="4" w:tplc="3E080CA8">
      <w:start w:val="1"/>
      <w:numFmt w:val="lowerLetter"/>
      <w:lvlText w:val="%5."/>
      <w:lvlJc w:val="left"/>
      <w:pPr>
        <w:ind w:left="3960" w:hanging="360"/>
      </w:pPr>
    </w:lvl>
    <w:lvl w:ilvl="5" w:tplc="CE227A9C">
      <w:start w:val="1"/>
      <w:numFmt w:val="lowerRoman"/>
      <w:lvlText w:val="%6."/>
      <w:lvlJc w:val="right"/>
      <w:pPr>
        <w:ind w:left="4680" w:hanging="180"/>
      </w:pPr>
    </w:lvl>
    <w:lvl w:ilvl="6" w:tplc="534E425E">
      <w:start w:val="1"/>
      <w:numFmt w:val="decimal"/>
      <w:lvlText w:val="%7."/>
      <w:lvlJc w:val="left"/>
      <w:pPr>
        <w:ind w:left="5400" w:hanging="360"/>
      </w:pPr>
    </w:lvl>
    <w:lvl w:ilvl="7" w:tplc="9C8C541E">
      <w:start w:val="1"/>
      <w:numFmt w:val="lowerLetter"/>
      <w:lvlText w:val="%8."/>
      <w:lvlJc w:val="left"/>
      <w:pPr>
        <w:ind w:left="6120" w:hanging="360"/>
      </w:pPr>
    </w:lvl>
    <w:lvl w:ilvl="8" w:tplc="6FB4BC2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21143E"/>
    <w:multiLevelType w:val="multilevel"/>
    <w:tmpl w:val="621670A2"/>
    <w:lvl w:ilvl="0">
      <w:start w:val="3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3">
    <w:nsid w:val="25AE312B"/>
    <w:multiLevelType w:val="multilevel"/>
    <w:tmpl w:val="10CCCBD6"/>
    <w:lvl w:ilvl="0">
      <w:start w:val="2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4">
    <w:nsid w:val="2EB80E3E"/>
    <w:multiLevelType w:val="multilevel"/>
    <w:tmpl w:val="35B23BFA"/>
    <w:lvl w:ilvl="0">
      <w:start w:val="2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5">
    <w:nsid w:val="37086736"/>
    <w:multiLevelType w:val="multilevel"/>
    <w:tmpl w:val="A6DA7AE6"/>
    <w:lvl w:ilvl="0">
      <w:start w:val="2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6">
    <w:nsid w:val="376312D4"/>
    <w:multiLevelType w:val="multilevel"/>
    <w:tmpl w:val="EF727580"/>
    <w:lvl w:ilvl="0">
      <w:start w:val="2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7">
    <w:nsid w:val="4522634B"/>
    <w:multiLevelType w:val="hybridMultilevel"/>
    <w:tmpl w:val="0008A28A"/>
    <w:lvl w:ilvl="0" w:tplc="FDE83F84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FAA5E6E">
      <w:start w:val="1"/>
      <w:numFmt w:val="lowerLetter"/>
      <w:lvlText w:val="%2."/>
      <w:lvlJc w:val="left"/>
      <w:pPr>
        <w:ind w:left="1440" w:hanging="360"/>
      </w:pPr>
    </w:lvl>
    <w:lvl w:ilvl="2" w:tplc="239A4048">
      <w:start w:val="1"/>
      <w:numFmt w:val="lowerRoman"/>
      <w:lvlText w:val="%3."/>
      <w:lvlJc w:val="right"/>
      <w:pPr>
        <w:ind w:left="2160" w:hanging="180"/>
      </w:pPr>
    </w:lvl>
    <w:lvl w:ilvl="3" w:tplc="56A0D04E">
      <w:start w:val="1"/>
      <w:numFmt w:val="decimal"/>
      <w:lvlText w:val="%4."/>
      <w:lvlJc w:val="left"/>
      <w:pPr>
        <w:ind w:left="2880" w:hanging="360"/>
      </w:pPr>
    </w:lvl>
    <w:lvl w:ilvl="4" w:tplc="E072082E">
      <w:start w:val="1"/>
      <w:numFmt w:val="lowerLetter"/>
      <w:lvlText w:val="%5."/>
      <w:lvlJc w:val="left"/>
      <w:pPr>
        <w:ind w:left="3600" w:hanging="360"/>
      </w:pPr>
    </w:lvl>
    <w:lvl w:ilvl="5" w:tplc="3C2E4054">
      <w:start w:val="1"/>
      <w:numFmt w:val="lowerRoman"/>
      <w:lvlText w:val="%6."/>
      <w:lvlJc w:val="right"/>
      <w:pPr>
        <w:ind w:left="4320" w:hanging="180"/>
      </w:pPr>
    </w:lvl>
    <w:lvl w:ilvl="6" w:tplc="3BD6EE2C">
      <w:start w:val="1"/>
      <w:numFmt w:val="decimal"/>
      <w:lvlText w:val="%7."/>
      <w:lvlJc w:val="left"/>
      <w:pPr>
        <w:ind w:left="5040" w:hanging="360"/>
      </w:pPr>
    </w:lvl>
    <w:lvl w:ilvl="7" w:tplc="A0545916">
      <w:start w:val="1"/>
      <w:numFmt w:val="lowerLetter"/>
      <w:lvlText w:val="%8."/>
      <w:lvlJc w:val="left"/>
      <w:pPr>
        <w:ind w:left="5760" w:hanging="360"/>
      </w:pPr>
    </w:lvl>
    <w:lvl w:ilvl="8" w:tplc="1806F58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8E3D51"/>
    <w:multiLevelType w:val="hybridMultilevel"/>
    <w:tmpl w:val="18667268"/>
    <w:lvl w:ilvl="0" w:tplc="91C83982">
      <w:start w:val="1"/>
      <w:numFmt w:val="decimal"/>
      <w:lvlText w:val="%1."/>
      <w:lvlJc w:val="left"/>
      <w:pPr>
        <w:ind w:left="720" w:hanging="360"/>
      </w:pPr>
    </w:lvl>
    <w:lvl w:ilvl="1" w:tplc="82C8D474">
      <w:start w:val="1"/>
      <w:numFmt w:val="lowerLetter"/>
      <w:lvlText w:val="%2."/>
      <w:lvlJc w:val="left"/>
      <w:pPr>
        <w:ind w:left="1440" w:hanging="360"/>
      </w:pPr>
    </w:lvl>
    <w:lvl w:ilvl="2" w:tplc="1828F4AC">
      <w:start w:val="1"/>
      <w:numFmt w:val="lowerRoman"/>
      <w:lvlText w:val="%3."/>
      <w:lvlJc w:val="right"/>
      <w:pPr>
        <w:ind w:left="2160" w:hanging="180"/>
      </w:pPr>
    </w:lvl>
    <w:lvl w:ilvl="3" w:tplc="20B8939E">
      <w:start w:val="1"/>
      <w:numFmt w:val="decimal"/>
      <w:lvlText w:val="%4."/>
      <w:lvlJc w:val="left"/>
      <w:pPr>
        <w:ind w:left="2880" w:hanging="360"/>
      </w:pPr>
    </w:lvl>
    <w:lvl w:ilvl="4" w:tplc="78D61452">
      <w:start w:val="1"/>
      <w:numFmt w:val="lowerLetter"/>
      <w:lvlText w:val="%5."/>
      <w:lvlJc w:val="left"/>
      <w:pPr>
        <w:ind w:left="3600" w:hanging="360"/>
      </w:pPr>
    </w:lvl>
    <w:lvl w:ilvl="5" w:tplc="F7FC0F34">
      <w:start w:val="1"/>
      <w:numFmt w:val="lowerRoman"/>
      <w:lvlText w:val="%6."/>
      <w:lvlJc w:val="right"/>
      <w:pPr>
        <w:ind w:left="4320" w:hanging="180"/>
      </w:pPr>
    </w:lvl>
    <w:lvl w:ilvl="6" w:tplc="9B6CEB22">
      <w:start w:val="1"/>
      <w:numFmt w:val="decimal"/>
      <w:lvlText w:val="%7."/>
      <w:lvlJc w:val="left"/>
      <w:pPr>
        <w:ind w:left="5040" w:hanging="360"/>
      </w:pPr>
    </w:lvl>
    <w:lvl w:ilvl="7" w:tplc="362461FA">
      <w:start w:val="1"/>
      <w:numFmt w:val="lowerLetter"/>
      <w:lvlText w:val="%8."/>
      <w:lvlJc w:val="left"/>
      <w:pPr>
        <w:ind w:left="5760" w:hanging="360"/>
      </w:pPr>
    </w:lvl>
    <w:lvl w:ilvl="8" w:tplc="315E47E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9C3BD4"/>
    <w:multiLevelType w:val="hybridMultilevel"/>
    <w:tmpl w:val="D5246742"/>
    <w:lvl w:ilvl="0" w:tplc="EC541294">
      <w:start w:val="3"/>
      <w:numFmt w:val="decimal"/>
      <w:lvlText w:val="%1."/>
      <w:lvlJc w:val="left"/>
      <w:pPr>
        <w:ind w:left="720" w:hanging="360"/>
      </w:pPr>
    </w:lvl>
    <w:lvl w:ilvl="1" w:tplc="0B0AD002">
      <w:start w:val="1"/>
      <w:numFmt w:val="lowerLetter"/>
      <w:lvlText w:val="%2."/>
      <w:lvlJc w:val="left"/>
      <w:pPr>
        <w:ind w:left="1440" w:hanging="360"/>
      </w:pPr>
    </w:lvl>
    <w:lvl w:ilvl="2" w:tplc="7CE83864">
      <w:start w:val="1"/>
      <w:numFmt w:val="lowerRoman"/>
      <w:lvlText w:val="%3."/>
      <w:lvlJc w:val="right"/>
      <w:pPr>
        <w:ind w:left="2160" w:hanging="180"/>
      </w:pPr>
    </w:lvl>
    <w:lvl w:ilvl="3" w:tplc="D144CA94">
      <w:start w:val="1"/>
      <w:numFmt w:val="decimal"/>
      <w:lvlText w:val="%4."/>
      <w:lvlJc w:val="left"/>
      <w:pPr>
        <w:ind w:left="2880" w:hanging="360"/>
      </w:pPr>
    </w:lvl>
    <w:lvl w:ilvl="4" w:tplc="19984F80">
      <w:start w:val="1"/>
      <w:numFmt w:val="lowerLetter"/>
      <w:lvlText w:val="%5."/>
      <w:lvlJc w:val="left"/>
      <w:pPr>
        <w:ind w:left="3600" w:hanging="360"/>
      </w:pPr>
    </w:lvl>
    <w:lvl w:ilvl="5" w:tplc="77162266">
      <w:start w:val="1"/>
      <w:numFmt w:val="lowerRoman"/>
      <w:lvlText w:val="%6."/>
      <w:lvlJc w:val="right"/>
      <w:pPr>
        <w:ind w:left="4320" w:hanging="180"/>
      </w:pPr>
    </w:lvl>
    <w:lvl w:ilvl="6" w:tplc="FD24065E">
      <w:start w:val="1"/>
      <w:numFmt w:val="decimal"/>
      <w:lvlText w:val="%7."/>
      <w:lvlJc w:val="left"/>
      <w:pPr>
        <w:ind w:left="5040" w:hanging="360"/>
      </w:pPr>
    </w:lvl>
    <w:lvl w:ilvl="7" w:tplc="B3C4E5D6">
      <w:start w:val="1"/>
      <w:numFmt w:val="lowerLetter"/>
      <w:lvlText w:val="%8."/>
      <w:lvlJc w:val="left"/>
      <w:pPr>
        <w:ind w:left="5760" w:hanging="360"/>
      </w:pPr>
    </w:lvl>
    <w:lvl w:ilvl="8" w:tplc="F9CE188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74392"/>
    <w:multiLevelType w:val="hybridMultilevel"/>
    <w:tmpl w:val="D40A03D4"/>
    <w:lvl w:ilvl="0" w:tplc="4A028C68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FA8092CE">
      <w:start w:val="1"/>
      <w:numFmt w:val="lowerLetter"/>
      <w:lvlText w:val="%2."/>
      <w:lvlJc w:val="left"/>
      <w:pPr>
        <w:ind w:left="1440" w:hanging="360"/>
      </w:pPr>
    </w:lvl>
    <w:lvl w:ilvl="2" w:tplc="4FE6826E">
      <w:start w:val="1"/>
      <w:numFmt w:val="lowerRoman"/>
      <w:lvlText w:val="%3."/>
      <w:lvlJc w:val="right"/>
      <w:pPr>
        <w:ind w:left="2160" w:hanging="180"/>
      </w:pPr>
    </w:lvl>
    <w:lvl w:ilvl="3" w:tplc="3BE0807A">
      <w:start w:val="1"/>
      <w:numFmt w:val="decimal"/>
      <w:lvlText w:val="%4."/>
      <w:lvlJc w:val="left"/>
      <w:pPr>
        <w:ind w:left="2880" w:hanging="360"/>
      </w:pPr>
    </w:lvl>
    <w:lvl w:ilvl="4" w:tplc="45C4E03E">
      <w:start w:val="1"/>
      <w:numFmt w:val="lowerLetter"/>
      <w:lvlText w:val="%5."/>
      <w:lvlJc w:val="left"/>
      <w:pPr>
        <w:ind w:left="3600" w:hanging="360"/>
      </w:pPr>
    </w:lvl>
    <w:lvl w:ilvl="5" w:tplc="2EE46354">
      <w:start w:val="1"/>
      <w:numFmt w:val="lowerRoman"/>
      <w:lvlText w:val="%6."/>
      <w:lvlJc w:val="right"/>
      <w:pPr>
        <w:ind w:left="4320" w:hanging="180"/>
      </w:pPr>
    </w:lvl>
    <w:lvl w:ilvl="6" w:tplc="19CC237A">
      <w:start w:val="1"/>
      <w:numFmt w:val="decimal"/>
      <w:lvlText w:val="%7."/>
      <w:lvlJc w:val="left"/>
      <w:pPr>
        <w:ind w:left="5040" w:hanging="360"/>
      </w:pPr>
    </w:lvl>
    <w:lvl w:ilvl="7" w:tplc="7E84068A">
      <w:start w:val="1"/>
      <w:numFmt w:val="lowerLetter"/>
      <w:lvlText w:val="%8."/>
      <w:lvlJc w:val="left"/>
      <w:pPr>
        <w:ind w:left="5760" w:hanging="360"/>
      </w:pPr>
    </w:lvl>
    <w:lvl w:ilvl="8" w:tplc="51E8C43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B26968"/>
    <w:multiLevelType w:val="multilevel"/>
    <w:tmpl w:val="0FC449CA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num w:numId="1">
    <w:abstractNumId w:val="11"/>
  </w:num>
  <w:num w:numId="2">
    <w:abstractNumId w:val="4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6"/>
    <w:lvlOverride w:ilvl="2">
      <w:lvl w:ilvl="2">
        <w:numFmt w:val="decimal"/>
        <w:lvlText w:val="%3."/>
        <w:lvlJc w:val="left"/>
      </w:lvl>
    </w:lvlOverride>
  </w:num>
  <w:num w:numId="5">
    <w:abstractNumId w:val="3"/>
    <w:lvlOverride w:ilvl="1">
      <w:lvl w:ilvl="1">
        <w:numFmt w:val="decimal"/>
        <w:lvlText w:val="%2."/>
        <w:lvlJc w:val="left"/>
      </w:lvl>
    </w:lvlOverride>
  </w:num>
  <w:num w:numId="6">
    <w:abstractNumId w:val="5"/>
    <w:lvlOverride w:ilvl="2">
      <w:lvl w:ilvl="2">
        <w:numFmt w:val="decimal"/>
        <w:lvlText w:val="%3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7"/>
  </w:num>
  <w:num w:numId="9">
    <w:abstractNumId w:val="1"/>
  </w:num>
  <w:num w:numId="10">
    <w:abstractNumId w:val="10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19"/>
    <w:rsid w:val="004246A7"/>
    <w:rsid w:val="004F5569"/>
    <w:rsid w:val="00502FDF"/>
    <w:rsid w:val="0051193E"/>
    <w:rsid w:val="00893DCB"/>
    <w:rsid w:val="00EF0919"/>
    <w:rsid w:val="11A0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052C8B-0E49-4046-AB13-EB1440A8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Times New Roman" w:cs="Times New Roma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pPr>
      <w:keepNext/>
      <w:keepLines/>
      <w:spacing w:before="40" w:after="0"/>
      <w:outlineLvl w:val="2"/>
    </w:pPr>
    <w:rPr>
      <w:rFonts w:ascii="Cambria"/>
      <w:color w:val="1F4D7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Times New Roman" w:eastAsia="Times New Roman" w:hAnsi="Times New Roman" w:cs="Times New Roman"/>
      <w:b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Pr>
      <w:rFonts w:ascii="Cambria"/>
      <w:color w:val="1F4D78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502FD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502FDF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502FDF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502FDF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502F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E957C-8EDC-4649-96D8-F3A1CE07C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2066</Words>
  <Characters>11160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488040</dc:creator>
  <cp:keywords/>
  <dc:description/>
  <cp:lastModifiedBy>Inaldo Braz De Oliveira</cp:lastModifiedBy>
  <cp:revision>2</cp:revision>
  <dcterms:created xsi:type="dcterms:W3CDTF">2017-11-15T17:02:00Z</dcterms:created>
  <dcterms:modified xsi:type="dcterms:W3CDTF">2017-11-15T17:02:00Z</dcterms:modified>
</cp:coreProperties>
</file>