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8C" w:rsidRDefault="00EA3C8C"/>
    <w:p w:rsidR="00A672E7" w:rsidRDefault="00A672E7" w:rsidP="00A672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C02">
        <w:rPr>
          <w:rFonts w:ascii="Times New Roman" w:hAnsi="Times New Roman" w:cs="Times New Roman"/>
          <w:b/>
          <w:sz w:val="28"/>
          <w:szCs w:val="28"/>
        </w:rPr>
        <w:t>Corpo e Controle no cotidiano escolar – Um Repensar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O corpo é o instrumento pelo qual os seres humanos expressam sua cultura, ideias e emoções. As instituições de ensino, no entanto, tendem a reprimi-lo, priorizam os aspectos cognitivos e favorecem a imobilidade. Neste sentido, nota se uma significativa influência de Descartes para o modelo educacional, que naturaliza o corpo dissociado do intelecto.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atividades físicas na escola, geralmente, ficam restritas as aulas de educação física onde os movimentos padronizados típicos de cada esporte e </w:t>
      </w:r>
      <w:proofErr w:type="gram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competitividade possuem</w:t>
      </w:r>
      <w:proofErr w:type="gram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maior aceitação pelos educadores. Tal postura ajuda a reforçar a ideologia capitalista vigente.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Nessa perspectiva, </w:t>
      </w:r>
      <w:proofErr w:type="gram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os benefícios das atividades lúdico corporais e expressivas</w:t>
      </w:r>
      <w:proofErr w:type="gram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desenvolvimento infantil ou não são conhecidos pelos profissionais da educação ou não são considerados importantes para o processo de ensino aprendizagem.  Não enxergam, portanto, o indivíduo como um todo indivisível, que não compreende apenas em intelecto.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sujeito não é passivo frente ao conhecimento, antes precisa agir sobre o objeto </w:t>
      </w:r>
      <w:proofErr w:type="gram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compreende-lo</w:t>
      </w:r>
      <w:proofErr w:type="gram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para que tal assimilação ocorra é preciso que esteja em um ambiente favorável onde se sinta protegido e instigado a descobrir.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Outra necessidade, a interação, o saber passa do meio interpessoal para o </w:t>
      </w:r>
      <w:proofErr w:type="spellStart"/>
      <w:proofErr w:type="gram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intra-pessoal</w:t>
      </w:r>
      <w:proofErr w:type="spellEnd"/>
      <w:proofErr w:type="gram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. Vygotsky chama de ZDP (Zona de Desenvolvimento Proximal), que corresponde o que a criança faz com ajuda hoje e mais tarde fará sozinha.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brincadeira, apesar de compreendida como divertimento, potencializa diversas aprendizagens infantis além de auxiliar na compreensão da realidade. É por meio dela que tomam consciência de seu próprio corpo e de suas múltiplas possibilidades de expressão,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externalizam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suas emoções e sentimentos.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O jogo, por sua vez, ensina a partilhar e cooperar, competir de forma honesta e solucionar problemas de maneira prazerosa e significativa. Estimula, assim, a criatividade, o raciocínio e a sociabilidade.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Logo, os docentes que se comprometeram a promover o desenvolvimento integral da criança, devem repensar as metodologias que priorizam o silêncio, a imobilidade e os aspectos cognitivos sobre os sócios-afetivos na medida em que eles potencializam as aprendizagens e o desenvolvimento da criança, bem como ajuda na percepção de ser </w:t>
      </w:r>
      <w:proofErr w:type="gram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</w:t>
      </w:r>
      <w:proofErr w:type="gramEnd"/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Bibliografia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Formação Social da Mente: O Desenvolvimento dos Processos Psicológicos Superiores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, Lev Vygotsky, 182 págs.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ALVES, Nilda &amp; GARCIA, Regina Leite (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proofErr w:type="gram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.) </w:t>
      </w:r>
      <w:r w:rsidRPr="0081264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</w:t>
      </w:r>
      <w:proofErr w:type="gramEnd"/>
      <w:r w:rsidRPr="0081264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sentido da escola. 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Janeiro: DP&amp;A, 2002.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ALVES, Rubem. </w:t>
      </w:r>
      <w:r w:rsidRPr="0081264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corpo e as palavras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Bruhns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Heloisa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turini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(org.). </w:t>
      </w:r>
      <w:r w:rsidRPr="0081264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Conversando sobre o corpo.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Papirus, 1985.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BOURDIEU, Pierre. </w:t>
      </w:r>
      <w:r w:rsidRPr="0081264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 reprodução: elementos para uma teoria de ensino. 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Janeiro: Francisco Alves, 1990.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FREITAS,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Giovanina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Gomes de. </w:t>
      </w:r>
      <w:r w:rsidRPr="0081264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 esquema corporal, a imagem corporal, a consciência corporal e a corporeidade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: Ijuí. Ed. UNIJUÍ, 1999.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Construtivismo na Sala de Aula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César Coll, Elena Martín, Teresa Mauri, Mariana Miras, Javier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Onrubia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Isabel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Solé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Zabala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222 págs., Ed. </w:t>
      </w:r>
      <w:proofErr w:type="gram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Ática</w:t>
      </w:r>
      <w:proofErr w:type="gramEnd"/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Piaget, Vygotsky, </w:t>
      </w:r>
      <w:proofErr w:type="spellStart"/>
      <w:r w:rsidRPr="0081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Wallon</w:t>
      </w:r>
      <w:proofErr w:type="spellEnd"/>
      <w:r w:rsidRPr="0081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Teorias Psicogenéticas em Discussão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Yves de La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Taille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Marta Kohl de Oliveira e </w:t>
      </w:r>
      <w:proofErr w:type="spell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Heloysa</w:t>
      </w:r>
      <w:proofErr w:type="spellEnd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Dantas, 120 págs., Ed. </w:t>
      </w:r>
      <w:proofErr w:type="spellStart"/>
      <w:proofErr w:type="gramStart"/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Summus</w:t>
      </w:r>
      <w:proofErr w:type="spellEnd"/>
      <w:proofErr w:type="gramEnd"/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Vygotsky: Uma Perspectiva Histórico-Cultural da Educação</w:t>
      </w: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, Teresa Cristina Rego, 138 págs., Ed. Vozes,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648" w:rsidRPr="00812648" w:rsidRDefault="00812648" w:rsidP="00812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6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12648" w:rsidRDefault="00812648" w:rsidP="00A672E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2648" w:rsidSect="003D0D9A">
      <w:pgSz w:w="12240" w:h="15840"/>
      <w:pgMar w:top="1701" w:right="1134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E7"/>
    <w:rsid w:val="000803A0"/>
    <w:rsid w:val="001E0256"/>
    <w:rsid w:val="003D0D9A"/>
    <w:rsid w:val="004B73C8"/>
    <w:rsid w:val="005730E0"/>
    <w:rsid w:val="00630F61"/>
    <w:rsid w:val="00712D79"/>
    <w:rsid w:val="00812648"/>
    <w:rsid w:val="00950071"/>
    <w:rsid w:val="00A672E7"/>
    <w:rsid w:val="00B95C02"/>
    <w:rsid w:val="00E3585F"/>
    <w:rsid w:val="00E8266D"/>
    <w:rsid w:val="00E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E7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730E0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730E0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5730E0"/>
    <w:pPr>
      <w:spacing w:line="240" w:lineRule="auto"/>
      <w:jc w:val="both"/>
    </w:pPr>
    <w:rPr>
      <w:rFonts w:ascii="Times New Roman" w:hAnsi="Times New Roman"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5730E0"/>
    <w:rPr>
      <w:rFonts w:ascii="Times New Roman" w:hAnsi="Times New Roman"/>
      <w:iCs/>
      <w:color w:val="000000" w:themeColor="text1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5730E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730E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730E0"/>
    <w:pPr>
      <w:spacing w:after="100" w:line="240" w:lineRule="auto"/>
    </w:pPr>
    <w:rPr>
      <w:rFonts w:ascii="Times New Roman" w:hAnsi="Times New Roman"/>
      <w:sz w:val="24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5730E0"/>
    <w:pPr>
      <w:spacing w:after="100" w:line="360" w:lineRule="auto"/>
      <w:ind w:left="708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1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648"/>
    <w:rPr>
      <w:b/>
      <w:bCs/>
    </w:rPr>
  </w:style>
  <w:style w:type="character" w:styleId="nfase">
    <w:name w:val="Emphasis"/>
    <w:basedOn w:val="Fontepargpadro"/>
    <w:uiPriority w:val="20"/>
    <w:qFormat/>
    <w:rsid w:val="008126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E7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730E0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5730E0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5730E0"/>
    <w:pPr>
      <w:spacing w:line="240" w:lineRule="auto"/>
      <w:jc w:val="both"/>
    </w:pPr>
    <w:rPr>
      <w:rFonts w:ascii="Times New Roman" w:hAnsi="Times New Roman"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5730E0"/>
    <w:rPr>
      <w:rFonts w:ascii="Times New Roman" w:hAnsi="Times New Roman"/>
      <w:iCs/>
      <w:color w:val="000000" w:themeColor="text1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5730E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730E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730E0"/>
    <w:pPr>
      <w:spacing w:after="100" w:line="240" w:lineRule="auto"/>
    </w:pPr>
    <w:rPr>
      <w:rFonts w:ascii="Times New Roman" w:hAnsi="Times New Roman"/>
      <w:sz w:val="24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5730E0"/>
    <w:pPr>
      <w:spacing w:after="100" w:line="360" w:lineRule="auto"/>
      <w:ind w:left="708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1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2648"/>
    <w:rPr>
      <w:b/>
      <w:bCs/>
    </w:rPr>
  </w:style>
  <w:style w:type="character" w:styleId="nfase">
    <w:name w:val="Emphasis"/>
    <w:basedOn w:val="Fontepargpadro"/>
    <w:uiPriority w:val="20"/>
    <w:qFormat/>
    <w:rsid w:val="00812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Cavalcante</dc:creator>
  <cp:lastModifiedBy>Jessica Cavalcante</cp:lastModifiedBy>
  <cp:revision>5</cp:revision>
  <dcterms:created xsi:type="dcterms:W3CDTF">2017-08-15T18:57:00Z</dcterms:created>
  <dcterms:modified xsi:type="dcterms:W3CDTF">2017-08-16T21:31:00Z</dcterms:modified>
</cp:coreProperties>
</file>