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26" w:rsidRPr="005156EB" w:rsidRDefault="005156EB" w:rsidP="00DF17D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BREVES CONSIDERAÇÕES SOBRE O DIREITO A ALIMENTOS E SOBRE O ENUNCIADO 573 </w:t>
      </w:r>
      <w:r w:rsidR="008B7E15">
        <w:rPr>
          <w:rFonts w:ascii="Arial" w:hAnsi="Arial" w:cs="Arial"/>
          <w:b/>
          <w:sz w:val="24"/>
          <w:szCs w:val="24"/>
        </w:rPr>
        <w:t>DAS JORNADAS DE DIREITO CIVIL DO CONSELHO DA JUSTIÇA FEDERAL</w:t>
      </w:r>
    </w:p>
    <w:p w:rsidR="00011826" w:rsidRDefault="00011826" w:rsidP="00AE047C">
      <w:pPr>
        <w:spacing w:after="0" w:line="360" w:lineRule="auto"/>
        <w:ind w:firstLine="113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F17D3" w:rsidRDefault="00DF17D3" w:rsidP="00AE047C">
      <w:pPr>
        <w:spacing w:after="0" w:line="360" w:lineRule="auto"/>
        <w:ind w:firstLine="1134"/>
        <w:rPr>
          <w:rFonts w:ascii="Arial" w:hAnsi="Arial" w:cs="Arial"/>
          <w:sz w:val="24"/>
          <w:szCs w:val="24"/>
        </w:rPr>
      </w:pPr>
    </w:p>
    <w:p w:rsidR="006A50AC" w:rsidRDefault="00AE047C" w:rsidP="00AE047C">
      <w:pPr>
        <w:spacing w:after="0" w:line="360" w:lineRule="auto"/>
        <w:ind w:firstLine="1134"/>
      </w:pPr>
      <w:r w:rsidRPr="00AE047C">
        <w:rPr>
          <w:rFonts w:ascii="Arial" w:hAnsi="Arial" w:cs="Arial"/>
          <w:sz w:val="24"/>
          <w:szCs w:val="24"/>
        </w:rPr>
        <w:t>A Constituição Federal, d</w:t>
      </w:r>
      <w:r w:rsidR="004910C4">
        <w:rPr>
          <w:rFonts w:ascii="Arial" w:hAnsi="Arial" w:cs="Arial"/>
          <w:sz w:val="24"/>
          <w:szCs w:val="24"/>
        </w:rPr>
        <w:t>iversamente</w:t>
      </w:r>
      <w:r w:rsidRPr="00AE047C">
        <w:rPr>
          <w:rFonts w:ascii="Arial" w:hAnsi="Arial" w:cs="Arial"/>
          <w:sz w:val="24"/>
          <w:szCs w:val="24"/>
        </w:rPr>
        <w:t xml:space="preserve"> das Cartas Políticas anteriores, erigiu a solidariedade como um dos objetivos de nossa República (art. 3º, I). Segundo José Afonso da Silva, a mudança tem inspiração direta da Constituição Portuguesa, que, em seu preâmbulo, almeja a construção de “</w:t>
      </w:r>
      <w:r w:rsidRPr="00AE047C">
        <w:rPr>
          <w:rFonts w:ascii="Arial" w:hAnsi="Arial" w:cs="Arial"/>
          <w:i/>
          <w:sz w:val="24"/>
          <w:szCs w:val="24"/>
        </w:rPr>
        <w:t>um país mais fraterno”</w:t>
      </w:r>
      <w:r w:rsidR="006A50AC">
        <w:rPr>
          <w:i/>
        </w:rPr>
        <w:t>.</w:t>
      </w:r>
      <w:proofErr w:type="gramStart"/>
      <w:r>
        <w:rPr>
          <w:rStyle w:val="Refdenotaderodap"/>
          <w:i/>
        </w:rPr>
        <w:footnoteReference w:id="1"/>
      </w:r>
      <w:proofErr w:type="gramEnd"/>
      <w:r>
        <w:t xml:space="preserve"> </w:t>
      </w:r>
    </w:p>
    <w:p w:rsidR="00A64AE6" w:rsidRDefault="006A50AC" w:rsidP="00AE047C">
      <w:pPr>
        <w:spacing w:after="0" w:line="360" w:lineRule="auto"/>
        <w:ind w:firstLine="1134"/>
        <w:rPr>
          <w:rFonts w:ascii="Arial" w:hAnsi="Arial" w:cs="Arial"/>
          <w:sz w:val="24"/>
          <w:szCs w:val="24"/>
        </w:rPr>
      </w:pPr>
      <w:r w:rsidRPr="006A50AC">
        <w:rPr>
          <w:rFonts w:ascii="Arial" w:hAnsi="Arial" w:cs="Arial"/>
          <w:sz w:val="24"/>
          <w:szCs w:val="24"/>
        </w:rPr>
        <w:t xml:space="preserve">Além da inclusão do referido valor, </w:t>
      </w:r>
      <w:r>
        <w:rPr>
          <w:rFonts w:ascii="Arial" w:hAnsi="Arial" w:cs="Arial"/>
          <w:sz w:val="24"/>
          <w:szCs w:val="24"/>
        </w:rPr>
        <w:t xml:space="preserve">a Constituição Cidadã, ao </w:t>
      </w:r>
      <w:r w:rsidR="007F1A5F">
        <w:rPr>
          <w:rFonts w:ascii="Arial" w:hAnsi="Arial" w:cs="Arial"/>
          <w:sz w:val="24"/>
          <w:szCs w:val="24"/>
        </w:rPr>
        <w:t>trazer em seu texto</w:t>
      </w:r>
      <w:r>
        <w:rPr>
          <w:rFonts w:ascii="Arial" w:hAnsi="Arial" w:cs="Arial"/>
          <w:sz w:val="24"/>
          <w:szCs w:val="24"/>
        </w:rPr>
        <w:t xml:space="preserve"> a dignidade da pessoa humana como fundamento republicano (art. 1º, III), fez surgir</w:t>
      </w:r>
      <w:r w:rsidR="007F1A5F">
        <w:rPr>
          <w:rFonts w:ascii="Arial" w:hAnsi="Arial" w:cs="Arial"/>
          <w:sz w:val="24"/>
          <w:szCs w:val="24"/>
        </w:rPr>
        <w:t xml:space="preserve">, nos dizeres do ilustre </w:t>
      </w:r>
      <w:r w:rsidR="004910C4">
        <w:rPr>
          <w:rFonts w:ascii="Arial" w:hAnsi="Arial" w:cs="Arial"/>
          <w:sz w:val="24"/>
          <w:szCs w:val="24"/>
        </w:rPr>
        <w:t>ministro</w:t>
      </w:r>
      <w:r w:rsidR="007F1A5F">
        <w:rPr>
          <w:rFonts w:ascii="Arial" w:hAnsi="Arial" w:cs="Arial"/>
          <w:sz w:val="24"/>
          <w:szCs w:val="24"/>
        </w:rPr>
        <w:t xml:space="preserve"> Celso de Mello, um </w:t>
      </w:r>
      <w:r w:rsidR="007F1A5F" w:rsidRPr="007F1A5F">
        <w:rPr>
          <w:rFonts w:ascii="Arial" w:hAnsi="Arial" w:cs="Arial"/>
          <w:sz w:val="24"/>
          <w:szCs w:val="24"/>
        </w:rPr>
        <w:t>postulado</w:t>
      </w:r>
      <w:r w:rsidR="007F1A5F">
        <w:rPr>
          <w:rFonts w:ascii="Arial" w:hAnsi="Arial" w:cs="Arial"/>
          <w:sz w:val="24"/>
          <w:szCs w:val="24"/>
        </w:rPr>
        <w:t xml:space="preserve"> que representa</w:t>
      </w:r>
      <w:r w:rsidR="007F1A5F">
        <w:rPr>
          <w:rFonts w:ascii="Arial" w:hAnsi="Arial" w:cs="Arial"/>
          <w:i/>
          <w:sz w:val="24"/>
          <w:szCs w:val="24"/>
        </w:rPr>
        <w:t xml:space="preserve"> “significativo vetor interpretativo, verdadeiro valor-fonte que conforma e inspira todo o ordenamento constitucional vigente </w:t>
      </w:r>
      <w:proofErr w:type="gramStart"/>
      <w:r w:rsidR="007F1A5F">
        <w:rPr>
          <w:rFonts w:ascii="Arial" w:hAnsi="Arial" w:cs="Arial"/>
          <w:i/>
          <w:sz w:val="24"/>
          <w:szCs w:val="24"/>
        </w:rPr>
        <w:t>em</w:t>
      </w:r>
      <w:proofErr w:type="gramEnd"/>
      <w:r w:rsidR="007F1A5F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7F1A5F">
        <w:rPr>
          <w:rFonts w:ascii="Arial" w:hAnsi="Arial" w:cs="Arial"/>
          <w:i/>
          <w:sz w:val="24"/>
          <w:szCs w:val="24"/>
        </w:rPr>
        <w:t>nosso</w:t>
      </w:r>
      <w:proofErr w:type="gramEnd"/>
      <w:r w:rsidR="007F1A5F">
        <w:rPr>
          <w:rFonts w:ascii="Arial" w:hAnsi="Arial" w:cs="Arial"/>
          <w:i/>
          <w:sz w:val="24"/>
          <w:szCs w:val="24"/>
        </w:rPr>
        <w:t xml:space="preserve"> País</w:t>
      </w:r>
      <w:r w:rsidR="007F1A5F">
        <w:rPr>
          <w:rFonts w:ascii="Arial" w:hAnsi="Arial" w:cs="Arial"/>
          <w:sz w:val="24"/>
          <w:szCs w:val="24"/>
        </w:rPr>
        <w:t>”</w:t>
      </w:r>
      <w:r w:rsidR="00A64AE6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7F1A5F">
        <w:rPr>
          <w:rFonts w:ascii="Arial" w:hAnsi="Arial" w:cs="Arial"/>
          <w:sz w:val="24"/>
          <w:szCs w:val="24"/>
        </w:rPr>
        <w:t>.</w:t>
      </w:r>
    </w:p>
    <w:p w:rsidR="00AE047C" w:rsidRDefault="00A64AE6" w:rsidP="00AE047C">
      <w:pPr>
        <w:spacing w:after="0" w:line="360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outro lado, a própria sociedade evoluiu e as relações pessoais e sociais, tão sólidas em relação aos valores, à família, à comunidade, ao trabalho e ao consumo, hoje, assim como a água, </w:t>
      </w:r>
      <w:r>
        <w:rPr>
          <w:rFonts w:ascii="Arial" w:hAnsi="Arial" w:cs="Arial"/>
          <w:i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[...] </w:t>
      </w:r>
      <w:proofErr w:type="spellStart"/>
      <w:r>
        <w:rPr>
          <w:rFonts w:ascii="Arial" w:hAnsi="Arial" w:cs="Arial"/>
          <w:i/>
          <w:sz w:val="24"/>
          <w:szCs w:val="24"/>
        </w:rPr>
        <w:t>fluyen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se </w:t>
      </w:r>
      <w:proofErr w:type="spellStart"/>
      <w:r>
        <w:rPr>
          <w:rFonts w:ascii="Arial" w:hAnsi="Arial" w:cs="Arial"/>
          <w:i/>
          <w:sz w:val="24"/>
          <w:szCs w:val="24"/>
        </w:rPr>
        <w:t>derraman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se </w:t>
      </w:r>
      <w:proofErr w:type="spellStart"/>
      <w:r>
        <w:rPr>
          <w:rFonts w:ascii="Arial" w:hAnsi="Arial" w:cs="Arial"/>
          <w:i/>
          <w:sz w:val="24"/>
          <w:szCs w:val="24"/>
        </w:rPr>
        <w:t>desbordan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salpican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se </w:t>
      </w:r>
      <w:proofErr w:type="spellStart"/>
      <w:r>
        <w:rPr>
          <w:rFonts w:ascii="Arial" w:hAnsi="Arial" w:cs="Arial"/>
          <w:i/>
          <w:sz w:val="24"/>
          <w:szCs w:val="24"/>
        </w:rPr>
        <w:t>vierten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se </w:t>
      </w:r>
      <w:proofErr w:type="spellStart"/>
      <w:r>
        <w:rPr>
          <w:rFonts w:ascii="Arial" w:hAnsi="Arial" w:cs="Arial"/>
          <w:i/>
          <w:sz w:val="24"/>
          <w:szCs w:val="24"/>
        </w:rPr>
        <w:t>filtran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gotean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inundan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rocían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chorrean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manan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exudan</w:t>
      </w:r>
      <w:proofErr w:type="spellEnd"/>
      <w:r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proofErr w:type="gramStart"/>
      <w:r>
        <w:rPr>
          <w:rStyle w:val="Refdenotaderodap"/>
          <w:rFonts w:ascii="Arial" w:hAnsi="Arial" w:cs="Arial"/>
          <w:sz w:val="24"/>
          <w:szCs w:val="24"/>
        </w:rPr>
        <w:footnoteReference w:id="3"/>
      </w:r>
      <w:proofErr w:type="gramEnd"/>
    </w:p>
    <w:p w:rsidR="00506DEE" w:rsidRDefault="00F7249F" w:rsidP="00AE047C">
      <w:pPr>
        <w:spacing w:after="0" w:line="360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Essas mudanças sociais e jurídicas influenciaram a </w:t>
      </w:r>
      <w:r w:rsidR="004910C4">
        <w:rPr>
          <w:rFonts w:ascii="Arial" w:hAnsi="Arial" w:cs="Arial"/>
          <w:sz w:val="24"/>
          <w:szCs w:val="24"/>
        </w:rPr>
        <w:t>alteração</w:t>
      </w:r>
      <w:r>
        <w:rPr>
          <w:rFonts w:ascii="Arial" w:hAnsi="Arial" w:cs="Arial"/>
          <w:sz w:val="24"/>
          <w:szCs w:val="24"/>
        </w:rPr>
        <w:t xml:space="preserve"> de paradigma</w:t>
      </w:r>
      <w:r w:rsidR="00565C7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 direito de família, que paulatinamente perdeu seu caráter patrimonialista (vinculado aos bens) e </w:t>
      </w:r>
      <w:proofErr w:type="spellStart"/>
      <w:r>
        <w:rPr>
          <w:rFonts w:ascii="Arial" w:hAnsi="Arial" w:cs="Arial"/>
          <w:sz w:val="24"/>
          <w:szCs w:val="24"/>
        </w:rPr>
        <w:t>matrimonialista</w:t>
      </w:r>
      <w:proofErr w:type="spellEnd"/>
      <w:r>
        <w:rPr>
          <w:rFonts w:ascii="Arial" w:hAnsi="Arial" w:cs="Arial"/>
          <w:sz w:val="24"/>
          <w:szCs w:val="24"/>
        </w:rPr>
        <w:t xml:space="preserve"> (atrelado ao instituto do casamento) para adotar valores mais contemporâneos, como a solidariedade social e a primazia do afeto como núcleo familiar.</w:t>
      </w:r>
    </w:p>
    <w:p w:rsidR="00B50CA7" w:rsidRDefault="00B50CA7" w:rsidP="00AE047C">
      <w:pPr>
        <w:spacing w:after="0" w:line="360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sentido, lecionam Cristiano Chaves e Nelson </w:t>
      </w:r>
      <w:proofErr w:type="spellStart"/>
      <w:r>
        <w:rPr>
          <w:rFonts w:ascii="Arial" w:hAnsi="Arial" w:cs="Arial"/>
          <w:sz w:val="24"/>
          <w:szCs w:val="24"/>
        </w:rPr>
        <w:t>Rosenvald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B50CA7" w:rsidRDefault="00B50CA7" w:rsidP="00AE047C">
      <w:pPr>
        <w:spacing w:after="0" w:line="360" w:lineRule="auto"/>
        <w:ind w:firstLine="1134"/>
        <w:rPr>
          <w:rFonts w:ascii="Arial" w:hAnsi="Arial" w:cs="Arial"/>
          <w:sz w:val="24"/>
          <w:szCs w:val="24"/>
        </w:rPr>
      </w:pPr>
    </w:p>
    <w:p w:rsidR="00F7249F" w:rsidRPr="00B50CA7" w:rsidRDefault="00B50CA7" w:rsidP="00B50CA7">
      <w:pPr>
        <w:spacing w:after="0"/>
        <w:ind w:left="2268"/>
        <w:rPr>
          <w:rFonts w:ascii="Arial" w:hAnsi="Arial" w:cs="Arial"/>
          <w:sz w:val="20"/>
          <w:szCs w:val="20"/>
        </w:rPr>
      </w:pPr>
      <w:r w:rsidRPr="00B50CA7">
        <w:rPr>
          <w:rFonts w:ascii="Arial" w:hAnsi="Arial" w:cs="Arial"/>
          <w:sz w:val="20"/>
          <w:szCs w:val="20"/>
        </w:rPr>
        <w:t xml:space="preserve">Abandona-se o casamento como partido referencial necessário, para buscar a proteção e o desenvolvimento da personalidade do homem. É a busca da </w:t>
      </w:r>
      <w:r w:rsidRPr="00B50CA7">
        <w:rPr>
          <w:rFonts w:ascii="Arial" w:hAnsi="Arial" w:cs="Arial"/>
          <w:i/>
          <w:sz w:val="20"/>
          <w:szCs w:val="20"/>
        </w:rPr>
        <w:t>dignidade humana</w:t>
      </w:r>
      <w:r w:rsidRPr="00B50CA7">
        <w:rPr>
          <w:rFonts w:ascii="Arial" w:hAnsi="Arial" w:cs="Arial"/>
          <w:sz w:val="20"/>
          <w:szCs w:val="20"/>
        </w:rPr>
        <w:t xml:space="preserve">, sobrepujando valores meramente </w:t>
      </w:r>
      <w:r w:rsidRPr="00B50CA7">
        <w:rPr>
          <w:rFonts w:ascii="Arial" w:hAnsi="Arial" w:cs="Arial"/>
          <w:sz w:val="20"/>
          <w:szCs w:val="20"/>
        </w:rPr>
        <w:lastRenderedPageBreak/>
        <w:t>patrimoniais. Ou seja, a proteção ao núcleo familiar deverá estar atrelada, necessariamente, à tutela da pessoa humana, através dos (democráticos) princípios gerais da Carta Magna. Por isso, a proteção ao núcleo familiar tem como ponto de partida e de chegada a tutela da própria pessoa humana, sendo descabida (e inconstitucional!) toda e qualquer forma de violação da dignidade do homem, sob o pretexto de garantir a proteção da família.</w:t>
      </w:r>
      <w:proofErr w:type="gramStart"/>
      <w:r>
        <w:rPr>
          <w:rStyle w:val="Refdenotaderodap"/>
          <w:rFonts w:ascii="Arial" w:hAnsi="Arial" w:cs="Arial"/>
          <w:sz w:val="20"/>
          <w:szCs w:val="20"/>
        </w:rPr>
        <w:footnoteReference w:id="4"/>
      </w:r>
      <w:proofErr w:type="gramEnd"/>
      <w:r w:rsidRPr="00B50CA7">
        <w:rPr>
          <w:rFonts w:ascii="Arial" w:hAnsi="Arial" w:cs="Arial"/>
          <w:sz w:val="20"/>
          <w:szCs w:val="20"/>
        </w:rPr>
        <w:t xml:space="preserve"> </w:t>
      </w:r>
    </w:p>
    <w:p w:rsidR="00506DEE" w:rsidRPr="00F7249F" w:rsidRDefault="00506DEE" w:rsidP="00AE047C">
      <w:pPr>
        <w:spacing w:after="0" w:line="360" w:lineRule="auto"/>
        <w:ind w:firstLine="1134"/>
        <w:rPr>
          <w:rFonts w:ascii="Arial" w:hAnsi="Arial" w:cs="Arial"/>
          <w:i/>
          <w:sz w:val="24"/>
          <w:szCs w:val="24"/>
        </w:rPr>
      </w:pPr>
    </w:p>
    <w:p w:rsidR="00196669" w:rsidRDefault="00B50CA7" w:rsidP="00AE047C">
      <w:pPr>
        <w:spacing w:after="0" w:line="360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não poderia deixar de </w:t>
      </w:r>
      <w:proofErr w:type="gramStart"/>
      <w:r>
        <w:rPr>
          <w:rFonts w:ascii="Arial" w:hAnsi="Arial" w:cs="Arial"/>
          <w:sz w:val="24"/>
          <w:szCs w:val="24"/>
        </w:rPr>
        <w:t>ser</w:t>
      </w:r>
      <w:proofErr w:type="gramEnd"/>
      <w:r>
        <w:rPr>
          <w:rFonts w:ascii="Arial" w:hAnsi="Arial" w:cs="Arial"/>
          <w:sz w:val="24"/>
          <w:szCs w:val="24"/>
        </w:rPr>
        <w:t xml:space="preserve">, os alimentos também passaram por essa “viragem” axiológica, </w:t>
      </w:r>
      <w:r w:rsidR="004910C4">
        <w:rPr>
          <w:rFonts w:ascii="Arial" w:hAnsi="Arial" w:cs="Arial"/>
          <w:sz w:val="24"/>
          <w:szCs w:val="24"/>
        </w:rPr>
        <w:t>não mais sendo</w:t>
      </w:r>
      <w:r>
        <w:rPr>
          <w:rFonts w:ascii="Arial" w:hAnsi="Arial" w:cs="Arial"/>
          <w:sz w:val="24"/>
          <w:szCs w:val="24"/>
        </w:rPr>
        <w:t xml:space="preserve"> interpretados como me</w:t>
      </w:r>
      <w:r w:rsidR="006B780E">
        <w:rPr>
          <w:rFonts w:ascii="Arial" w:hAnsi="Arial" w:cs="Arial"/>
          <w:sz w:val="24"/>
          <w:szCs w:val="24"/>
        </w:rPr>
        <w:t>ro dever de assistência decorrente do parentesco (</w:t>
      </w:r>
      <w:r w:rsidR="006B780E">
        <w:rPr>
          <w:rFonts w:ascii="Arial" w:hAnsi="Arial" w:cs="Arial"/>
          <w:i/>
          <w:sz w:val="24"/>
          <w:szCs w:val="24"/>
        </w:rPr>
        <w:t>jus sanguinis</w:t>
      </w:r>
      <w:r w:rsidR="006B780E">
        <w:rPr>
          <w:rFonts w:ascii="Arial" w:hAnsi="Arial" w:cs="Arial"/>
          <w:sz w:val="24"/>
          <w:szCs w:val="24"/>
        </w:rPr>
        <w:t>)</w:t>
      </w:r>
      <w:r w:rsidR="004910C4">
        <w:rPr>
          <w:rFonts w:ascii="Arial" w:hAnsi="Arial" w:cs="Arial"/>
          <w:sz w:val="24"/>
          <w:szCs w:val="24"/>
        </w:rPr>
        <w:t>, mas como</w:t>
      </w:r>
      <w:r w:rsidR="006B780E">
        <w:rPr>
          <w:rFonts w:ascii="Arial" w:hAnsi="Arial" w:cs="Arial"/>
          <w:sz w:val="24"/>
          <w:szCs w:val="24"/>
        </w:rPr>
        <w:t xml:space="preserve"> verdadeira expressão do princípio da dignidade humana, </w:t>
      </w:r>
      <w:r w:rsidR="00196669">
        <w:rPr>
          <w:rFonts w:ascii="Arial" w:hAnsi="Arial" w:cs="Arial"/>
          <w:sz w:val="24"/>
          <w:szCs w:val="24"/>
        </w:rPr>
        <w:t xml:space="preserve">a constituir, </w:t>
      </w:r>
      <w:r w:rsidR="004910C4">
        <w:rPr>
          <w:rFonts w:ascii="Arial" w:hAnsi="Arial" w:cs="Arial"/>
          <w:sz w:val="24"/>
          <w:szCs w:val="24"/>
        </w:rPr>
        <w:t>via de consequência</w:t>
      </w:r>
      <w:r w:rsidR="00196669">
        <w:rPr>
          <w:rFonts w:ascii="Arial" w:hAnsi="Arial" w:cs="Arial"/>
          <w:sz w:val="24"/>
          <w:szCs w:val="24"/>
        </w:rPr>
        <w:t>, direito individual que goza</w:t>
      </w:r>
      <w:r w:rsidR="005E1836">
        <w:rPr>
          <w:rFonts w:ascii="Arial" w:hAnsi="Arial" w:cs="Arial"/>
          <w:sz w:val="24"/>
          <w:szCs w:val="24"/>
        </w:rPr>
        <w:t xml:space="preserve"> dos</w:t>
      </w:r>
      <w:r w:rsidR="00196669">
        <w:rPr>
          <w:rFonts w:ascii="Arial" w:hAnsi="Arial" w:cs="Arial"/>
          <w:sz w:val="24"/>
          <w:szCs w:val="24"/>
        </w:rPr>
        <w:t xml:space="preserve"> atributos imanentes à essa prerrogativa jurídica, tais como o caráter personalíssimo, a imprescritibilidade, a irrenunciabilidade, a impenhorabilidade, a atualidade, etc. </w:t>
      </w:r>
    </w:p>
    <w:p w:rsidR="004F0A3C" w:rsidRDefault="004F0A3C" w:rsidP="00AE047C">
      <w:pPr>
        <w:spacing w:after="0" w:line="360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é a importância do direito a alimentos em nosso ordenamento jurídico que, hodiernamente, a única hipótese de prisão civil admitida </w:t>
      </w:r>
      <w:r w:rsidR="006326BE">
        <w:rPr>
          <w:rFonts w:ascii="Arial" w:hAnsi="Arial" w:cs="Arial"/>
          <w:sz w:val="24"/>
          <w:szCs w:val="24"/>
        </w:rPr>
        <w:t>é a do responsável pelo inadimplemento da obrigação alimentícia (artigo 5º, LXVII, da CRFB,</w:t>
      </w:r>
      <w:r w:rsidR="004910C4">
        <w:rPr>
          <w:rFonts w:ascii="Arial" w:hAnsi="Arial" w:cs="Arial"/>
          <w:sz w:val="24"/>
          <w:szCs w:val="24"/>
        </w:rPr>
        <w:t xml:space="preserve"> artigo </w:t>
      </w:r>
      <w:proofErr w:type="gramStart"/>
      <w:r w:rsidR="004910C4">
        <w:rPr>
          <w:rFonts w:ascii="Arial" w:hAnsi="Arial" w:cs="Arial"/>
          <w:sz w:val="24"/>
          <w:szCs w:val="24"/>
        </w:rPr>
        <w:t>7</w:t>
      </w:r>
      <w:proofErr w:type="gramEnd"/>
      <w:r w:rsidR="004910C4">
        <w:rPr>
          <w:rFonts w:ascii="Arial" w:hAnsi="Arial" w:cs="Arial"/>
          <w:sz w:val="24"/>
          <w:szCs w:val="24"/>
        </w:rPr>
        <w:t>, item 7, da Convenção Americana de Direitos Humanos,</w:t>
      </w:r>
      <w:r w:rsidR="006326BE">
        <w:rPr>
          <w:rFonts w:ascii="Arial" w:hAnsi="Arial" w:cs="Arial"/>
          <w:sz w:val="24"/>
          <w:szCs w:val="24"/>
        </w:rPr>
        <w:t xml:space="preserve"> e</w:t>
      </w:r>
      <w:r w:rsidR="004910C4">
        <w:rPr>
          <w:rFonts w:ascii="Arial" w:hAnsi="Arial" w:cs="Arial"/>
          <w:sz w:val="24"/>
          <w:szCs w:val="24"/>
        </w:rPr>
        <w:t xml:space="preserve"> artigo</w:t>
      </w:r>
      <w:r w:rsidR="006326BE">
        <w:rPr>
          <w:rFonts w:ascii="Arial" w:hAnsi="Arial" w:cs="Arial"/>
          <w:sz w:val="24"/>
          <w:szCs w:val="24"/>
        </w:rPr>
        <w:t xml:space="preserve"> 528, § 3º, do NCPC). </w:t>
      </w:r>
    </w:p>
    <w:p w:rsidR="00002E54" w:rsidRDefault="00196669" w:rsidP="00AE047C">
      <w:pPr>
        <w:spacing w:after="0" w:line="360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A59C3">
        <w:rPr>
          <w:rFonts w:ascii="Arial" w:hAnsi="Arial" w:cs="Arial"/>
          <w:sz w:val="24"/>
          <w:szCs w:val="24"/>
        </w:rPr>
        <w:t>Pondera Venosa que a concepção atual dos</w:t>
      </w:r>
      <w:r w:rsidR="0012676A">
        <w:rPr>
          <w:rFonts w:ascii="Arial" w:hAnsi="Arial" w:cs="Arial"/>
          <w:sz w:val="24"/>
          <w:szCs w:val="24"/>
        </w:rPr>
        <w:t xml:space="preserve"> alimentos era desconhecida pelo</w:t>
      </w:r>
      <w:r w:rsidR="004A59C3">
        <w:rPr>
          <w:rFonts w:ascii="Arial" w:hAnsi="Arial" w:cs="Arial"/>
          <w:sz w:val="24"/>
          <w:szCs w:val="24"/>
        </w:rPr>
        <w:t xml:space="preserve"> direito romano clássico, </w:t>
      </w:r>
      <w:r w:rsidR="00002E54">
        <w:rPr>
          <w:rFonts w:ascii="Arial" w:hAnsi="Arial" w:cs="Arial"/>
          <w:sz w:val="24"/>
          <w:szCs w:val="24"/>
        </w:rPr>
        <w:t>cujo</w:t>
      </w:r>
      <w:r w:rsidR="004A59C3">
        <w:rPr>
          <w:rFonts w:ascii="Arial" w:hAnsi="Arial" w:cs="Arial"/>
          <w:sz w:val="24"/>
          <w:szCs w:val="24"/>
        </w:rPr>
        <w:t xml:space="preserve"> núcleo familiar era centrado na figura do </w:t>
      </w:r>
      <w:r w:rsidR="004A59C3">
        <w:rPr>
          <w:rFonts w:ascii="Arial" w:hAnsi="Arial" w:cs="Arial"/>
          <w:i/>
          <w:sz w:val="24"/>
          <w:szCs w:val="24"/>
        </w:rPr>
        <w:t>pater famílias</w:t>
      </w:r>
      <w:r w:rsidR="004A59C3">
        <w:rPr>
          <w:rFonts w:ascii="Arial" w:hAnsi="Arial" w:cs="Arial"/>
          <w:sz w:val="24"/>
          <w:szCs w:val="24"/>
        </w:rPr>
        <w:t xml:space="preserve">, </w:t>
      </w:r>
      <w:r w:rsidR="00002E54">
        <w:rPr>
          <w:rFonts w:ascii="Arial" w:hAnsi="Arial" w:cs="Arial"/>
          <w:sz w:val="24"/>
          <w:szCs w:val="24"/>
        </w:rPr>
        <w:t>condutor absoluto e soberano dos</w:t>
      </w:r>
      <w:r w:rsidR="004A59C3">
        <w:rPr>
          <w:rFonts w:ascii="Arial" w:hAnsi="Arial" w:cs="Arial"/>
          <w:sz w:val="24"/>
          <w:szCs w:val="24"/>
        </w:rPr>
        <w:t xml:space="preserve"> negócios familiares</w:t>
      </w:r>
      <w:r w:rsidR="00002E54">
        <w:rPr>
          <w:rFonts w:ascii="Arial" w:hAnsi="Arial" w:cs="Arial"/>
          <w:sz w:val="24"/>
          <w:szCs w:val="24"/>
        </w:rPr>
        <w:t>,</w:t>
      </w:r>
      <w:r w:rsidR="004A59C3">
        <w:rPr>
          <w:rFonts w:ascii="Arial" w:hAnsi="Arial" w:cs="Arial"/>
          <w:sz w:val="24"/>
          <w:szCs w:val="24"/>
        </w:rPr>
        <w:t xml:space="preserve"> que </w:t>
      </w:r>
      <w:r w:rsidR="00F05F3F">
        <w:rPr>
          <w:rFonts w:ascii="Arial" w:hAnsi="Arial" w:cs="Arial"/>
          <w:sz w:val="24"/>
          <w:szCs w:val="24"/>
        </w:rPr>
        <w:t xml:space="preserve">poderia até mesmo dispor da vida dos membros da família – os </w:t>
      </w:r>
      <w:r w:rsidR="00F05F3F">
        <w:rPr>
          <w:rFonts w:ascii="Arial" w:hAnsi="Arial" w:cs="Arial"/>
          <w:i/>
          <w:sz w:val="24"/>
          <w:szCs w:val="24"/>
        </w:rPr>
        <w:t>aliena juris</w:t>
      </w:r>
      <w:r w:rsidR="00F05F3F">
        <w:rPr>
          <w:rFonts w:ascii="Arial" w:hAnsi="Arial" w:cs="Arial"/>
          <w:sz w:val="24"/>
          <w:szCs w:val="24"/>
        </w:rPr>
        <w:t>.</w:t>
      </w:r>
      <w:proofErr w:type="gramStart"/>
      <w:r w:rsidR="00F05F3F">
        <w:rPr>
          <w:rStyle w:val="Refdenotaderodap"/>
          <w:rFonts w:ascii="Arial" w:hAnsi="Arial" w:cs="Arial"/>
          <w:sz w:val="24"/>
          <w:szCs w:val="24"/>
        </w:rPr>
        <w:footnoteReference w:id="5"/>
      </w:r>
      <w:proofErr w:type="gramEnd"/>
    </w:p>
    <w:p w:rsidR="009B2CAF" w:rsidRDefault="00C73011" w:rsidP="009B2CAF">
      <w:pPr>
        <w:spacing w:after="0" w:line="360" w:lineRule="auto"/>
        <w:ind w:firstLine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direito Justiniano, </w:t>
      </w:r>
      <w:r w:rsidR="00122778">
        <w:rPr>
          <w:rFonts w:ascii="Arial" w:hAnsi="Arial" w:cs="Arial"/>
          <w:sz w:val="24"/>
          <w:szCs w:val="24"/>
        </w:rPr>
        <w:t xml:space="preserve">especialmente no </w:t>
      </w:r>
      <w:r w:rsidR="00122778" w:rsidRPr="005E1836">
        <w:rPr>
          <w:rFonts w:ascii="Arial" w:hAnsi="Arial" w:cs="Arial"/>
          <w:i/>
          <w:sz w:val="24"/>
          <w:szCs w:val="24"/>
        </w:rPr>
        <w:t>Digesto</w:t>
      </w:r>
      <w:r w:rsidR="00122778">
        <w:rPr>
          <w:rFonts w:ascii="Arial" w:hAnsi="Arial" w:cs="Arial"/>
          <w:sz w:val="24"/>
          <w:szCs w:val="24"/>
        </w:rPr>
        <w:t>, há</w:t>
      </w:r>
      <w:r w:rsidR="005E1836">
        <w:rPr>
          <w:rFonts w:ascii="Arial" w:hAnsi="Arial" w:cs="Arial"/>
          <w:sz w:val="24"/>
          <w:szCs w:val="24"/>
        </w:rPr>
        <w:t xml:space="preserve"> algumas</w:t>
      </w:r>
      <w:r w:rsidR="00122778">
        <w:rPr>
          <w:rFonts w:ascii="Arial" w:hAnsi="Arial" w:cs="Arial"/>
          <w:sz w:val="24"/>
          <w:szCs w:val="24"/>
        </w:rPr>
        <w:t xml:space="preserve"> disposições concernentes aos alimentos </w:t>
      </w:r>
      <w:r w:rsidR="00122778" w:rsidRPr="00B34818">
        <w:rPr>
          <w:rFonts w:ascii="Arial" w:hAnsi="Arial" w:cs="Arial"/>
          <w:sz w:val="24"/>
          <w:szCs w:val="24"/>
        </w:rPr>
        <w:t>(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Legatis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alimentis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 cibaria </w:t>
      </w:r>
      <w:proofErr w:type="gramStart"/>
      <w:r w:rsidR="00122778" w:rsidRPr="00B34818">
        <w:rPr>
          <w:rFonts w:ascii="Arial" w:hAnsi="Arial" w:cs="Arial"/>
          <w:bCs/>
          <w:i/>
          <w:sz w:val="24"/>
          <w:szCs w:val="24"/>
        </w:rPr>
        <w:t>et</w:t>
      </w:r>
      <w:proofErr w:type="gram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vestitus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 et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habitatio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debebitur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quia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sine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his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 ali corpus non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potest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: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cetera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quae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 ad disciplinam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pertinent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 legato non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continentur</w:t>
      </w:r>
      <w:proofErr w:type="spellEnd"/>
      <w:r w:rsidR="00B34818" w:rsidRPr="00B34818">
        <w:rPr>
          <w:rFonts w:ascii="Arial" w:hAnsi="Arial" w:cs="Arial"/>
          <w:bCs/>
          <w:i/>
          <w:sz w:val="24"/>
          <w:szCs w:val="24"/>
        </w:rPr>
        <w:t xml:space="preserve"> – Livro XXXIV, 34.1.6</w:t>
      </w:r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; Si alimenta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fuerint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legata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dici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potest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etiam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aquam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 legato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inesse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, si in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ea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regione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fuerint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legata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ubi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venumdari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aqua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122778" w:rsidRPr="00B34818">
        <w:rPr>
          <w:rFonts w:ascii="Arial" w:hAnsi="Arial" w:cs="Arial"/>
          <w:bCs/>
          <w:i/>
          <w:sz w:val="24"/>
          <w:szCs w:val="24"/>
        </w:rPr>
        <w:t>solet</w:t>
      </w:r>
      <w:proofErr w:type="spellEnd"/>
      <w:r w:rsidR="00122778" w:rsidRPr="00B34818">
        <w:rPr>
          <w:rFonts w:ascii="Arial" w:hAnsi="Arial" w:cs="Arial"/>
          <w:bCs/>
          <w:i/>
          <w:sz w:val="24"/>
          <w:szCs w:val="24"/>
        </w:rPr>
        <w:t xml:space="preserve"> – Livro XXXIV, 34.1</w:t>
      </w:r>
      <w:r w:rsidR="00B34818" w:rsidRPr="00B34818">
        <w:rPr>
          <w:rFonts w:ascii="Arial" w:hAnsi="Arial" w:cs="Arial"/>
          <w:bCs/>
          <w:sz w:val="24"/>
          <w:szCs w:val="24"/>
        </w:rPr>
        <w:t>)</w:t>
      </w:r>
      <w:r w:rsidR="00B34818">
        <w:rPr>
          <w:rStyle w:val="Refdenotaderodap"/>
          <w:rFonts w:ascii="Arial" w:hAnsi="Arial" w:cs="Arial"/>
          <w:bCs/>
          <w:sz w:val="24"/>
          <w:szCs w:val="24"/>
        </w:rPr>
        <w:footnoteReference w:id="6"/>
      </w:r>
      <w:r w:rsidR="005E1836">
        <w:rPr>
          <w:rFonts w:ascii="Arial" w:hAnsi="Arial" w:cs="Arial"/>
          <w:bCs/>
          <w:sz w:val="24"/>
          <w:szCs w:val="24"/>
        </w:rPr>
        <w:t>, as quais</w:t>
      </w:r>
      <w:r w:rsidR="00B34818">
        <w:rPr>
          <w:rFonts w:ascii="Arial" w:hAnsi="Arial" w:cs="Arial"/>
          <w:bCs/>
          <w:sz w:val="24"/>
          <w:szCs w:val="24"/>
        </w:rPr>
        <w:t xml:space="preserve">, segundo </w:t>
      </w:r>
      <w:r w:rsidR="005E1836">
        <w:rPr>
          <w:rFonts w:ascii="Arial" w:hAnsi="Arial" w:cs="Arial"/>
          <w:bCs/>
          <w:sz w:val="24"/>
          <w:szCs w:val="24"/>
        </w:rPr>
        <w:t>o magistério doutrinário</w:t>
      </w:r>
      <w:r w:rsidR="00B34818">
        <w:rPr>
          <w:rFonts w:ascii="Arial" w:hAnsi="Arial" w:cs="Arial"/>
          <w:bCs/>
          <w:sz w:val="24"/>
          <w:szCs w:val="24"/>
        </w:rPr>
        <w:t>, foram o ponto de partida para a consolidação do que hoje entendemos por obrigação aliment</w:t>
      </w:r>
      <w:r w:rsidR="005E1836">
        <w:rPr>
          <w:rFonts w:ascii="Arial" w:hAnsi="Arial" w:cs="Arial"/>
          <w:bCs/>
          <w:sz w:val="24"/>
          <w:szCs w:val="24"/>
        </w:rPr>
        <w:t>ícia</w:t>
      </w:r>
      <w:r w:rsidR="00B34818">
        <w:rPr>
          <w:rFonts w:ascii="Arial" w:hAnsi="Arial" w:cs="Arial"/>
          <w:bCs/>
          <w:sz w:val="24"/>
          <w:szCs w:val="24"/>
        </w:rPr>
        <w:t>.</w:t>
      </w:r>
      <w:r w:rsidR="009B2CAF">
        <w:rPr>
          <w:rStyle w:val="Refdenotaderodap"/>
          <w:rFonts w:ascii="Arial" w:hAnsi="Arial" w:cs="Arial"/>
          <w:bCs/>
          <w:sz w:val="24"/>
          <w:szCs w:val="24"/>
        </w:rPr>
        <w:footnoteReference w:id="7"/>
      </w:r>
    </w:p>
    <w:p w:rsidR="00B34818" w:rsidRDefault="009B2CAF" w:rsidP="009B2CAF">
      <w:pPr>
        <w:spacing w:after="0" w:line="360" w:lineRule="auto"/>
        <w:ind w:firstLine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Ao fazer aprofundada digressão histórica sobre os alimentos, Cahali identifica </w:t>
      </w:r>
      <w:r w:rsidR="00E635F2">
        <w:rPr>
          <w:rFonts w:ascii="Arial" w:hAnsi="Arial" w:cs="Arial"/>
          <w:bCs/>
          <w:sz w:val="24"/>
          <w:szCs w:val="24"/>
        </w:rPr>
        <w:t xml:space="preserve">um alargamento conceitual do instituto no direito canônico, que passou a admitir </w:t>
      </w:r>
      <w:r w:rsidR="005E1836">
        <w:rPr>
          <w:rFonts w:ascii="Arial" w:hAnsi="Arial" w:cs="Arial"/>
          <w:bCs/>
          <w:sz w:val="24"/>
          <w:szCs w:val="24"/>
        </w:rPr>
        <w:t xml:space="preserve">o direito </w:t>
      </w:r>
      <w:proofErr w:type="gramStart"/>
      <w:r w:rsidR="005E1836">
        <w:rPr>
          <w:rFonts w:ascii="Arial" w:hAnsi="Arial" w:cs="Arial"/>
          <w:bCs/>
          <w:sz w:val="24"/>
          <w:szCs w:val="24"/>
        </w:rPr>
        <w:t>à</w:t>
      </w:r>
      <w:proofErr w:type="gramEnd"/>
      <w:r w:rsidR="005E1836">
        <w:rPr>
          <w:rFonts w:ascii="Arial" w:hAnsi="Arial" w:cs="Arial"/>
          <w:bCs/>
          <w:sz w:val="24"/>
          <w:szCs w:val="24"/>
        </w:rPr>
        <w:t xml:space="preserve"> prestações alimentares</w:t>
      </w:r>
      <w:r w:rsidR="00E635F2">
        <w:rPr>
          <w:rFonts w:ascii="Arial" w:hAnsi="Arial" w:cs="Arial"/>
          <w:bCs/>
          <w:sz w:val="24"/>
          <w:szCs w:val="24"/>
        </w:rPr>
        <w:t xml:space="preserve"> em relações diversas daquelas regidas pelo vínculo de sangue, para abarcar outras </w:t>
      </w:r>
      <w:r w:rsidR="005E1836">
        <w:rPr>
          <w:rFonts w:ascii="Arial" w:hAnsi="Arial" w:cs="Arial"/>
          <w:bCs/>
          <w:sz w:val="24"/>
          <w:szCs w:val="24"/>
        </w:rPr>
        <w:t>de cunho religioso/institucional</w:t>
      </w:r>
      <w:r w:rsidR="00E635F2">
        <w:rPr>
          <w:rFonts w:ascii="Arial" w:hAnsi="Arial" w:cs="Arial"/>
          <w:bCs/>
          <w:sz w:val="24"/>
          <w:szCs w:val="24"/>
        </w:rPr>
        <w:t>, como o clericato e o monastério.</w:t>
      </w:r>
      <w:r w:rsidR="00E635F2">
        <w:rPr>
          <w:rStyle w:val="Refdenotaderodap"/>
          <w:rFonts w:ascii="Arial" w:hAnsi="Arial" w:cs="Arial"/>
          <w:bCs/>
          <w:sz w:val="24"/>
          <w:szCs w:val="24"/>
        </w:rPr>
        <w:footnoteReference w:id="8"/>
      </w:r>
      <w:r w:rsidR="00E635F2">
        <w:rPr>
          <w:rFonts w:ascii="Arial" w:hAnsi="Arial" w:cs="Arial"/>
          <w:bCs/>
          <w:sz w:val="24"/>
          <w:szCs w:val="24"/>
        </w:rPr>
        <w:t xml:space="preserve"> </w:t>
      </w:r>
    </w:p>
    <w:p w:rsidR="00E635F2" w:rsidRDefault="00E635F2" w:rsidP="009B2CAF">
      <w:pPr>
        <w:spacing w:after="0" w:line="360" w:lineRule="auto"/>
        <w:ind w:firstLine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Código Civil de 1916, os alimentos eram tratados no Capítulo VII, Título IV, Livro I da Parte Especial, nos artigos 396 a 405. </w:t>
      </w:r>
      <w:r w:rsidR="009443B6">
        <w:rPr>
          <w:rFonts w:ascii="Arial" w:hAnsi="Arial" w:cs="Arial"/>
          <w:bCs/>
          <w:sz w:val="24"/>
          <w:szCs w:val="24"/>
        </w:rPr>
        <w:t xml:space="preserve">Lembra Maria Berenice Dias que o vetusto </w:t>
      </w:r>
      <w:proofErr w:type="spellStart"/>
      <w:r w:rsidR="009443B6">
        <w:rPr>
          <w:rFonts w:ascii="Arial" w:hAnsi="Arial" w:cs="Arial"/>
          <w:bCs/>
          <w:i/>
          <w:sz w:val="24"/>
          <w:szCs w:val="24"/>
        </w:rPr>
        <w:t>Codex</w:t>
      </w:r>
      <w:proofErr w:type="spellEnd"/>
      <w:r w:rsidR="009443B6">
        <w:rPr>
          <w:rFonts w:ascii="Arial" w:hAnsi="Arial" w:cs="Arial"/>
          <w:bCs/>
          <w:i/>
          <w:sz w:val="24"/>
          <w:szCs w:val="24"/>
        </w:rPr>
        <w:t xml:space="preserve"> </w:t>
      </w:r>
      <w:r w:rsidR="009443B6">
        <w:rPr>
          <w:rFonts w:ascii="Arial" w:hAnsi="Arial" w:cs="Arial"/>
          <w:bCs/>
          <w:sz w:val="24"/>
          <w:szCs w:val="24"/>
        </w:rPr>
        <w:t xml:space="preserve">promoveu uma das maiores injustiças no âmbito do direito familiar, porque impediu o reconhecimento de filhos provenientes de relações adulterinas (filhos ilegítimos), de sorte que estes </w:t>
      </w:r>
      <w:r w:rsidR="005E1836">
        <w:rPr>
          <w:rFonts w:ascii="Arial" w:hAnsi="Arial" w:cs="Arial"/>
          <w:bCs/>
          <w:sz w:val="24"/>
          <w:szCs w:val="24"/>
        </w:rPr>
        <w:t>foram tolhidos, por mais de trinta anos, da possibilidade de</w:t>
      </w:r>
      <w:r w:rsidR="009443B6">
        <w:rPr>
          <w:rFonts w:ascii="Arial" w:hAnsi="Arial" w:cs="Arial"/>
          <w:bCs/>
          <w:sz w:val="24"/>
          <w:szCs w:val="24"/>
        </w:rPr>
        <w:t xml:space="preserve"> pleitear alimentos. Contudo, a Lei n. 883/1949 pôs fim a essa incongruência, já que permitiu o manejo de ação de investigação de paternidade para o fim de obter pensão alimentícia.</w:t>
      </w:r>
      <w:proofErr w:type="gramStart"/>
      <w:r w:rsidR="009443B6">
        <w:rPr>
          <w:rStyle w:val="Refdenotaderodap"/>
          <w:rFonts w:ascii="Arial" w:hAnsi="Arial" w:cs="Arial"/>
          <w:bCs/>
          <w:sz w:val="24"/>
          <w:szCs w:val="24"/>
        </w:rPr>
        <w:footnoteReference w:id="9"/>
      </w:r>
      <w:proofErr w:type="gramEnd"/>
      <w:r w:rsidR="009443B6">
        <w:rPr>
          <w:rFonts w:ascii="Arial" w:hAnsi="Arial" w:cs="Arial"/>
          <w:bCs/>
          <w:sz w:val="24"/>
          <w:szCs w:val="24"/>
        </w:rPr>
        <w:t xml:space="preserve"> </w:t>
      </w:r>
    </w:p>
    <w:p w:rsidR="004910C4" w:rsidRDefault="009443B6" w:rsidP="009B2CAF">
      <w:pPr>
        <w:spacing w:after="0" w:line="360" w:lineRule="auto"/>
        <w:ind w:firstLine="1134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No vigente Código Civil</w:t>
      </w:r>
      <w:r w:rsidR="004F0A3C">
        <w:rPr>
          <w:rStyle w:val="Forte"/>
          <w:rFonts w:ascii="Arial" w:hAnsi="Arial" w:cs="Arial"/>
          <w:b w:val="0"/>
          <w:sz w:val="24"/>
          <w:szCs w:val="24"/>
        </w:rPr>
        <w:t xml:space="preserve"> (artigos 1.694 e seguintes)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, os alimentos </w:t>
      </w:r>
      <w:r w:rsidR="004F0A3C">
        <w:rPr>
          <w:rStyle w:val="Forte"/>
          <w:rFonts w:ascii="Arial" w:hAnsi="Arial" w:cs="Arial"/>
          <w:b w:val="0"/>
          <w:sz w:val="24"/>
          <w:szCs w:val="24"/>
        </w:rPr>
        <w:t>são diferenciados em naturais (ou necessários</w:t>
      </w:r>
      <w:r w:rsidR="005A266D">
        <w:rPr>
          <w:rStyle w:val="Forte"/>
          <w:rFonts w:ascii="Arial" w:hAnsi="Arial" w:cs="Arial"/>
          <w:b w:val="0"/>
          <w:sz w:val="24"/>
          <w:szCs w:val="24"/>
        </w:rPr>
        <w:t xml:space="preserve"> – </w:t>
      </w:r>
      <w:proofErr w:type="spellStart"/>
      <w:r w:rsidR="005A266D">
        <w:rPr>
          <w:rStyle w:val="Forte"/>
          <w:rFonts w:ascii="Arial" w:hAnsi="Arial" w:cs="Arial"/>
          <w:b w:val="0"/>
          <w:i/>
          <w:sz w:val="24"/>
          <w:szCs w:val="24"/>
        </w:rPr>
        <w:t>necessarium</w:t>
      </w:r>
      <w:proofErr w:type="spellEnd"/>
      <w:r w:rsidR="005A266D">
        <w:rPr>
          <w:rStyle w:val="Forte"/>
          <w:rFonts w:ascii="Arial" w:hAnsi="Arial" w:cs="Arial"/>
          <w:b w:val="0"/>
          <w:i/>
          <w:sz w:val="24"/>
          <w:szCs w:val="24"/>
        </w:rPr>
        <w:t xml:space="preserve"> vitae</w:t>
      </w:r>
      <w:r w:rsidR="004F0A3C">
        <w:rPr>
          <w:rStyle w:val="Forte"/>
          <w:rFonts w:ascii="Arial" w:hAnsi="Arial" w:cs="Arial"/>
          <w:b w:val="0"/>
          <w:sz w:val="24"/>
          <w:szCs w:val="24"/>
        </w:rPr>
        <w:t>) e civis (ou côngruos</w:t>
      </w:r>
      <w:r w:rsidR="005A266D">
        <w:rPr>
          <w:rStyle w:val="Forte"/>
          <w:rFonts w:ascii="Arial" w:hAnsi="Arial" w:cs="Arial"/>
          <w:b w:val="0"/>
          <w:sz w:val="24"/>
          <w:szCs w:val="24"/>
        </w:rPr>
        <w:t xml:space="preserve"> – </w:t>
      </w:r>
      <w:proofErr w:type="spellStart"/>
      <w:r w:rsidR="005A266D">
        <w:rPr>
          <w:rStyle w:val="Forte"/>
          <w:rFonts w:ascii="Arial" w:hAnsi="Arial" w:cs="Arial"/>
          <w:b w:val="0"/>
          <w:i/>
          <w:sz w:val="24"/>
          <w:szCs w:val="24"/>
        </w:rPr>
        <w:t>necessarium</w:t>
      </w:r>
      <w:proofErr w:type="spellEnd"/>
      <w:r w:rsidR="005A266D">
        <w:rPr>
          <w:rStyle w:val="Forte"/>
          <w:rFonts w:ascii="Arial" w:hAnsi="Arial" w:cs="Arial"/>
          <w:b w:val="0"/>
          <w:i/>
          <w:sz w:val="24"/>
          <w:szCs w:val="24"/>
        </w:rPr>
        <w:t xml:space="preserve"> personae</w:t>
      </w:r>
      <w:r w:rsidR="004F0A3C">
        <w:rPr>
          <w:rStyle w:val="Forte"/>
          <w:rFonts w:ascii="Arial" w:hAnsi="Arial" w:cs="Arial"/>
          <w:b w:val="0"/>
          <w:sz w:val="24"/>
          <w:szCs w:val="24"/>
        </w:rPr>
        <w:t>), de maneira que os primeiros devem ser fixados no patamar necessário para a mera subsistência</w:t>
      </w:r>
      <w:r w:rsidR="006326BE">
        <w:rPr>
          <w:rStyle w:val="Forte"/>
          <w:rFonts w:ascii="Arial" w:hAnsi="Arial" w:cs="Arial"/>
          <w:b w:val="0"/>
          <w:sz w:val="24"/>
          <w:szCs w:val="24"/>
        </w:rPr>
        <w:t>, ao passo que os últimos também devem</w:t>
      </w:r>
      <w:r w:rsidR="004F0A3C">
        <w:rPr>
          <w:rStyle w:val="Forte"/>
          <w:rFonts w:ascii="Arial" w:hAnsi="Arial" w:cs="Arial"/>
          <w:b w:val="0"/>
          <w:sz w:val="24"/>
          <w:szCs w:val="24"/>
        </w:rPr>
        <w:t xml:space="preserve"> cobrir </w:t>
      </w:r>
      <w:r w:rsidR="006326BE">
        <w:rPr>
          <w:rStyle w:val="Forte"/>
          <w:rFonts w:ascii="Arial" w:hAnsi="Arial" w:cs="Arial"/>
          <w:b w:val="0"/>
          <w:sz w:val="24"/>
          <w:szCs w:val="24"/>
        </w:rPr>
        <w:t xml:space="preserve">outras </w:t>
      </w:r>
      <w:r w:rsidR="004F0A3C">
        <w:rPr>
          <w:rStyle w:val="Forte"/>
          <w:rFonts w:ascii="Arial" w:hAnsi="Arial" w:cs="Arial"/>
          <w:b w:val="0"/>
          <w:sz w:val="24"/>
          <w:szCs w:val="24"/>
        </w:rPr>
        <w:t>necessidades básicas do alimentado</w:t>
      </w:r>
      <w:r w:rsidR="006326BE">
        <w:rPr>
          <w:rStyle w:val="Forte"/>
          <w:rFonts w:ascii="Arial" w:hAnsi="Arial" w:cs="Arial"/>
          <w:b w:val="0"/>
          <w:sz w:val="24"/>
          <w:szCs w:val="24"/>
        </w:rPr>
        <w:t>.</w:t>
      </w:r>
      <w:r w:rsidR="006326BE">
        <w:rPr>
          <w:rStyle w:val="Refdenotaderodap"/>
          <w:rFonts w:ascii="Arial" w:hAnsi="Arial" w:cs="Arial"/>
          <w:bCs/>
          <w:sz w:val="24"/>
          <w:szCs w:val="24"/>
        </w:rPr>
        <w:footnoteReference w:id="10"/>
      </w:r>
      <w:r w:rsidR="00DF17D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DF17D3">
        <w:rPr>
          <w:rStyle w:val="Refdenotaderodap"/>
          <w:rFonts w:ascii="Arial" w:hAnsi="Arial" w:cs="Arial"/>
          <w:bCs/>
          <w:sz w:val="24"/>
          <w:szCs w:val="24"/>
        </w:rPr>
        <w:footnoteReference w:id="11"/>
      </w:r>
      <w:proofErr w:type="gramEnd"/>
    </w:p>
    <w:p w:rsidR="009443B6" w:rsidRDefault="00244BF9" w:rsidP="009B2CAF">
      <w:pPr>
        <w:spacing w:after="0" w:line="360" w:lineRule="auto"/>
        <w:ind w:firstLine="1134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 xml:space="preserve">A fixação da pensão alimentícia, segundo o artigo 1.694, § 1º, do Código Civil, deve levar em consideração </w:t>
      </w:r>
      <w:r>
        <w:rPr>
          <w:rStyle w:val="Forte"/>
          <w:rFonts w:ascii="Arial" w:hAnsi="Arial" w:cs="Arial"/>
          <w:b w:val="0"/>
          <w:i/>
          <w:sz w:val="24"/>
          <w:szCs w:val="24"/>
        </w:rPr>
        <w:t xml:space="preserve">“as necessidades do reclamante” 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e os </w:t>
      </w:r>
      <w:r>
        <w:rPr>
          <w:rStyle w:val="Forte"/>
          <w:rFonts w:ascii="Arial" w:hAnsi="Arial" w:cs="Arial"/>
          <w:b w:val="0"/>
          <w:i/>
          <w:sz w:val="24"/>
          <w:szCs w:val="24"/>
        </w:rPr>
        <w:t>“recursos da pessoa obrigada”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. Esses fatores, que podem ser condensados na relação necessidade/possibilidade, foram chamados pela doutrina de </w:t>
      </w:r>
      <w:r>
        <w:rPr>
          <w:rStyle w:val="Forte"/>
          <w:rFonts w:ascii="Arial" w:hAnsi="Arial" w:cs="Arial"/>
          <w:b w:val="0"/>
          <w:i/>
          <w:sz w:val="24"/>
          <w:szCs w:val="24"/>
        </w:rPr>
        <w:t>binômio alimentar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. </w:t>
      </w:r>
    </w:p>
    <w:p w:rsidR="00244BF9" w:rsidRPr="00AD39C3" w:rsidRDefault="00244BF9" w:rsidP="009B2CAF">
      <w:pPr>
        <w:spacing w:after="0" w:line="360" w:lineRule="auto"/>
        <w:ind w:firstLine="1134"/>
        <w:rPr>
          <w:rStyle w:val="Forte"/>
          <w:rFonts w:ascii="Arial" w:hAnsi="Arial" w:cs="Arial"/>
          <w:b w:val="0"/>
          <w:sz w:val="24"/>
          <w:szCs w:val="24"/>
        </w:rPr>
      </w:pPr>
      <w:proofErr w:type="gramStart"/>
      <w:r>
        <w:rPr>
          <w:rStyle w:val="Forte"/>
          <w:rFonts w:ascii="Arial" w:hAnsi="Arial" w:cs="Arial"/>
          <w:b w:val="0"/>
          <w:sz w:val="24"/>
          <w:szCs w:val="24"/>
        </w:rPr>
        <w:t>Outrossim</w:t>
      </w:r>
      <w:proofErr w:type="gramEnd"/>
      <w:r>
        <w:rPr>
          <w:rStyle w:val="Forte"/>
          <w:rFonts w:ascii="Arial" w:hAnsi="Arial" w:cs="Arial"/>
          <w:b w:val="0"/>
          <w:sz w:val="24"/>
          <w:szCs w:val="24"/>
        </w:rPr>
        <w:t xml:space="preserve">, </w:t>
      </w:r>
      <w:r w:rsidR="006C276A">
        <w:rPr>
          <w:rStyle w:val="Forte"/>
          <w:rFonts w:ascii="Arial" w:hAnsi="Arial" w:cs="Arial"/>
          <w:b w:val="0"/>
          <w:sz w:val="24"/>
          <w:szCs w:val="24"/>
        </w:rPr>
        <w:t>proeminentes doutrinadores têm agregado o princípio da proporcionalidade ao binômio, fala</w:t>
      </w:r>
      <w:r w:rsidR="005E1836">
        <w:rPr>
          <w:rStyle w:val="Forte"/>
          <w:rFonts w:ascii="Arial" w:hAnsi="Arial" w:cs="Arial"/>
          <w:b w:val="0"/>
          <w:sz w:val="24"/>
          <w:szCs w:val="24"/>
        </w:rPr>
        <w:t>ndo</w:t>
      </w:r>
      <w:r w:rsidR="006C276A">
        <w:rPr>
          <w:rStyle w:val="Forte"/>
          <w:rFonts w:ascii="Arial" w:hAnsi="Arial" w:cs="Arial"/>
          <w:b w:val="0"/>
          <w:sz w:val="24"/>
          <w:szCs w:val="24"/>
        </w:rPr>
        <w:t>-se</w:t>
      </w:r>
      <w:r w:rsidR="005E1836">
        <w:rPr>
          <w:rStyle w:val="Forte"/>
          <w:rFonts w:ascii="Arial" w:hAnsi="Arial" w:cs="Arial"/>
          <w:b w:val="0"/>
          <w:sz w:val="24"/>
          <w:szCs w:val="24"/>
        </w:rPr>
        <w:t xml:space="preserve"> hoje em </w:t>
      </w:r>
      <w:r w:rsidR="006C276A">
        <w:rPr>
          <w:rStyle w:val="Forte"/>
          <w:rFonts w:ascii="Arial" w:hAnsi="Arial" w:cs="Arial"/>
          <w:b w:val="0"/>
          <w:sz w:val="24"/>
          <w:szCs w:val="24"/>
        </w:rPr>
        <w:t>trinômio necessidade/proporcionalidade/possibilidade.</w:t>
      </w:r>
      <w:r w:rsidR="006C276A">
        <w:rPr>
          <w:rStyle w:val="Refdenotaderodap"/>
          <w:rFonts w:ascii="Arial" w:hAnsi="Arial" w:cs="Arial"/>
          <w:bCs/>
          <w:sz w:val="24"/>
          <w:szCs w:val="24"/>
        </w:rPr>
        <w:footnoteReference w:id="12"/>
      </w:r>
      <w:r w:rsidR="006C276A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6C276A">
        <w:rPr>
          <w:rStyle w:val="Refdenotaderodap"/>
          <w:rFonts w:ascii="Arial" w:hAnsi="Arial" w:cs="Arial"/>
          <w:bCs/>
          <w:sz w:val="24"/>
          <w:szCs w:val="24"/>
        </w:rPr>
        <w:footnoteReference w:id="13"/>
      </w:r>
      <w:r w:rsidR="006C276A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6C276A">
        <w:rPr>
          <w:rStyle w:val="Refdenotaderodap"/>
          <w:rFonts w:ascii="Arial" w:hAnsi="Arial" w:cs="Arial"/>
          <w:bCs/>
          <w:sz w:val="24"/>
          <w:szCs w:val="24"/>
        </w:rPr>
        <w:footnoteReference w:id="14"/>
      </w:r>
      <w:r w:rsidR="00AD39C3">
        <w:rPr>
          <w:rStyle w:val="Forte"/>
          <w:rFonts w:ascii="Arial" w:hAnsi="Arial" w:cs="Arial"/>
          <w:b w:val="0"/>
          <w:sz w:val="24"/>
          <w:szCs w:val="24"/>
        </w:rPr>
        <w:t xml:space="preserve"> Justifica-se a adoção do </w:t>
      </w:r>
      <w:r w:rsidR="00AD39C3">
        <w:rPr>
          <w:rStyle w:val="Forte"/>
          <w:rFonts w:ascii="Arial" w:hAnsi="Arial" w:cs="Arial"/>
          <w:b w:val="0"/>
          <w:sz w:val="24"/>
          <w:szCs w:val="24"/>
        </w:rPr>
        <w:lastRenderedPageBreak/>
        <w:t>princípio entre as balizas legais para que se estabeleça “</w:t>
      </w:r>
      <w:r w:rsidR="00AD39C3">
        <w:rPr>
          <w:rStyle w:val="Forte"/>
          <w:rFonts w:ascii="Arial" w:hAnsi="Arial" w:cs="Arial"/>
          <w:b w:val="0"/>
          <w:i/>
          <w:sz w:val="24"/>
          <w:szCs w:val="24"/>
        </w:rPr>
        <w:t>uma prestação alimentícia de forma racional e equilibrada, sem excessos nem deficiências”</w:t>
      </w:r>
      <w:r w:rsidR="00AD39C3">
        <w:rPr>
          <w:rStyle w:val="Forte"/>
          <w:rFonts w:ascii="Arial" w:hAnsi="Arial" w:cs="Arial"/>
          <w:b w:val="0"/>
          <w:sz w:val="24"/>
          <w:szCs w:val="24"/>
        </w:rPr>
        <w:t>.</w:t>
      </w:r>
      <w:r w:rsidR="00AD39C3">
        <w:rPr>
          <w:rStyle w:val="Refdenotaderodap"/>
          <w:rFonts w:ascii="Arial" w:hAnsi="Arial" w:cs="Arial"/>
          <w:bCs/>
          <w:sz w:val="24"/>
          <w:szCs w:val="24"/>
        </w:rPr>
        <w:footnoteReference w:id="15"/>
      </w:r>
      <w:r w:rsidR="00AD39C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</w:p>
    <w:p w:rsidR="006C276A" w:rsidRDefault="00AD39C3" w:rsidP="009B2CAF">
      <w:pPr>
        <w:spacing w:after="0" w:line="360" w:lineRule="auto"/>
        <w:ind w:firstLine="1134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Contudo, a</w:t>
      </w:r>
      <w:r w:rsidR="006C276A">
        <w:rPr>
          <w:rStyle w:val="Forte"/>
          <w:rFonts w:ascii="Arial" w:hAnsi="Arial" w:cs="Arial"/>
          <w:b w:val="0"/>
          <w:sz w:val="24"/>
          <w:szCs w:val="24"/>
        </w:rPr>
        <w:t xml:space="preserve"> práxis forense</w:t>
      </w:r>
      <w:r w:rsidR="005E1836">
        <w:rPr>
          <w:rStyle w:val="Forte"/>
          <w:rFonts w:ascii="Arial" w:hAnsi="Arial" w:cs="Arial"/>
          <w:b w:val="0"/>
          <w:sz w:val="24"/>
          <w:szCs w:val="24"/>
        </w:rPr>
        <w:t xml:space="preserve"> sempre conviveu 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com a dificuldade de se demonstrar a verdadeira possibilidade financeira do alimentante. A produção de provas nesse sentido </w:t>
      </w:r>
      <w:r w:rsidR="005E1836">
        <w:rPr>
          <w:rStyle w:val="Forte"/>
          <w:rFonts w:ascii="Arial" w:hAnsi="Arial" w:cs="Arial"/>
          <w:b w:val="0"/>
          <w:sz w:val="24"/>
          <w:szCs w:val="24"/>
        </w:rPr>
        <w:t>é deveras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 tormentosa, mormente porque é comum o uso de subterfúgios para ocultação e blindagem do patrimônio, como a transferências de imóveis, automóveis e ativos financeiros para o nome de terceiros (vulgarmente chamados de “laranjas”), a anotação em carteira</w:t>
      </w:r>
      <w:r w:rsidR="005E1836">
        <w:rPr>
          <w:rStyle w:val="Forte"/>
          <w:rFonts w:ascii="Arial" w:hAnsi="Arial" w:cs="Arial"/>
          <w:b w:val="0"/>
          <w:sz w:val="24"/>
          <w:szCs w:val="24"/>
        </w:rPr>
        <w:t xml:space="preserve"> ou confecção de </w:t>
      </w:r>
      <w:proofErr w:type="spellStart"/>
      <w:r w:rsidR="005E1836" w:rsidRPr="005E1836">
        <w:rPr>
          <w:rStyle w:val="Forte"/>
          <w:rFonts w:ascii="Arial" w:hAnsi="Arial" w:cs="Arial"/>
          <w:b w:val="0"/>
          <w:i/>
          <w:sz w:val="24"/>
          <w:szCs w:val="24"/>
        </w:rPr>
        <w:t>pro-labore</w:t>
      </w:r>
      <w:proofErr w:type="spellEnd"/>
      <w:r w:rsidR="005E1836">
        <w:rPr>
          <w:rStyle w:val="Forte"/>
          <w:rFonts w:ascii="Arial" w:hAnsi="Arial" w:cs="Arial"/>
          <w:b w:val="0"/>
          <w:sz w:val="24"/>
          <w:szCs w:val="24"/>
        </w:rPr>
        <w:t xml:space="preserve"> com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 valores menores do que aqueles efetivamente recebidos pelo trabalhador, </w:t>
      </w:r>
      <w:proofErr w:type="gramStart"/>
      <w:r>
        <w:rPr>
          <w:rStyle w:val="Forte"/>
          <w:rFonts w:ascii="Arial" w:hAnsi="Arial" w:cs="Arial"/>
          <w:b w:val="0"/>
          <w:sz w:val="24"/>
          <w:szCs w:val="24"/>
        </w:rPr>
        <w:t>a</w:t>
      </w:r>
      <w:proofErr w:type="gramEnd"/>
      <w:r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3A66BF">
        <w:rPr>
          <w:rStyle w:val="Forte"/>
          <w:rFonts w:ascii="Arial" w:hAnsi="Arial" w:cs="Arial"/>
          <w:b w:val="0"/>
          <w:sz w:val="24"/>
          <w:szCs w:val="24"/>
        </w:rPr>
        <w:t xml:space="preserve">falsa declaração de rendimentos a menor em Imposto de Renda, dentre outros métodos. </w:t>
      </w:r>
    </w:p>
    <w:p w:rsidR="005A266D" w:rsidRDefault="005E1836" w:rsidP="009B2CAF">
      <w:pPr>
        <w:spacing w:after="0" w:line="360" w:lineRule="auto"/>
        <w:ind w:firstLine="1134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Pode-se acrescentar</w:t>
      </w:r>
      <w:r w:rsidR="005A266D">
        <w:rPr>
          <w:rStyle w:val="Forte"/>
          <w:rFonts w:ascii="Arial" w:hAnsi="Arial" w:cs="Arial"/>
          <w:b w:val="0"/>
          <w:sz w:val="24"/>
          <w:szCs w:val="24"/>
        </w:rPr>
        <w:t xml:space="preserve"> às mencionadas fraudes societárias e por interposta pessoa a possibilidade de um dos cônjuges, visando diminuir o valor da pensão ou mesmo extingui-la, contrair de má-fé inúmeras dívidas em seu nome. </w:t>
      </w:r>
    </w:p>
    <w:p w:rsidR="005A266D" w:rsidRDefault="005A266D" w:rsidP="009B2CAF">
      <w:pPr>
        <w:spacing w:after="0" w:line="360" w:lineRule="auto"/>
        <w:ind w:firstLine="1134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Por esses motivos, a jurisprudência passou a admitir que os sinais exteriores de riqueza fossem utilizados pelo magistrado para dar concretude ao binômio alimentar</w:t>
      </w:r>
      <w:r>
        <w:rPr>
          <w:rStyle w:val="Refdenotaderodap"/>
          <w:rFonts w:ascii="Arial" w:hAnsi="Arial" w:cs="Arial"/>
          <w:bCs/>
          <w:sz w:val="24"/>
          <w:szCs w:val="24"/>
        </w:rPr>
        <w:footnoteReference w:id="16"/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, o que fez coro à doutrina que pregava a viabilidade do expediente, a exemplo de Carlos Roberto Gonçalves: </w:t>
      </w:r>
    </w:p>
    <w:p w:rsidR="005A266D" w:rsidRDefault="005A266D" w:rsidP="009B2CAF">
      <w:pPr>
        <w:spacing w:after="0" w:line="360" w:lineRule="auto"/>
        <w:ind w:firstLine="1134"/>
        <w:rPr>
          <w:rStyle w:val="Forte"/>
          <w:rFonts w:ascii="Arial" w:hAnsi="Arial" w:cs="Arial"/>
          <w:b w:val="0"/>
          <w:sz w:val="24"/>
          <w:szCs w:val="24"/>
        </w:rPr>
      </w:pPr>
    </w:p>
    <w:p w:rsidR="005A266D" w:rsidRPr="00CF1963" w:rsidRDefault="00CF1963" w:rsidP="00CF1963">
      <w:pPr>
        <w:spacing w:after="0"/>
        <w:ind w:left="2268"/>
        <w:rPr>
          <w:rFonts w:ascii="Arial" w:hAnsi="Arial" w:cs="Arial"/>
          <w:bCs/>
          <w:sz w:val="20"/>
          <w:szCs w:val="20"/>
        </w:rPr>
      </w:pPr>
      <w:r w:rsidRPr="00CF1963">
        <w:rPr>
          <w:rFonts w:ascii="Arial" w:hAnsi="Arial" w:cs="Arial"/>
          <w:bCs/>
          <w:sz w:val="20"/>
          <w:szCs w:val="20"/>
        </w:rPr>
        <w:t>Ademais, não deve o juiz, ao analisar as possibilidades financeiras do alimentante empresário ou profissional liberal, ater-se apenas ao rendimento por ele admitido, mas levar em conta também os sinais exteriores de riqueza, como carros importados, barcos, viagens, apartamentos luxuosos, casa de campo ou de praia etc.</w:t>
      </w:r>
      <w:proofErr w:type="gramStart"/>
      <w:r>
        <w:rPr>
          <w:rStyle w:val="Refdenotaderodap"/>
          <w:rFonts w:ascii="Arial" w:hAnsi="Arial" w:cs="Arial"/>
          <w:bCs/>
          <w:sz w:val="20"/>
          <w:szCs w:val="20"/>
        </w:rPr>
        <w:footnoteReference w:id="17"/>
      </w:r>
      <w:proofErr w:type="gramEnd"/>
      <w:r w:rsidRPr="00CF1963">
        <w:rPr>
          <w:rFonts w:ascii="Arial" w:hAnsi="Arial" w:cs="Arial"/>
          <w:bCs/>
          <w:sz w:val="20"/>
          <w:szCs w:val="20"/>
        </w:rPr>
        <w:t xml:space="preserve"> </w:t>
      </w:r>
    </w:p>
    <w:p w:rsidR="003A66BF" w:rsidRPr="006C276A" w:rsidRDefault="003A66BF" w:rsidP="009B2CAF">
      <w:pPr>
        <w:spacing w:after="0" w:line="360" w:lineRule="auto"/>
        <w:ind w:firstLine="1134"/>
        <w:rPr>
          <w:rStyle w:val="Forte"/>
          <w:rFonts w:ascii="Arial" w:hAnsi="Arial" w:cs="Arial"/>
          <w:b w:val="0"/>
          <w:sz w:val="24"/>
          <w:szCs w:val="24"/>
        </w:rPr>
      </w:pPr>
    </w:p>
    <w:p w:rsidR="00346A18" w:rsidRDefault="00784DB7" w:rsidP="009B2CAF">
      <w:pPr>
        <w:spacing w:after="0" w:line="360" w:lineRule="auto"/>
        <w:ind w:firstLine="1134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Ante o</w:t>
      </w:r>
      <w:r w:rsidR="008E4AF3">
        <w:rPr>
          <w:rStyle w:val="Forte"/>
          <w:rFonts w:ascii="Arial" w:hAnsi="Arial" w:cs="Arial"/>
          <w:b w:val="0"/>
          <w:sz w:val="24"/>
          <w:szCs w:val="24"/>
        </w:rPr>
        <w:t xml:space="preserve"> debate do tema nos tribunais, eminentes juristas, reunidos na VI Jornada de Direito Civil do Conselho da Justiça Federal, nos dias 11 e 12 de março de 2013, aprovaram o Enunciado 573, </w:t>
      </w:r>
      <w:r w:rsidR="008E4AF3">
        <w:rPr>
          <w:rStyle w:val="Forte"/>
          <w:rFonts w:ascii="Arial" w:hAnsi="Arial" w:cs="Arial"/>
          <w:b w:val="0"/>
          <w:i/>
          <w:sz w:val="24"/>
          <w:szCs w:val="24"/>
        </w:rPr>
        <w:t xml:space="preserve">in </w:t>
      </w:r>
      <w:proofErr w:type="spellStart"/>
      <w:r w:rsidR="008E4AF3">
        <w:rPr>
          <w:rStyle w:val="Forte"/>
          <w:rFonts w:ascii="Arial" w:hAnsi="Arial" w:cs="Arial"/>
          <w:b w:val="0"/>
          <w:i/>
          <w:sz w:val="24"/>
          <w:szCs w:val="24"/>
        </w:rPr>
        <w:t>verbis</w:t>
      </w:r>
      <w:proofErr w:type="spellEnd"/>
      <w:r w:rsidR="008E4AF3">
        <w:rPr>
          <w:rStyle w:val="Forte"/>
          <w:rFonts w:ascii="Arial" w:hAnsi="Arial" w:cs="Arial"/>
          <w:b w:val="0"/>
          <w:sz w:val="24"/>
          <w:szCs w:val="24"/>
        </w:rPr>
        <w:t>: “</w:t>
      </w:r>
      <w:r w:rsidR="008E4AF3">
        <w:rPr>
          <w:rStyle w:val="Forte"/>
          <w:rFonts w:ascii="Arial" w:hAnsi="Arial" w:cs="Arial"/>
          <w:b w:val="0"/>
          <w:i/>
          <w:sz w:val="24"/>
          <w:szCs w:val="24"/>
        </w:rPr>
        <w:t>Na apuração da possibilidade do alimentante, observar-se-ão os sinais exteriores de riqueza”</w:t>
      </w:r>
      <w:r w:rsidR="008E4AF3">
        <w:rPr>
          <w:rStyle w:val="Forte"/>
          <w:rFonts w:ascii="Arial" w:hAnsi="Arial" w:cs="Arial"/>
          <w:b w:val="0"/>
          <w:sz w:val="24"/>
          <w:szCs w:val="24"/>
        </w:rPr>
        <w:t>.</w:t>
      </w:r>
      <w:proofErr w:type="gramStart"/>
      <w:r w:rsidR="008E4AF3">
        <w:rPr>
          <w:rStyle w:val="Refdenotaderodap"/>
          <w:rFonts w:ascii="Arial" w:hAnsi="Arial" w:cs="Arial"/>
          <w:bCs/>
          <w:sz w:val="24"/>
          <w:szCs w:val="24"/>
        </w:rPr>
        <w:footnoteReference w:id="18"/>
      </w:r>
      <w:proofErr w:type="gramEnd"/>
    </w:p>
    <w:p w:rsidR="00011826" w:rsidRDefault="00011826" w:rsidP="009B2CAF">
      <w:pPr>
        <w:spacing w:after="0" w:line="360" w:lineRule="auto"/>
        <w:ind w:firstLine="1134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lastRenderedPageBreak/>
        <w:t>Desde então, tem sido comum a utilização dos sinais exteriores de riqueza como critério para a fixação do valor dos alimentos, podendo-se citar acórdãos recentes a corroborar o exposto</w:t>
      </w:r>
      <w:r w:rsidR="00510ECD">
        <w:rPr>
          <w:rStyle w:val="Forte"/>
          <w:rFonts w:ascii="Arial" w:hAnsi="Arial" w:cs="Arial"/>
          <w:b w:val="0"/>
          <w:sz w:val="24"/>
          <w:szCs w:val="24"/>
        </w:rPr>
        <w:t xml:space="preserve">: </w:t>
      </w:r>
    </w:p>
    <w:p w:rsidR="00011826" w:rsidRDefault="00011826" w:rsidP="009B2CAF">
      <w:pPr>
        <w:spacing w:after="0" w:line="360" w:lineRule="auto"/>
        <w:ind w:firstLine="1134"/>
        <w:rPr>
          <w:rStyle w:val="Forte"/>
          <w:rFonts w:ascii="Arial" w:hAnsi="Arial" w:cs="Arial"/>
          <w:b w:val="0"/>
          <w:sz w:val="24"/>
          <w:szCs w:val="24"/>
        </w:rPr>
      </w:pPr>
    </w:p>
    <w:p w:rsidR="008B7E15" w:rsidRPr="00C0454D" w:rsidRDefault="008B7E15" w:rsidP="00C0454D">
      <w:pPr>
        <w:spacing w:after="0"/>
        <w:ind w:left="2268"/>
        <w:rPr>
          <w:rStyle w:val="Forte"/>
          <w:rFonts w:ascii="Arial" w:hAnsi="Arial" w:cs="Arial"/>
          <w:b w:val="0"/>
          <w:bCs w:val="0"/>
          <w:sz w:val="20"/>
          <w:szCs w:val="20"/>
        </w:rPr>
      </w:pPr>
      <w:r w:rsidRPr="00510ECD">
        <w:rPr>
          <w:rFonts w:ascii="Arial" w:hAnsi="Arial" w:cs="Arial"/>
          <w:sz w:val="20"/>
          <w:szCs w:val="20"/>
        </w:rPr>
        <w:t xml:space="preserve">PROCESSUAL CIVIL. AGRAVO EM RECURSO ESPECIAL MANEJADO SOB A ÉGIDE DO CPC/73. ALIMENTOS. AGRAVO DE INSTRUMENTO. VIOLAÇÃO DO ART. 535 DO CPC/73. INOCORRÊNCIA. AGRAVO CONHECIDO. RECURSO ESPECIAL NÃO PROVIDO. DECISÃO [...] Os alimentos devem ser fixados de forma a atender as necessidades dos filhos, dentro das condições econômicas do alimentante, sem sobrecarregá-lo em demasia. 3. Sendo a fixação provisória, o valor pode ser revisto a qualquer tempo, bastando que venham aos autos elementos de convicção que agasalhem a revisão. [...] Com efeito, tenho que o alimentante desfruta de uma boa situação financeira, com elevado padrão de vida e proporcionava às filhas e à sua ex-mulher uma vida bastante confortável [...] Aliás, importa salientar que o recorrente não logrou êxito em comprovar os seus reais ganhos, valendo referir que a declaração de imposto de renda não tem credibilidade absoluta, pois foi elaborado de forma unilateral. Assim, embora alegue que a fixação dos alimentos no patamar arbitrado é excessiva, não se desincumbiu do ônus de comprovar cabalmente a sua impossibilidade de contribuir para o sustento das filhas no valor arbitrado, até porque sinais exteriores de riqueza e o expressivo patrimônio desmentem as dificuldades </w:t>
      </w:r>
      <w:proofErr w:type="gramStart"/>
      <w:r w:rsidRPr="00510ECD">
        <w:rPr>
          <w:rFonts w:ascii="Arial" w:hAnsi="Arial" w:cs="Arial"/>
          <w:sz w:val="20"/>
          <w:szCs w:val="20"/>
        </w:rPr>
        <w:t>financeiras por ele apontados</w:t>
      </w:r>
      <w:proofErr w:type="gramEnd"/>
      <w:r w:rsidRPr="00510ECD">
        <w:rPr>
          <w:rFonts w:ascii="Arial" w:hAnsi="Arial" w:cs="Arial"/>
          <w:sz w:val="20"/>
          <w:szCs w:val="20"/>
        </w:rPr>
        <w:t xml:space="preserve"> [...].</w:t>
      </w:r>
      <w:r w:rsidRPr="00510ECD">
        <w:rPr>
          <w:rStyle w:val="Forte"/>
          <w:rFonts w:ascii="Arial" w:hAnsi="Arial" w:cs="Arial"/>
          <w:b w:val="0"/>
          <w:sz w:val="20"/>
          <w:szCs w:val="20"/>
        </w:rPr>
        <w:t xml:space="preserve"> </w:t>
      </w:r>
      <w:r w:rsidRPr="00510ECD">
        <w:rPr>
          <w:rStyle w:val="Refdenotaderodap"/>
          <w:rFonts w:ascii="Arial" w:hAnsi="Arial" w:cs="Arial"/>
          <w:bCs/>
          <w:sz w:val="20"/>
          <w:szCs w:val="20"/>
        </w:rPr>
        <w:footnoteReference w:id="19"/>
      </w:r>
    </w:p>
    <w:p w:rsidR="00510ECD" w:rsidRDefault="00510ECD" w:rsidP="00510ECD">
      <w:pPr>
        <w:spacing w:after="0" w:line="360" w:lineRule="auto"/>
        <w:ind w:firstLine="1134"/>
        <w:rPr>
          <w:rStyle w:val="Forte"/>
          <w:color w:val="000000"/>
          <w:shd w:val="clear" w:color="auto" w:fill="FFFFFF"/>
        </w:rPr>
      </w:pPr>
    </w:p>
    <w:p w:rsidR="00510ECD" w:rsidRPr="004B270B" w:rsidRDefault="00510ECD" w:rsidP="004B270B">
      <w:pPr>
        <w:spacing w:after="0"/>
        <w:ind w:left="2268"/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  <w:r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HABEAS CORPUS. PRISÃO CIVIL. DEVEDOR DE ALIMENTOS. EXECUÇÃO. </w:t>
      </w:r>
      <w:r w:rsidR="00C0454D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ADIMPLEMENTO </w:t>
      </w:r>
      <w:r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PARCIAL</w:t>
      </w:r>
      <w:r w:rsidR="00C0454D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DO</w:t>
      </w:r>
      <w:r w:rsidR="00C0454D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DÉBITO.   IMPOSSIBILIDADE. CAPACIDADE FINANCEIRA DO EXECUTADO E NECESSIDADES ALIMENTARES DOS ALIMENTADOS. QUESTÃO DE FATO. </w:t>
      </w:r>
      <w:r w:rsidR="00C0454D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[...]</w:t>
      </w:r>
      <w:r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O</w:t>
      </w:r>
      <w:proofErr w:type="gramStart"/>
      <w:r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 </w:t>
      </w:r>
      <w:proofErr w:type="gramEnd"/>
      <w:r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pagamento  parcial  do  débito  não afasta a possibilidade de prisão civil do devedor de alimentos. Precedentes do STF e do STJ. 2.  Na hipótese, verifica-se que o paciente, em total desrespeito ao provimento  judicial,  vem  pagando  a dívida na forma, na data e na quantidade que bem entende, ao seu bel-prazer.</w:t>
      </w:r>
      <w:r w:rsidR="00C0454D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[...]</w:t>
      </w:r>
      <w:r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Conforme se percebe dos autos, há diversos sinais exteriores de riqueza do requerido - sempre foi o único provedor da família -, atuando como Conselheiro Administrativo e Diretor-Gerente da Empresa COBRASMA S.A., voltada para o ramo de fabricação de peças e acessórios ferroviários, é sócio-gerente e administrador das empresas BVTI Bueno Vidigal Soluções em Tecnologia da Informação Ltda., Bueno Vidigal Participações e Assessoria em Gestão Empresarial Ltda. e Bueno Vidigal Assessoria Empresarial Ltda., além de ser investidor da bolsa de valores. Também se vislumbra nos autos, sem dificuldade, que a realidade econômica do alimentante sempre permitiu que a família tivesse um elevado padrão de vida, com gastos em imóveis, casa de campo, carros de luxo, obras de arte, melhores colégios de São Paulo, médicos e psicólogos, empregados, motorista, lazer e viagens. </w:t>
      </w:r>
      <w:r w:rsidR="004B270B"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[...] </w:t>
      </w:r>
      <w:r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Assim, na hipótese, além de ter sua justificativa rechaçada pelo</w:t>
      </w:r>
      <w:r w:rsidR="004B270B"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magistrado de piso, não se tem notícia de que o paciente tenha</w:t>
      </w:r>
      <w:r w:rsidR="004B270B"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ajuizado, até o momento, qualquer ação ordinária, com o fito de</w:t>
      </w:r>
      <w:r w:rsidR="004B270B"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readequar os </w:t>
      </w:r>
      <w:r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lastRenderedPageBreak/>
        <w:t>valores da pensão alimentícia.</w:t>
      </w:r>
      <w:r w:rsidR="004B270B"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Por tudo isso, o decreto prisional não pode ser afastado.</w:t>
      </w:r>
      <w:r w:rsidR="004B270B"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Dessarte</w:t>
      </w:r>
      <w:proofErr w:type="spellEnd"/>
      <w:r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, já tendo a questão idêntica sido dirimida pela Quarta</w:t>
      </w:r>
      <w:r w:rsidR="004B270B"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Turma, a pretensão recursal deve ser afastada pelos mesmos</w:t>
      </w:r>
      <w:r w:rsidR="004B270B"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fundamentos.</w:t>
      </w:r>
      <w:r w:rsidR="004B270B"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4B270B"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3. Ante o exposto, nego provimento ao recurso.</w:t>
      </w:r>
      <w:r w:rsidR="004B270B">
        <w:rPr>
          <w:rStyle w:val="Refdenotaderodap"/>
          <w:rFonts w:ascii="Arial" w:hAnsi="Arial" w:cs="Arial"/>
          <w:bCs/>
          <w:color w:val="000000"/>
          <w:sz w:val="20"/>
          <w:szCs w:val="20"/>
          <w:shd w:val="clear" w:color="auto" w:fill="FFFFFF"/>
        </w:rPr>
        <w:footnoteReference w:id="20"/>
      </w:r>
    </w:p>
    <w:p w:rsidR="004B270B" w:rsidRPr="004B270B" w:rsidRDefault="004B270B" w:rsidP="004B270B">
      <w:pPr>
        <w:spacing w:after="0"/>
        <w:ind w:left="2268"/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</w:p>
    <w:p w:rsidR="00510ECD" w:rsidRDefault="00510ECD" w:rsidP="006015D4">
      <w:pPr>
        <w:spacing w:after="0"/>
        <w:rPr>
          <w:rStyle w:val="Fort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</w:p>
    <w:p w:rsidR="005B0064" w:rsidRDefault="006015D4" w:rsidP="006015D4">
      <w:pPr>
        <w:spacing w:after="0" w:line="360" w:lineRule="auto"/>
        <w:ind w:firstLine="1134"/>
        <w:rPr>
          <w:rStyle w:val="Forte"/>
          <w:rFonts w:ascii="Arial" w:hAnsi="Arial" w:cs="Arial"/>
          <w:b w:val="0"/>
          <w:sz w:val="24"/>
          <w:szCs w:val="24"/>
        </w:rPr>
      </w:pPr>
      <w:r w:rsidRPr="006015D4">
        <w:rPr>
          <w:rStyle w:val="Forte"/>
          <w:rFonts w:ascii="Arial" w:hAnsi="Arial" w:cs="Arial"/>
          <w:b w:val="0"/>
          <w:sz w:val="24"/>
          <w:szCs w:val="24"/>
        </w:rPr>
        <w:t>Referid</w:t>
      </w:r>
      <w:r w:rsidR="001A4E4A">
        <w:rPr>
          <w:rStyle w:val="Forte"/>
          <w:rFonts w:ascii="Arial" w:hAnsi="Arial" w:cs="Arial"/>
          <w:b w:val="0"/>
          <w:sz w:val="24"/>
          <w:szCs w:val="24"/>
        </w:rPr>
        <w:t>as</w:t>
      </w:r>
      <w:r w:rsidRPr="006015D4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1A4E4A">
        <w:rPr>
          <w:rStyle w:val="Forte"/>
          <w:rFonts w:ascii="Arial" w:hAnsi="Arial" w:cs="Arial"/>
          <w:b w:val="0"/>
          <w:sz w:val="24"/>
          <w:szCs w:val="24"/>
        </w:rPr>
        <w:t>decisões</w:t>
      </w:r>
      <w:r w:rsidRPr="006015D4">
        <w:rPr>
          <w:rStyle w:val="Forte"/>
          <w:rFonts w:ascii="Arial" w:hAnsi="Arial" w:cs="Arial"/>
          <w:b w:val="0"/>
          <w:sz w:val="24"/>
          <w:szCs w:val="24"/>
        </w:rPr>
        <w:t xml:space="preserve"> citam como </w:t>
      </w:r>
      <w:r w:rsidR="001A4E4A">
        <w:rPr>
          <w:rStyle w:val="Forte"/>
          <w:rFonts w:ascii="Arial" w:hAnsi="Arial" w:cs="Arial"/>
          <w:b w:val="0"/>
          <w:sz w:val="24"/>
          <w:szCs w:val="24"/>
        </w:rPr>
        <w:t>parâmetro</w:t>
      </w:r>
      <w:r w:rsidRPr="006015D4">
        <w:rPr>
          <w:rStyle w:val="Forte"/>
          <w:rFonts w:ascii="Arial" w:hAnsi="Arial" w:cs="Arial"/>
          <w:b w:val="0"/>
          <w:sz w:val="24"/>
          <w:szCs w:val="24"/>
        </w:rPr>
        <w:t xml:space="preserve"> de aferimento de riqueza o elevado padrão de vida, </w:t>
      </w:r>
      <w:r>
        <w:rPr>
          <w:rStyle w:val="Forte"/>
          <w:rFonts w:ascii="Arial" w:hAnsi="Arial" w:cs="Arial"/>
          <w:b w:val="0"/>
          <w:sz w:val="24"/>
          <w:szCs w:val="24"/>
        </w:rPr>
        <w:t>que pode ser comprovado</w:t>
      </w:r>
      <w:r w:rsidR="005B0064">
        <w:rPr>
          <w:rStyle w:val="Forte"/>
          <w:rFonts w:ascii="Arial" w:hAnsi="Arial" w:cs="Arial"/>
          <w:b w:val="0"/>
          <w:sz w:val="24"/>
          <w:szCs w:val="24"/>
        </w:rPr>
        <w:t>, dentre outros meios,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 pela posse de imóveis ou automóveis,</w:t>
      </w:r>
      <w:r w:rsidR="001A4E4A">
        <w:rPr>
          <w:rStyle w:val="Forte"/>
          <w:rFonts w:ascii="Arial" w:hAnsi="Arial" w:cs="Arial"/>
          <w:b w:val="0"/>
          <w:sz w:val="24"/>
          <w:szCs w:val="24"/>
        </w:rPr>
        <w:t xml:space="preserve"> pela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5954F6">
        <w:rPr>
          <w:rStyle w:val="Forte"/>
          <w:rFonts w:ascii="Arial" w:hAnsi="Arial" w:cs="Arial"/>
          <w:b w:val="0"/>
          <w:sz w:val="24"/>
          <w:szCs w:val="24"/>
        </w:rPr>
        <w:t>contratação habitual de profissionais domésticos (empregados e motoristas), ou até mesmo por consultas médicas</w:t>
      </w:r>
      <w:r w:rsidR="001A4E4A">
        <w:rPr>
          <w:rStyle w:val="Forte"/>
          <w:rFonts w:ascii="Arial" w:hAnsi="Arial" w:cs="Arial"/>
          <w:b w:val="0"/>
          <w:sz w:val="24"/>
          <w:szCs w:val="24"/>
        </w:rPr>
        <w:t xml:space="preserve"> em clínicas ou hospitais particulares. </w:t>
      </w:r>
    </w:p>
    <w:p w:rsidR="00C0454D" w:rsidRPr="00C0454D" w:rsidRDefault="00C0454D" w:rsidP="006015D4">
      <w:pPr>
        <w:spacing w:after="0" w:line="360" w:lineRule="auto"/>
        <w:ind w:firstLine="1134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 xml:space="preserve">Há que se pontuar que o fato de o alimentante ter sido o único provedor da família ou a constatação de que proporcionava um padrão de vida confortável aos seus familiares também </w:t>
      </w:r>
      <w:r w:rsidR="001A4E4A">
        <w:rPr>
          <w:rStyle w:val="Forte"/>
          <w:rFonts w:ascii="Arial" w:hAnsi="Arial" w:cs="Arial"/>
          <w:b w:val="0"/>
          <w:sz w:val="24"/>
          <w:szCs w:val="24"/>
        </w:rPr>
        <w:t>devem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 ser sopesados como demonstrações de riqueza para o propósito de se determinar o </w:t>
      </w:r>
      <w:r>
        <w:rPr>
          <w:rStyle w:val="Forte"/>
          <w:rFonts w:ascii="Arial" w:hAnsi="Arial" w:cs="Arial"/>
          <w:b w:val="0"/>
          <w:i/>
          <w:sz w:val="24"/>
          <w:szCs w:val="24"/>
        </w:rPr>
        <w:t xml:space="preserve">quantum 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da pensão alimentícia. </w:t>
      </w:r>
    </w:p>
    <w:p w:rsidR="00510ECD" w:rsidRPr="006015D4" w:rsidRDefault="005B0064" w:rsidP="00510ECD">
      <w:pPr>
        <w:spacing w:after="0" w:line="360" w:lineRule="auto"/>
        <w:ind w:firstLine="1134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Portanto, cabe ao juiz, valendo-se das provas fornecidas pelas partes (</w:t>
      </w:r>
      <w:r>
        <w:rPr>
          <w:rStyle w:val="Forte"/>
          <w:rFonts w:ascii="Arial" w:hAnsi="Arial" w:cs="Arial"/>
          <w:b w:val="0"/>
          <w:i/>
          <w:sz w:val="24"/>
          <w:szCs w:val="24"/>
        </w:rPr>
        <w:t xml:space="preserve">v.g. 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testemunhas, documentos, fotografias, filmagens, imagens de redes sociais, mensagens, áudios, </w:t>
      </w:r>
      <w:proofErr w:type="spellStart"/>
      <w:r>
        <w:rPr>
          <w:rStyle w:val="Forte"/>
          <w:rFonts w:ascii="Arial" w:hAnsi="Arial" w:cs="Arial"/>
          <w:b w:val="0"/>
          <w:sz w:val="24"/>
          <w:szCs w:val="24"/>
        </w:rPr>
        <w:t>etc</w:t>
      </w:r>
      <w:proofErr w:type="spellEnd"/>
      <w:r>
        <w:rPr>
          <w:rStyle w:val="Forte"/>
          <w:rFonts w:ascii="Arial" w:hAnsi="Arial" w:cs="Arial"/>
          <w:b w:val="0"/>
          <w:sz w:val="24"/>
          <w:szCs w:val="24"/>
        </w:rPr>
        <w:t xml:space="preserve">) e das regras da experiência comum, fundadas no que normalmente acontece (art. 375 do NCPC), conferir efetividade ao disposto no artigo 1.694, § 1º, da Lei Civil Substantiva, de arte a fixar alimentos condizentes com o efetivo patamar econômico do alimentante, </w:t>
      </w:r>
      <w:r w:rsidR="00A728F5">
        <w:rPr>
          <w:rStyle w:val="Forte"/>
          <w:rFonts w:ascii="Arial" w:hAnsi="Arial" w:cs="Arial"/>
          <w:b w:val="0"/>
          <w:sz w:val="24"/>
          <w:szCs w:val="24"/>
        </w:rPr>
        <w:t xml:space="preserve">conferindo-se, assim, exequibilidade aos ditames da solidariedade familiar e da dignidade humana. 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   </w:t>
      </w:r>
    </w:p>
    <w:p w:rsidR="006015D4" w:rsidRPr="006015D4" w:rsidRDefault="006015D4">
      <w:pPr>
        <w:spacing w:after="0" w:line="360" w:lineRule="auto"/>
        <w:ind w:firstLine="1134"/>
        <w:rPr>
          <w:rStyle w:val="Forte"/>
          <w:rFonts w:ascii="Arial" w:hAnsi="Arial" w:cs="Arial"/>
          <w:b w:val="0"/>
          <w:sz w:val="24"/>
          <w:szCs w:val="24"/>
        </w:rPr>
      </w:pPr>
    </w:p>
    <w:sectPr w:rsidR="006015D4" w:rsidRPr="006015D4" w:rsidSect="00AE047C">
      <w:pgSz w:w="11906" w:h="16838"/>
      <w:pgMar w:top="1701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96" w:rsidRDefault="00BE4C96" w:rsidP="00AE047C">
      <w:pPr>
        <w:spacing w:after="0"/>
      </w:pPr>
      <w:r>
        <w:separator/>
      </w:r>
    </w:p>
  </w:endnote>
  <w:endnote w:type="continuationSeparator" w:id="0">
    <w:p w:rsidR="00BE4C96" w:rsidRDefault="00BE4C96" w:rsidP="00AE04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96" w:rsidRDefault="00BE4C96" w:rsidP="00AE047C">
      <w:pPr>
        <w:spacing w:after="0"/>
      </w:pPr>
      <w:r>
        <w:separator/>
      </w:r>
    </w:p>
  </w:footnote>
  <w:footnote w:type="continuationSeparator" w:id="0">
    <w:p w:rsidR="00BE4C96" w:rsidRDefault="00BE4C96" w:rsidP="00AE047C">
      <w:pPr>
        <w:spacing w:after="0"/>
      </w:pPr>
      <w:r>
        <w:continuationSeparator/>
      </w:r>
    </w:p>
  </w:footnote>
  <w:footnote w:id="1">
    <w:p w:rsidR="006A50AC" w:rsidRPr="00196669" w:rsidRDefault="006A50AC" w:rsidP="00196669">
      <w:pPr>
        <w:pStyle w:val="Textodenotaderodap"/>
        <w:rPr>
          <w:rFonts w:ascii="Arial" w:hAnsi="Arial" w:cs="Arial"/>
          <w:color w:val="000000" w:themeColor="text1"/>
        </w:rPr>
      </w:pPr>
      <w:r w:rsidRPr="00196669">
        <w:rPr>
          <w:rStyle w:val="Refdenotaderodap"/>
          <w:rFonts w:ascii="Arial" w:hAnsi="Arial" w:cs="Arial"/>
          <w:color w:val="000000" w:themeColor="text1"/>
        </w:rPr>
        <w:footnoteRef/>
      </w:r>
      <w:r w:rsidRPr="00196669">
        <w:rPr>
          <w:rFonts w:ascii="Arial" w:hAnsi="Arial" w:cs="Arial"/>
          <w:color w:val="000000" w:themeColor="text1"/>
        </w:rPr>
        <w:t xml:space="preserve"> </w:t>
      </w:r>
      <w:r w:rsidRPr="00196669">
        <w:rPr>
          <w:rFonts w:ascii="Arial" w:hAnsi="Arial" w:cs="Arial"/>
          <w:b/>
          <w:color w:val="000000" w:themeColor="text1"/>
        </w:rPr>
        <w:t>Comentário Contextual à Constituição</w:t>
      </w:r>
      <w:r w:rsidRPr="00196669">
        <w:rPr>
          <w:rFonts w:ascii="Arial" w:hAnsi="Arial" w:cs="Arial"/>
          <w:color w:val="000000" w:themeColor="text1"/>
        </w:rPr>
        <w:t xml:space="preserve">. </w:t>
      </w:r>
      <w:proofErr w:type="gramStart"/>
      <w:r w:rsidRPr="00196669">
        <w:rPr>
          <w:rFonts w:ascii="Arial" w:hAnsi="Arial" w:cs="Arial"/>
          <w:color w:val="000000" w:themeColor="text1"/>
        </w:rPr>
        <w:t>3</w:t>
      </w:r>
      <w:proofErr w:type="gramEnd"/>
      <w:r w:rsidRPr="00196669">
        <w:rPr>
          <w:rFonts w:ascii="Arial" w:hAnsi="Arial" w:cs="Arial"/>
          <w:color w:val="000000" w:themeColor="text1"/>
        </w:rPr>
        <w:t xml:space="preserve"> ed. São Paulo, Malheiros, 2006, p. 46.  </w:t>
      </w:r>
    </w:p>
  </w:footnote>
  <w:footnote w:id="2">
    <w:p w:rsidR="00A64AE6" w:rsidRPr="00196669" w:rsidRDefault="00A64AE6" w:rsidP="00196669">
      <w:pPr>
        <w:pStyle w:val="Textodenotaderodap"/>
        <w:rPr>
          <w:rFonts w:ascii="Arial" w:hAnsi="Arial" w:cs="Arial"/>
          <w:color w:val="000000" w:themeColor="text1"/>
        </w:rPr>
      </w:pPr>
      <w:r w:rsidRPr="00196669">
        <w:rPr>
          <w:rStyle w:val="Refdenotaderodap"/>
          <w:rFonts w:ascii="Arial" w:hAnsi="Arial" w:cs="Arial"/>
          <w:color w:val="000000" w:themeColor="text1"/>
        </w:rPr>
        <w:footnoteRef/>
      </w:r>
      <w:r w:rsidRPr="00196669">
        <w:rPr>
          <w:rFonts w:ascii="Arial" w:hAnsi="Arial" w:cs="Arial"/>
          <w:color w:val="000000" w:themeColor="text1"/>
        </w:rPr>
        <w:t xml:space="preserve"> BRASIL, S</w:t>
      </w:r>
      <w:r w:rsidR="004141B6">
        <w:rPr>
          <w:rFonts w:ascii="Arial" w:hAnsi="Arial" w:cs="Arial"/>
          <w:color w:val="000000" w:themeColor="text1"/>
        </w:rPr>
        <w:t>upremo Tribunal Federal</w:t>
      </w:r>
      <w:r w:rsidRPr="00196669">
        <w:rPr>
          <w:rFonts w:ascii="Arial" w:hAnsi="Arial" w:cs="Arial"/>
          <w:color w:val="000000" w:themeColor="text1"/>
        </w:rPr>
        <w:t xml:space="preserve">. </w:t>
      </w:r>
      <w:hyperlink r:id="rId1" w:history="1">
        <w:r w:rsidRPr="00196669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RE 477.554 AgR</w:t>
        </w:r>
      </w:hyperlink>
      <w:r w:rsidRPr="00196669">
        <w:rPr>
          <w:rFonts w:ascii="Arial" w:hAnsi="Arial" w:cs="Arial"/>
          <w:color w:val="000000" w:themeColor="text1"/>
        </w:rPr>
        <w:t>, rel. min.</w:t>
      </w:r>
      <w:r w:rsidRPr="00196669">
        <w:rPr>
          <w:rStyle w:val="apple-converted-space"/>
          <w:rFonts w:ascii="Arial" w:hAnsi="Arial" w:cs="Arial"/>
          <w:color w:val="000000" w:themeColor="text1"/>
        </w:rPr>
        <w:t> </w:t>
      </w:r>
      <w:r w:rsidRPr="00196669">
        <w:rPr>
          <w:rStyle w:val="Forte"/>
          <w:rFonts w:ascii="Arial" w:hAnsi="Arial" w:cs="Arial"/>
          <w:color w:val="000000" w:themeColor="text1"/>
        </w:rPr>
        <w:t>Celso de Mello</w:t>
      </w:r>
      <w:r w:rsidRPr="00196669">
        <w:rPr>
          <w:rFonts w:ascii="Arial" w:hAnsi="Arial" w:cs="Arial"/>
          <w:color w:val="000000" w:themeColor="text1"/>
        </w:rPr>
        <w:t xml:space="preserve">, j. </w:t>
      </w:r>
      <w:proofErr w:type="gramStart"/>
      <w:r w:rsidRPr="00196669">
        <w:rPr>
          <w:rFonts w:ascii="Arial" w:hAnsi="Arial" w:cs="Arial"/>
          <w:color w:val="000000" w:themeColor="text1"/>
        </w:rPr>
        <w:t>16-8-2011, 2ª</w:t>
      </w:r>
      <w:proofErr w:type="gramEnd"/>
      <w:r w:rsidRPr="00196669">
        <w:rPr>
          <w:rFonts w:ascii="Arial" w:hAnsi="Arial" w:cs="Arial"/>
          <w:color w:val="000000" w:themeColor="text1"/>
        </w:rPr>
        <w:t xml:space="preserve"> T,</w:t>
      </w:r>
      <w:r w:rsidRPr="00196669">
        <w:rPr>
          <w:rStyle w:val="apple-converted-space"/>
          <w:rFonts w:ascii="Arial" w:hAnsi="Arial" w:cs="Arial"/>
          <w:color w:val="000000" w:themeColor="text1"/>
        </w:rPr>
        <w:t> </w:t>
      </w:r>
      <w:r w:rsidRPr="00196669">
        <w:rPr>
          <w:rStyle w:val="nfase"/>
          <w:rFonts w:ascii="Arial" w:hAnsi="Arial" w:cs="Arial"/>
          <w:color w:val="000000" w:themeColor="text1"/>
        </w:rPr>
        <w:t>DJE</w:t>
      </w:r>
      <w:r w:rsidRPr="00196669">
        <w:rPr>
          <w:rStyle w:val="apple-converted-space"/>
          <w:rFonts w:ascii="Arial" w:hAnsi="Arial" w:cs="Arial"/>
          <w:i/>
          <w:iCs/>
          <w:color w:val="000000" w:themeColor="text1"/>
        </w:rPr>
        <w:t> </w:t>
      </w:r>
      <w:r w:rsidRPr="00196669">
        <w:rPr>
          <w:rFonts w:ascii="Arial" w:hAnsi="Arial" w:cs="Arial"/>
          <w:color w:val="000000" w:themeColor="text1"/>
        </w:rPr>
        <w:t>de 26-8-2011</w:t>
      </w:r>
      <w:r w:rsidR="004141B6">
        <w:rPr>
          <w:rFonts w:ascii="Arial" w:hAnsi="Arial" w:cs="Arial"/>
          <w:color w:val="000000" w:themeColor="text1"/>
        </w:rPr>
        <w:t>. Disponível em: &lt;</w:t>
      </w:r>
      <w:r w:rsidR="004141B6" w:rsidRPr="004141B6">
        <w:t xml:space="preserve"> </w:t>
      </w:r>
      <w:r w:rsidR="004141B6" w:rsidRPr="004141B6">
        <w:rPr>
          <w:rFonts w:ascii="Arial" w:hAnsi="Arial" w:cs="Arial"/>
          <w:color w:val="000000" w:themeColor="text1"/>
        </w:rPr>
        <w:t>http://www.stf.jus.br/portal/jurisprude</w:t>
      </w:r>
      <w:r w:rsidR="004141B6">
        <w:rPr>
          <w:rFonts w:ascii="Arial" w:hAnsi="Arial" w:cs="Arial"/>
          <w:color w:val="000000" w:themeColor="text1"/>
        </w:rPr>
        <w:t xml:space="preserve">ncia&gt;. Acesso em: </w:t>
      </w:r>
      <w:proofErr w:type="gramStart"/>
      <w:r w:rsidR="004141B6">
        <w:rPr>
          <w:rFonts w:ascii="Arial" w:hAnsi="Arial" w:cs="Arial"/>
          <w:color w:val="000000" w:themeColor="text1"/>
        </w:rPr>
        <w:t>7</w:t>
      </w:r>
      <w:proofErr w:type="gramEnd"/>
      <w:r w:rsidR="004141B6">
        <w:rPr>
          <w:rFonts w:ascii="Arial" w:hAnsi="Arial" w:cs="Arial"/>
          <w:color w:val="000000" w:themeColor="text1"/>
        </w:rPr>
        <w:t xml:space="preserve"> set. 2016. </w:t>
      </w:r>
    </w:p>
  </w:footnote>
  <w:footnote w:id="3">
    <w:p w:rsidR="00A64AE6" w:rsidRPr="00196669" w:rsidRDefault="00A64AE6" w:rsidP="00196669">
      <w:pPr>
        <w:pStyle w:val="Textodenotaderodap"/>
        <w:rPr>
          <w:rFonts w:ascii="Arial" w:hAnsi="Arial" w:cs="Arial"/>
          <w:color w:val="000000" w:themeColor="text1"/>
        </w:rPr>
      </w:pPr>
      <w:r w:rsidRPr="00196669">
        <w:rPr>
          <w:rStyle w:val="Refdenotaderodap"/>
          <w:rFonts w:ascii="Arial" w:hAnsi="Arial" w:cs="Arial"/>
          <w:color w:val="000000" w:themeColor="text1"/>
        </w:rPr>
        <w:footnoteRef/>
      </w:r>
      <w:r w:rsidRPr="00196669">
        <w:rPr>
          <w:rFonts w:ascii="Arial" w:hAnsi="Arial" w:cs="Arial"/>
          <w:color w:val="000000" w:themeColor="text1"/>
        </w:rPr>
        <w:t xml:space="preserve"> BAUMAN, </w:t>
      </w:r>
      <w:proofErr w:type="spellStart"/>
      <w:r w:rsidRPr="00196669">
        <w:rPr>
          <w:rFonts w:ascii="Arial" w:hAnsi="Arial" w:cs="Arial"/>
          <w:color w:val="000000" w:themeColor="text1"/>
        </w:rPr>
        <w:t>Zygmunt</w:t>
      </w:r>
      <w:proofErr w:type="spellEnd"/>
      <w:r w:rsidRPr="00196669">
        <w:rPr>
          <w:rFonts w:ascii="Arial" w:hAnsi="Arial" w:cs="Arial"/>
          <w:color w:val="000000" w:themeColor="text1"/>
        </w:rPr>
        <w:t xml:space="preserve">.  </w:t>
      </w:r>
      <w:proofErr w:type="spellStart"/>
      <w:r w:rsidRPr="00196669">
        <w:rPr>
          <w:rFonts w:ascii="Arial" w:hAnsi="Arial" w:cs="Arial"/>
          <w:b/>
          <w:i/>
          <w:color w:val="000000" w:themeColor="text1"/>
        </w:rPr>
        <w:t>Modernidad</w:t>
      </w:r>
      <w:proofErr w:type="spellEnd"/>
      <w:r w:rsidRPr="00196669">
        <w:rPr>
          <w:rFonts w:ascii="Arial" w:hAnsi="Arial" w:cs="Arial"/>
          <w:b/>
          <w:i/>
          <w:color w:val="000000" w:themeColor="text1"/>
        </w:rPr>
        <w:t xml:space="preserve"> líquida</w:t>
      </w:r>
      <w:r w:rsidRPr="00196669">
        <w:rPr>
          <w:rFonts w:ascii="Arial" w:hAnsi="Arial" w:cs="Arial"/>
          <w:b/>
          <w:color w:val="000000" w:themeColor="text1"/>
        </w:rPr>
        <w:t xml:space="preserve">. </w:t>
      </w:r>
      <w:r w:rsidRPr="00196669">
        <w:rPr>
          <w:rFonts w:ascii="Arial" w:hAnsi="Arial" w:cs="Arial"/>
          <w:color w:val="000000" w:themeColor="text1"/>
        </w:rPr>
        <w:t xml:space="preserve">Buenos Aires: </w:t>
      </w:r>
      <w:proofErr w:type="spellStart"/>
      <w:r w:rsidRPr="00196669">
        <w:rPr>
          <w:rFonts w:ascii="Arial" w:hAnsi="Arial" w:cs="Arial"/>
          <w:i/>
          <w:color w:val="000000" w:themeColor="text1"/>
        </w:rPr>
        <w:t>Fondo</w:t>
      </w:r>
      <w:proofErr w:type="spellEnd"/>
      <w:r w:rsidRPr="00196669">
        <w:rPr>
          <w:rFonts w:ascii="Arial" w:hAnsi="Arial" w:cs="Arial"/>
          <w:i/>
          <w:color w:val="000000" w:themeColor="text1"/>
        </w:rPr>
        <w:t xml:space="preserve"> de Cultura Económica</w:t>
      </w:r>
      <w:r w:rsidR="00B806BA" w:rsidRPr="00196669">
        <w:rPr>
          <w:rFonts w:ascii="Arial" w:hAnsi="Arial" w:cs="Arial"/>
          <w:color w:val="000000" w:themeColor="text1"/>
        </w:rPr>
        <w:t>,</w:t>
      </w:r>
      <w:r w:rsidRPr="00196669">
        <w:rPr>
          <w:rFonts w:ascii="Arial" w:hAnsi="Arial" w:cs="Arial"/>
          <w:color w:val="000000" w:themeColor="text1"/>
        </w:rPr>
        <w:t xml:space="preserve"> </w:t>
      </w:r>
      <w:r w:rsidR="00B806BA" w:rsidRPr="00196669">
        <w:rPr>
          <w:rFonts w:ascii="Arial" w:hAnsi="Arial" w:cs="Arial"/>
          <w:color w:val="000000" w:themeColor="text1"/>
        </w:rPr>
        <w:t xml:space="preserve">2003, p. 8. </w:t>
      </w:r>
    </w:p>
  </w:footnote>
  <w:footnote w:id="4">
    <w:p w:rsidR="00B50CA7" w:rsidRPr="00B50CA7" w:rsidRDefault="00B50CA7" w:rsidP="00196669">
      <w:pPr>
        <w:pStyle w:val="Textodenotaderodap"/>
      </w:pPr>
      <w:r w:rsidRPr="00196669">
        <w:rPr>
          <w:rStyle w:val="Refdenotaderodap"/>
          <w:rFonts w:ascii="Arial" w:hAnsi="Arial" w:cs="Arial"/>
          <w:color w:val="000000" w:themeColor="text1"/>
        </w:rPr>
        <w:footnoteRef/>
      </w:r>
      <w:r w:rsidRPr="00196669">
        <w:rPr>
          <w:rFonts w:ascii="Arial" w:hAnsi="Arial" w:cs="Arial"/>
          <w:color w:val="000000" w:themeColor="text1"/>
        </w:rPr>
        <w:t xml:space="preserve"> </w:t>
      </w:r>
      <w:r w:rsidRPr="00196669">
        <w:rPr>
          <w:rFonts w:ascii="Arial" w:hAnsi="Arial" w:cs="Arial"/>
          <w:b/>
          <w:color w:val="000000" w:themeColor="text1"/>
        </w:rPr>
        <w:t xml:space="preserve">Curso de Direito Civil – </w:t>
      </w:r>
      <w:r w:rsidRPr="00196669">
        <w:rPr>
          <w:rFonts w:ascii="Arial" w:hAnsi="Arial" w:cs="Arial"/>
          <w:color w:val="000000" w:themeColor="text1"/>
        </w:rPr>
        <w:t xml:space="preserve">famílias. </w:t>
      </w:r>
      <w:proofErr w:type="gramStart"/>
      <w:r w:rsidRPr="00196669">
        <w:rPr>
          <w:rFonts w:ascii="Arial" w:hAnsi="Arial" w:cs="Arial"/>
          <w:color w:val="000000" w:themeColor="text1"/>
        </w:rPr>
        <w:t>7</w:t>
      </w:r>
      <w:proofErr w:type="gramEnd"/>
      <w:r w:rsidRPr="00196669">
        <w:rPr>
          <w:rFonts w:ascii="Arial" w:hAnsi="Arial" w:cs="Arial"/>
          <w:color w:val="000000" w:themeColor="text1"/>
        </w:rPr>
        <w:t xml:space="preserve"> ed. São Paulo: Atlas, 2015, p. 669.</w:t>
      </w:r>
      <w:r>
        <w:t xml:space="preserve"> </w:t>
      </w:r>
    </w:p>
  </w:footnote>
  <w:footnote w:id="5">
    <w:p w:rsidR="00F05F3F" w:rsidRPr="009443B6" w:rsidRDefault="00F05F3F">
      <w:pPr>
        <w:pStyle w:val="Textodenotaderodap"/>
        <w:rPr>
          <w:rFonts w:ascii="Arial" w:hAnsi="Arial" w:cs="Arial"/>
        </w:rPr>
      </w:pPr>
      <w:r w:rsidRPr="009443B6">
        <w:rPr>
          <w:rStyle w:val="Refdenotaderodap"/>
          <w:rFonts w:ascii="Arial" w:hAnsi="Arial" w:cs="Arial"/>
        </w:rPr>
        <w:footnoteRef/>
      </w:r>
      <w:r w:rsidRPr="009443B6">
        <w:rPr>
          <w:rFonts w:ascii="Arial" w:hAnsi="Arial" w:cs="Arial"/>
        </w:rPr>
        <w:t xml:space="preserve"> </w:t>
      </w:r>
      <w:r w:rsidRPr="009443B6">
        <w:rPr>
          <w:rFonts w:ascii="Arial" w:hAnsi="Arial" w:cs="Arial"/>
          <w:b/>
        </w:rPr>
        <w:t>Direito Civil</w:t>
      </w:r>
      <w:r w:rsidRPr="009443B6">
        <w:rPr>
          <w:rFonts w:ascii="Arial" w:hAnsi="Arial" w:cs="Arial"/>
        </w:rPr>
        <w:t xml:space="preserve"> – Direito de Família. </w:t>
      </w:r>
      <w:proofErr w:type="gramStart"/>
      <w:r w:rsidRPr="009443B6">
        <w:rPr>
          <w:rFonts w:ascii="Arial" w:hAnsi="Arial" w:cs="Arial"/>
        </w:rPr>
        <w:t>8</w:t>
      </w:r>
      <w:proofErr w:type="gramEnd"/>
      <w:r w:rsidRPr="009443B6">
        <w:rPr>
          <w:rFonts w:ascii="Arial" w:hAnsi="Arial" w:cs="Arial"/>
        </w:rPr>
        <w:t xml:space="preserve"> ed. São Paulo: </w:t>
      </w:r>
      <w:proofErr w:type="spellStart"/>
      <w:r w:rsidRPr="009443B6">
        <w:rPr>
          <w:rFonts w:ascii="Arial" w:hAnsi="Arial" w:cs="Arial"/>
        </w:rPr>
        <w:t>Átlas</w:t>
      </w:r>
      <w:proofErr w:type="spellEnd"/>
      <w:r w:rsidRPr="009443B6">
        <w:rPr>
          <w:rFonts w:ascii="Arial" w:hAnsi="Arial" w:cs="Arial"/>
        </w:rPr>
        <w:t xml:space="preserve">, 2008, p. 348, v. VI. </w:t>
      </w:r>
    </w:p>
  </w:footnote>
  <w:footnote w:id="6">
    <w:p w:rsidR="00B34818" w:rsidRPr="009443B6" w:rsidRDefault="00B34818">
      <w:pPr>
        <w:pStyle w:val="Textodenotaderodap"/>
        <w:rPr>
          <w:rFonts w:ascii="Arial" w:hAnsi="Arial" w:cs="Arial"/>
          <w:i/>
        </w:rPr>
      </w:pPr>
      <w:r w:rsidRPr="009443B6">
        <w:rPr>
          <w:rStyle w:val="Refdenotaderodap"/>
          <w:rFonts w:ascii="Arial" w:hAnsi="Arial" w:cs="Arial"/>
        </w:rPr>
        <w:footnoteRef/>
      </w:r>
      <w:r w:rsidRPr="009443B6">
        <w:rPr>
          <w:rFonts w:ascii="Arial" w:hAnsi="Arial" w:cs="Arial"/>
        </w:rPr>
        <w:t xml:space="preserve"> MOMMSEN, </w:t>
      </w:r>
      <w:proofErr w:type="spellStart"/>
      <w:r w:rsidRPr="009443B6">
        <w:rPr>
          <w:rFonts w:ascii="Arial" w:hAnsi="Arial" w:cs="Arial"/>
        </w:rPr>
        <w:t>Theodorus</w:t>
      </w:r>
      <w:proofErr w:type="spellEnd"/>
      <w:r w:rsidRPr="009443B6">
        <w:rPr>
          <w:rFonts w:ascii="Arial" w:hAnsi="Arial" w:cs="Arial"/>
        </w:rPr>
        <w:t xml:space="preserve">; KRUEGER, </w:t>
      </w:r>
      <w:proofErr w:type="spellStart"/>
      <w:r w:rsidRPr="009443B6">
        <w:rPr>
          <w:rFonts w:ascii="Arial" w:hAnsi="Arial" w:cs="Arial"/>
        </w:rPr>
        <w:t>Paulus</w:t>
      </w:r>
      <w:proofErr w:type="spellEnd"/>
      <w:r w:rsidR="009B2CAF" w:rsidRPr="009443B6">
        <w:rPr>
          <w:rFonts w:ascii="Arial" w:hAnsi="Arial" w:cs="Arial"/>
        </w:rPr>
        <w:t xml:space="preserve">; Digitalizado por KOPTVE, </w:t>
      </w:r>
      <w:proofErr w:type="spellStart"/>
      <w:r w:rsidR="009B2CAF" w:rsidRPr="009443B6">
        <w:rPr>
          <w:rFonts w:ascii="Arial" w:hAnsi="Arial" w:cs="Arial"/>
        </w:rPr>
        <w:t>Alexandr</w:t>
      </w:r>
      <w:proofErr w:type="spellEnd"/>
      <w:r w:rsidR="009B2CAF" w:rsidRPr="009443B6">
        <w:rPr>
          <w:rFonts w:ascii="Arial" w:hAnsi="Arial" w:cs="Arial"/>
        </w:rPr>
        <w:t>.</w:t>
      </w:r>
      <w:r w:rsidRPr="009443B6">
        <w:rPr>
          <w:rFonts w:ascii="Arial" w:hAnsi="Arial" w:cs="Arial"/>
        </w:rPr>
        <w:t xml:space="preserve"> </w:t>
      </w:r>
      <w:r w:rsidRPr="009443B6">
        <w:rPr>
          <w:rFonts w:ascii="Arial" w:hAnsi="Arial" w:cs="Arial"/>
          <w:b/>
          <w:i/>
        </w:rPr>
        <w:t xml:space="preserve">Corpus Juris </w:t>
      </w:r>
      <w:proofErr w:type="spellStart"/>
      <w:r w:rsidRPr="009443B6">
        <w:rPr>
          <w:rFonts w:ascii="Arial" w:hAnsi="Arial" w:cs="Arial"/>
          <w:b/>
          <w:i/>
        </w:rPr>
        <w:t>Civilis</w:t>
      </w:r>
      <w:proofErr w:type="spellEnd"/>
      <w:r w:rsidRPr="009443B6">
        <w:rPr>
          <w:rFonts w:ascii="Arial" w:hAnsi="Arial" w:cs="Arial"/>
          <w:b/>
          <w:i/>
        </w:rPr>
        <w:t>. Digesto</w:t>
      </w:r>
      <w:r w:rsidRPr="009443B6">
        <w:rPr>
          <w:rFonts w:ascii="Arial" w:hAnsi="Arial" w:cs="Arial"/>
          <w:i/>
        </w:rPr>
        <w:t>.</w:t>
      </w:r>
      <w:r w:rsidRPr="009443B6">
        <w:rPr>
          <w:rFonts w:ascii="Arial" w:hAnsi="Arial" w:cs="Arial"/>
        </w:rPr>
        <w:t xml:space="preserve"> </w:t>
      </w:r>
      <w:r w:rsidR="009B2CAF" w:rsidRPr="009443B6">
        <w:rPr>
          <w:rFonts w:ascii="Arial" w:hAnsi="Arial" w:cs="Arial"/>
        </w:rPr>
        <w:t xml:space="preserve">Disponível em: &lt;www.hs-augsburg.dr&gt;. Acesso em: </w:t>
      </w:r>
      <w:proofErr w:type="gramStart"/>
      <w:r w:rsidR="009B2CAF" w:rsidRPr="009443B6">
        <w:rPr>
          <w:rFonts w:ascii="Arial" w:hAnsi="Arial" w:cs="Arial"/>
        </w:rPr>
        <w:t>7</w:t>
      </w:r>
      <w:proofErr w:type="gramEnd"/>
      <w:r w:rsidR="009B2CAF" w:rsidRPr="009443B6">
        <w:rPr>
          <w:rFonts w:ascii="Arial" w:hAnsi="Arial" w:cs="Arial"/>
        </w:rPr>
        <w:t xml:space="preserve"> set. 2016.  </w:t>
      </w:r>
    </w:p>
  </w:footnote>
  <w:footnote w:id="7">
    <w:p w:rsidR="009B2CAF" w:rsidRPr="009443B6" w:rsidRDefault="009B2CAF">
      <w:pPr>
        <w:pStyle w:val="Textodenotaderodap"/>
        <w:rPr>
          <w:rFonts w:ascii="Arial" w:hAnsi="Arial" w:cs="Arial"/>
        </w:rPr>
      </w:pPr>
      <w:r w:rsidRPr="009443B6">
        <w:rPr>
          <w:rStyle w:val="Refdenotaderodap"/>
          <w:rFonts w:ascii="Arial" w:hAnsi="Arial" w:cs="Arial"/>
        </w:rPr>
        <w:footnoteRef/>
      </w:r>
      <w:r w:rsidRPr="009443B6">
        <w:rPr>
          <w:rFonts w:ascii="Arial" w:hAnsi="Arial" w:cs="Arial"/>
        </w:rPr>
        <w:t xml:space="preserve"> CAHALI, Yussef Said. </w:t>
      </w:r>
      <w:r w:rsidRPr="009443B6">
        <w:rPr>
          <w:rFonts w:ascii="Arial" w:hAnsi="Arial" w:cs="Arial"/>
          <w:b/>
        </w:rPr>
        <w:t>O casamento putativo</w:t>
      </w:r>
      <w:r w:rsidRPr="009443B6">
        <w:rPr>
          <w:rFonts w:ascii="Arial" w:hAnsi="Arial" w:cs="Arial"/>
        </w:rPr>
        <w:t xml:space="preserve">. </w:t>
      </w:r>
      <w:proofErr w:type="gramStart"/>
      <w:r w:rsidRPr="009443B6">
        <w:rPr>
          <w:rFonts w:ascii="Arial" w:hAnsi="Arial" w:cs="Arial"/>
        </w:rPr>
        <w:t>2</w:t>
      </w:r>
      <w:proofErr w:type="gramEnd"/>
      <w:r w:rsidRPr="009443B6">
        <w:rPr>
          <w:rFonts w:ascii="Arial" w:hAnsi="Arial" w:cs="Arial"/>
        </w:rPr>
        <w:t xml:space="preserve"> ed. </w:t>
      </w:r>
      <w:proofErr w:type="spellStart"/>
      <w:r w:rsidRPr="009443B6">
        <w:rPr>
          <w:rFonts w:ascii="Arial" w:hAnsi="Arial" w:cs="Arial"/>
        </w:rPr>
        <w:t>Sâo</w:t>
      </w:r>
      <w:proofErr w:type="spellEnd"/>
      <w:r w:rsidRPr="009443B6">
        <w:rPr>
          <w:rFonts w:ascii="Arial" w:hAnsi="Arial" w:cs="Arial"/>
        </w:rPr>
        <w:t xml:space="preserve"> Paulo: Saraiva, 1979, p. 47. </w:t>
      </w:r>
    </w:p>
  </w:footnote>
  <w:footnote w:id="8">
    <w:p w:rsidR="00E635F2" w:rsidRPr="00392AEE" w:rsidRDefault="00E635F2" w:rsidP="00392AEE">
      <w:pPr>
        <w:pStyle w:val="Textodenotaderodap"/>
        <w:rPr>
          <w:rFonts w:ascii="Arial" w:hAnsi="Arial" w:cs="Arial"/>
        </w:rPr>
      </w:pPr>
      <w:r w:rsidRPr="00392AEE">
        <w:rPr>
          <w:rStyle w:val="Refdenotaderodap"/>
          <w:rFonts w:ascii="Arial" w:hAnsi="Arial" w:cs="Arial"/>
        </w:rPr>
        <w:footnoteRef/>
      </w:r>
      <w:r w:rsidRPr="00392AEE">
        <w:rPr>
          <w:rFonts w:ascii="Arial" w:hAnsi="Arial" w:cs="Arial"/>
        </w:rPr>
        <w:t xml:space="preserve"> </w:t>
      </w:r>
      <w:r w:rsidRPr="00392AEE">
        <w:rPr>
          <w:rFonts w:ascii="Arial" w:hAnsi="Arial" w:cs="Arial"/>
          <w:b/>
        </w:rPr>
        <w:t xml:space="preserve">Dos Alimentos. </w:t>
      </w:r>
      <w:proofErr w:type="gramStart"/>
      <w:r w:rsidRPr="00392AEE">
        <w:rPr>
          <w:rFonts w:ascii="Arial" w:hAnsi="Arial" w:cs="Arial"/>
        </w:rPr>
        <w:t>5</w:t>
      </w:r>
      <w:proofErr w:type="gramEnd"/>
      <w:r w:rsidRPr="00392AEE">
        <w:rPr>
          <w:rFonts w:ascii="Arial" w:hAnsi="Arial" w:cs="Arial"/>
        </w:rPr>
        <w:t xml:space="preserve"> ed. São Paulo: RT, 2006, p. 41. </w:t>
      </w:r>
    </w:p>
  </w:footnote>
  <w:footnote w:id="9">
    <w:p w:rsidR="009443B6" w:rsidRPr="00392AEE" w:rsidRDefault="009443B6" w:rsidP="00392AEE">
      <w:pPr>
        <w:pStyle w:val="Textodenotaderodap"/>
        <w:rPr>
          <w:rFonts w:ascii="Arial" w:hAnsi="Arial" w:cs="Arial"/>
        </w:rPr>
      </w:pPr>
      <w:r w:rsidRPr="00392AEE">
        <w:rPr>
          <w:rStyle w:val="Refdenotaderodap"/>
          <w:rFonts w:ascii="Arial" w:hAnsi="Arial" w:cs="Arial"/>
        </w:rPr>
        <w:footnoteRef/>
      </w:r>
      <w:r w:rsidRPr="00392AEE">
        <w:rPr>
          <w:rFonts w:ascii="Arial" w:hAnsi="Arial" w:cs="Arial"/>
        </w:rPr>
        <w:t xml:space="preserve"> </w:t>
      </w:r>
      <w:r w:rsidRPr="00392AEE">
        <w:rPr>
          <w:rFonts w:ascii="Arial" w:hAnsi="Arial" w:cs="Arial"/>
          <w:b/>
        </w:rPr>
        <w:t xml:space="preserve">Manual de Direito de Família. </w:t>
      </w:r>
      <w:proofErr w:type="gramStart"/>
      <w:r w:rsidRPr="00392AEE">
        <w:rPr>
          <w:rFonts w:ascii="Arial" w:hAnsi="Arial" w:cs="Arial"/>
        </w:rPr>
        <w:t>4</w:t>
      </w:r>
      <w:proofErr w:type="gramEnd"/>
      <w:r w:rsidRPr="00392AEE">
        <w:rPr>
          <w:rFonts w:ascii="Arial" w:hAnsi="Arial" w:cs="Arial"/>
        </w:rPr>
        <w:t xml:space="preserve"> ed. São Paulo: RT, 2007, p. 447. </w:t>
      </w:r>
    </w:p>
  </w:footnote>
  <w:footnote w:id="10">
    <w:p w:rsidR="006326BE" w:rsidRPr="00392AEE" w:rsidRDefault="006326BE" w:rsidP="00392AEE">
      <w:pPr>
        <w:pStyle w:val="Textodenotaderodap"/>
        <w:rPr>
          <w:rFonts w:ascii="Arial" w:hAnsi="Arial" w:cs="Arial"/>
        </w:rPr>
      </w:pPr>
      <w:r w:rsidRPr="00392AEE">
        <w:rPr>
          <w:rStyle w:val="Refdenotaderodap"/>
          <w:rFonts w:ascii="Arial" w:hAnsi="Arial" w:cs="Arial"/>
        </w:rPr>
        <w:footnoteRef/>
      </w:r>
      <w:r w:rsidRPr="00392AEE">
        <w:rPr>
          <w:rFonts w:ascii="Arial" w:hAnsi="Arial" w:cs="Arial"/>
        </w:rPr>
        <w:t xml:space="preserve"> </w:t>
      </w:r>
      <w:r w:rsidR="006C276A" w:rsidRPr="00392AEE">
        <w:rPr>
          <w:rFonts w:ascii="Arial" w:hAnsi="Arial" w:cs="Arial"/>
        </w:rPr>
        <w:t xml:space="preserve">CARVALHO FILHO, Milton de Paula et. al. </w:t>
      </w:r>
      <w:r w:rsidR="006C276A" w:rsidRPr="00392AEE">
        <w:rPr>
          <w:rFonts w:ascii="Arial" w:hAnsi="Arial" w:cs="Arial"/>
          <w:b/>
        </w:rPr>
        <w:t>Código Civil Comentado</w:t>
      </w:r>
      <w:r w:rsidR="006C276A" w:rsidRPr="00392AEE">
        <w:rPr>
          <w:rFonts w:ascii="Arial" w:hAnsi="Arial" w:cs="Arial"/>
        </w:rPr>
        <w:t xml:space="preserve">. </w:t>
      </w:r>
      <w:proofErr w:type="gramStart"/>
      <w:r w:rsidR="006C276A" w:rsidRPr="00392AEE">
        <w:rPr>
          <w:rFonts w:ascii="Arial" w:hAnsi="Arial" w:cs="Arial"/>
        </w:rPr>
        <w:t>6</w:t>
      </w:r>
      <w:proofErr w:type="gramEnd"/>
      <w:r w:rsidR="006C276A" w:rsidRPr="00392AEE">
        <w:rPr>
          <w:rFonts w:ascii="Arial" w:hAnsi="Arial" w:cs="Arial"/>
        </w:rPr>
        <w:t xml:space="preserve"> ed. Barueri: Manole, 2012, p. 1926. </w:t>
      </w:r>
    </w:p>
  </w:footnote>
  <w:footnote w:id="11">
    <w:p w:rsidR="00DF17D3" w:rsidRPr="00392AEE" w:rsidRDefault="00DF17D3" w:rsidP="00392AEE">
      <w:pPr>
        <w:pStyle w:val="Textodenotaderodap"/>
        <w:rPr>
          <w:rFonts w:ascii="Arial" w:hAnsi="Arial" w:cs="Arial"/>
        </w:rPr>
      </w:pPr>
      <w:r w:rsidRPr="00392AEE">
        <w:rPr>
          <w:rStyle w:val="Refdenotaderodap"/>
          <w:rFonts w:ascii="Arial" w:hAnsi="Arial" w:cs="Arial"/>
        </w:rPr>
        <w:footnoteRef/>
      </w:r>
      <w:r w:rsidRPr="00392AEE">
        <w:rPr>
          <w:rFonts w:ascii="Arial" w:hAnsi="Arial" w:cs="Arial"/>
        </w:rPr>
        <w:t xml:space="preserve"> Para os propósitos deste artigo, nos limitaremos a discorrer apenas sobre a classificação quanto à natureza dos alimentos, sem fazer menção às d</w:t>
      </w:r>
      <w:r w:rsidR="00392AEE" w:rsidRPr="00392AEE">
        <w:rPr>
          <w:rFonts w:ascii="Arial" w:hAnsi="Arial" w:cs="Arial"/>
        </w:rPr>
        <w:t xml:space="preserve">emais espécies classificatórias. </w:t>
      </w:r>
    </w:p>
  </w:footnote>
  <w:footnote w:id="12">
    <w:p w:rsidR="006C276A" w:rsidRPr="00392AEE" w:rsidRDefault="006C276A" w:rsidP="00392AEE">
      <w:pPr>
        <w:pStyle w:val="Textodenotaderodap"/>
        <w:rPr>
          <w:rFonts w:ascii="Arial" w:hAnsi="Arial" w:cs="Arial"/>
        </w:rPr>
      </w:pPr>
      <w:r w:rsidRPr="00392AEE">
        <w:rPr>
          <w:rStyle w:val="Refdenotaderodap"/>
          <w:rFonts w:ascii="Arial" w:hAnsi="Arial" w:cs="Arial"/>
        </w:rPr>
        <w:footnoteRef/>
      </w:r>
      <w:r w:rsidRPr="00392AEE">
        <w:rPr>
          <w:rFonts w:ascii="Arial" w:hAnsi="Arial" w:cs="Arial"/>
        </w:rPr>
        <w:t xml:space="preserve"> DIAS, Maria Berenice. Op. cit., p. 492. </w:t>
      </w:r>
    </w:p>
  </w:footnote>
  <w:footnote w:id="13">
    <w:p w:rsidR="006C276A" w:rsidRPr="00392AEE" w:rsidRDefault="006C276A" w:rsidP="00392AEE">
      <w:pPr>
        <w:pStyle w:val="Textodenotaderodap"/>
        <w:rPr>
          <w:rFonts w:ascii="Arial" w:hAnsi="Arial" w:cs="Arial"/>
        </w:rPr>
      </w:pPr>
      <w:r w:rsidRPr="00392AEE">
        <w:rPr>
          <w:rStyle w:val="Refdenotaderodap"/>
          <w:rFonts w:ascii="Arial" w:hAnsi="Arial" w:cs="Arial"/>
        </w:rPr>
        <w:footnoteRef/>
      </w:r>
      <w:r w:rsidRPr="00392AEE">
        <w:rPr>
          <w:rFonts w:ascii="Arial" w:hAnsi="Arial" w:cs="Arial"/>
        </w:rPr>
        <w:t xml:space="preserve"> LÔBO, Paulo Luiz Netto. </w:t>
      </w:r>
      <w:r w:rsidRPr="00392AEE">
        <w:rPr>
          <w:rFonts w:ascii="Arial" w:hAnsi="Arial" w:cs="Arial"/>
          <w:b/>
        </w:rPr>
        <w:t xml:space="preserve">Famílias. </w:t>
      </w:r>
      <w:r w:rsidRPr="00392AEE">
        <w:rPr>
          <w:rFonts w:ascii="Arial" w:hAnsi="Arial" w:cs="Arial"/>
        </w:rPr>
        <w:t xml:space="preserve">São Paulo: </w:t>
      </w:r>
      <w:proofErr w:type="gramStart"/>
      <w:r w:rsidRPr="00392AEE">
        <w:rPr>
          <w:rFonts w:ascii="Arial" w:hAnsi="Arial" w:cs="Arial"/>
        </w:rPr>
        <w:t>Saraiva,</w:t>
      </w:r>
      <w:proofErr w:type="gramEnd"/>
      <w:r w:rsidRPr="00392AEE">
        <w:rPr>
          <w:rFonts w:ascii="Arial" w:hAnsi="Arial" w:cs="Arial"/>
        </w:rPr>
        <w:t xml:space="preserve"> 2008, p. 350. </w:t>
      </w:r>
    </w:p>
  </w:footnote>
  <w:footnote w:id="14">
    <w:p w:rsidR="006C276A" w:rsidRPr="006C276A" w:rsidRDefault="006C276A" w:rsidP="00392AEE">
      <w:pPr>
        <w:pStyle w:val="Textodenotaderodap"/>
      </w:pPr>
      <w:r w:rsidRPr="00392AEE">
        <w:rPr>
          <w:rStyle w:val="Refdenotaderodap"/>
          <w:rFonts w:ascii="Arial" w:hAnsi="Arial" w:cs="Arial"/>
        </w:rPr>
        <w:footnoteRef/>
      </w:r>
      <w:r w:rsidRPr="00392AEE">
        <w:rPr>
          <w:rFonts w:ascii="Arial" w:hAnsi="Arial" w:cs="Arial"/>
        </w:rPr>
        <w:t xml:space="preserve"> TARTUCE, Flávio. </w:t>
      </w:r>
      <w:r w:rsidRPr="00392AEE">
        <w:rPr>
          <w:rFonts w:ascii="Arial" w:hAnsi="Arial" w:cs="Arial"/>
          <w:b/>
        </w:rPr>
        <w:t>Manual de Direito Civil</w:t>
      </w:r>
      <w:r w:rsidRPr="00392AEE">
        <w:rPr>
          <w:rFonts w:ascii="Arial" w:hAnsi="Arial" w:cs="Arial"/>
        </w:rPr>
        <w:t xml:space="preserve">. </w:t>
      </w:r>
      <w:proofErr w:type="gramStart"/>
      <w:r w:rsidRPr="00392AEE">
        <w:rPr>
          <w:rFonts w:ascii="Arial" w:hAnsi="Arial" w:cs="Arial"/>
        </w:rPr>
        <w:t>5</w:t>
      </w:r>
      <w:proofErr w:type="gramEnd"/>
      <w:r w:rsidRPr="00392AEE">
        <w:rPr>
          <w:rFonts w:ascii="Arial" w:hAnsi="Arial" w:cs="Arial"/>
        </w:rPr>
        <w:t xml:space="preserve"> ed. 2015. São Paulo: </w:t>
      </w:r>
      <w:proofErr w:type="spellStart"/>
      <w:r w:rsidRPr="00392AEE">
        <w:rPr>
          <w:rFonts w:ascii="Arial" w:hAnsi="Arial" w:cs="Arial"/>
        </w:rPr>
        <w:t>Gen</w:t>
      </w:r>
      <w:proofErr w:type="spellEnd"/>
      <w:r w:rsidRPr="00392AEE">
        <w:rPr>
          <w:rFonts w:ascii="Arial" w:hAnsi="Arial" w:cs="Arial"/>
        </w:rPr>
        <w:t>/Método, 2015, p. 1305.</w:t>
      </w:r>
      <w:r>
        <w:t xml:space="preserve"> </w:t>
      </w:r>
    </w:p>
  </w:footnote>
  <w:footnote w:id="15">
    <w:p w:rsidR="00AD39C3" w:rsidRPr="004141B6" w:rsidRDefault="00AD39C3">
      <w:pPr>
        <w:pStyle w:val="Textodenotaderodap"/>
        <w:rPr>
          <w:rFonts w:ascii="Arial" w:hAnsi="Arial" w:cs="Arial"/>
        </w:rPr>
      </w:pPr>
      <w:r w:rsidRPr="004141B6">
        <w:rPr>
          <w:rStyle w:val="Refdenotaderodap"/>
          <w:rFonts w:ascii="Arial" w:hAnsi="Arial" w:cs="Arial"/>
        </w:rPr>
        <w:footnoteRef/>
      </w:r>
      <w:r w:rsidRPr="004141B6">
        <w:rPr>
          <w:rFonts w:ascii="Arial" w:hAnsi="Arial" w:cs="Arial"/>
        </w:rPr>
        <w:t xml:space="preserve"> CARVALHO FILHO, Milton de Paula et. al. Op. cit., p. 1929. </w:t>
      </w:r>
    </w:p>
  </w:footnote>
  <w:footnote w:id="16">
    <w:p w:rsidR="005A266D" w:rsidRPr="004141B6" w:rsidRDefault="005A266D">
      <w:pPr>
        <w:pStyle w:val="Textodenotaderodap"/>
        <w:rPr>
          <w:rFonts w:ascii="Arial" w:hAnsi="Arial" w:cs="Arial"/>
        </w:rPr>
      </w:pPr>
      <w:r w:rsidRPr="004141B6">
        <w:rPr>
          <w:rStyle w:val="Refdenotaderodap"/>
          <w:rFonts w:ascii="Arial" w:hAnsi="Arial" w:cs="Arial"/>
        </w:rPr>
        <w:footnoteRef/>
      </w:r>
      <w:r w:rsidRPr="004141B6">
        <w:rPr>
          <w:rFonts w:ascii="Arial" w:hAnsi="Arial" w:cs="Arial"/>
        </w:rPr>
        <w:t xml:space="preserve"> </w:t>
      </w:r>
      <w:r w:rsidR="00CF1963" w:rsidRPr="004141B6">
        <w:rPr>
          <w:rFonts w:ascii="Arial" w:hAnsi="Arial" w:cs="Arial"/>
        </w:rPr>
        <w:t xml:space="preserve">“Devedor que alega não possuir capacidade financeira para arcar integralmente com a verba. Inadmissibilidade. Sinais exteriores que dão certeza moral da possibilidade de pagamento”. In: </w:t>
      </w:r>
      <w:r w:rsidRPr="004141B6">
        <w:rPr>
          <w:rFonts w:ascii="Arial" w:hAnsi="Arial" w:cs="Arial"/>
        </w:rPr>
        <w:t xml:space="preserve">Revista dos Tribunais, São Paulo, </w:t>
      </w:r>
      <w:r w:rsidR="00CF1963" w:rsidRPr="004141B6">
        <w:rPr>
          <w:rFonts w:ascii="Arial" w:hAnsi="Arial" w:cs="Arial"/>
        </w:rPr>
        <w:t xml:space="preserve">v. 313, n. </w:t>
      </w:r>
      <w:r w:rsidRPr="004141B6">
        <w:rPr>
          <w:rFonts w:ascii="Arial" w:hAnsi="Arial" w:cs="Arial"/>
        </w:rPr>
        <w:t xml:space="preserve">812, de junho de 2013. </w:t>
      </w:r>
    </w:p>
  </w:footnote>
  <w:footnote w:id="17">
    <w:p w:rsidR="00CF1963" w:rsidRPr="004141B6" w:rsidRDefault="00CF1963">
      <w:pPr>
        <w:pStyle w:val="Textodenotaderodap"/>
        <w:rPr>
          <w:rFonts w:ascii="Arial" w:hAnsi="Arial" w:cs="Arial"/>
        </w:rPr>
      </w:pPr>
      <w:r w:rsidRPr="004141B6">
        <w:rPr>
          <w:rStyle w:val="Refdenotaderodap"/>
          <w:rFonts w:ascii="Arial" w:hAnsi="Arial" w:cs="Arial"/>
        </w:rPr>
        <w:footnoteRef/>
      </w:r>
      <w:r w:rsidRPr="004141B6">
        <w:rPr>
          <w:rFonts w:ascii="Arial" w:hAnsi="Arial" w:cs="Arial"/>
        </w:rPr>
        <w:t xml:space="preserve"> </w:t>
      </w:r>
      <w:r w:rsidRPr="004141B6">
        <w:rPr>
          <w:rFonts w:ascii="Arial" w:hAnsi="Arial" w:cs="Arial"/>
          <w:b/>
        </w:rPr>
        <w:t xml:space="preserve">Direito Civil Brasileiro. </w:t>
      </w:r>
      <w:r w:rsidRPr="004141B6">
        <w:rPr>
          <w:rFonts w:ascii="Arial" w:hAnsi="Arial" w:cs="Arial"/>
        </w:rPr>
        <w:t>Direito de Família.</w:t>
      </w:r>
      <w:r w:rsidRPr="004141B6">
        <w:rPr>
          <w:rFonts w:ascii="Arial" w:hAnsi="Arial" w:cs="Arial"/>
          <w:b/>
        </w:rPr>
        <w:t xml:space="preserve"> </w:t>
      </w:r>
      <w:r w:rsidRPr="004141B6">
        <w:rPr>
          <w:rFonts w:ascii="Arial" w:hAnsi="Arial" w:cs="Arial"/>
        </w:rPr>
        <w:t>6 ed. São Paulo: Saraiva, 2009, p. 487</w:t>
      </w:r>
    </w:p>
  </w:footnote>
  <w:footnote w:id="18">
    <w:p w:rsidR="008E4AF3" w:rsidRDefault="008E4AF3">
      <w:pPr>
        <w:pStyle w:val="Textodenotaderodap"/>
      </w:pPr>
      <w:r w:rsidRPr="004141B6">
        <w:rPr>
          <w:rStyle w:val="Refdenotaderodap"/>
          <w:rFonts w:ascii="Arial" w:hAnsi="Arial" w:cs="Arial"/>
        </w:rPr>
        <w:footnoteRef/>
      </w:r>
      <w:r w:rsidRPr="004141B6">
        <w:rPr>
          <w:rFonts w:ascii="Arial" w:hAnsi="Arial" w:cs="Arial"/>
        </w:rPr>
        <w:t xml:space="preserve"> </w:t>
      </w:r>
      <w:r w:rsidR="004141B6" w:rsidRPr="004141B6">
        <w:rPr>
          <w:rFonts w:ascii="Arial" w:hAnsi="Arial" w:cs="Arial"/>
        </w:rPr>
        <w:t xml:space="preserve">BRASIL. Conselho da Justiça Federal. VI Jornada de Direito Civil. Disponível em: &lt;www.cjf.jus.br/CEJ-Coedi&gt;. Acesso em: </w:t>
      </w:r>
      <w:proofErr w:type="gramStart"/>
      <w:r w:rsidR="004141B6" w:rsidRPr="004141B6">
        <w:rPr>
          <w:rFonts w:ascii="Arial" w:hAnsi="Arial" w:cs="Arial"/>
        </w:rPr>
        <w:t>7</w:t>
      </w:r>
      <w:proofErr w:type="gramEnd"/>
      <w:r w:rsidR="004141B6" w:rsidRPr="004141B6">
        <w:rPr>
          <w:rFonts w:ascii="Arial" w:hAnsi="Arial" w:cs="Arial"/>
        </w:rPr>
        <w:t xml:space="preserve"> set. 2016.</w:t>
      </w:r>
      <w:r w:rsidR="004141B6">
        <w:t xml:space="preserve"> </w:t>
      </w:r>
      <w:r>
        <w:t xml:space="preserve"> </w:t>
      </w:r>
    </w:p>
  </w:footnote>
  <w:footnote w:id="19">
    <w:p w:rsidR="008B7E15" w:rsidRPr="004141B6" w:rsidRDefault="008B7E15" w:rsidP="004141B6">
      <w:pPr>
        <w:pStyle w:val="Textodenotaderodap"/>
        <w:rPr>
          <w:rFonts w:ascii="Arial" w:hAnsi="Arial" w:cs="Arial"/>
        </w:rPr>
      </w:pPr>
      <w:r w:rsidRPr="004141B6">
        <w:rPr>
          <w:rStyle w:val="Refdenotaderodap"/>
          <w:rFonts w:ascii="Arial" w:hAnsi="Arial" w:cs="Arial"/>
        </w:rPr>
        <w:footnoteRef/>
      </w:r>
      <w:r w:rsidRPr="004141B6">
        <w:rPr>
          <w:rFonts w:ascii="Arial" w:hAnsi="Arial" w:cs="Arial"/>
        </w:rPr>
        <w:t xml:space="preserve"> BRASIL, S</w:t>
      </w:r>
      <w:r w:rsidR="004141B6">
        <w:rPr>
          <w:rFonts w:ascii="Arial" w:hAnsi="Arial" w:cs="Arial"/>
        </w:rPr>
        <w:t>uperior Tribunal de Justiça</w:t>
      </w:r>
      <w:r w:rsidRPr="004141B6">
        <w:rPr>
          <w:rFonts w:ascii="Arial" w:hAnsi="Arial" w:cs="Arial"/>
        </w:rPr>
        <w:t xml:space="preserve">. </w:t>
      </w:r>
      <w:r w:rsidRPr="004141B6">
        <w:rPr>
          <w:rStyle w:val="Forte"/>
          <w:rFonts w:ascii="Arial" w:hAnsi="Arial" w:cs="Arial"/>
          <w:b w:val="0"/>
        </w:rPr>
        <w:t xml:space="preserve">AGRAVO EM RECURSO ESPECIAL Nº 926.144 - RS (2016/0140391-2, </w:t>
      </w:r>
      <w:proofErr w:type="gramStart"/>
      <w:r w:rsidRPr="004141B6">
        <w:rPr>
          <w:rStyle w:val="Forte"/>
          <w:rFonts w:ascii="Arial" w:hAnsi="Arial" w:cs="Arial"/>
          <w:b w:val="0"/>
        </w:rPr>
        <w:t>RELATOR :</w:t>
      </w:r>
      <w:proofErr w:type="gramEnd"/>
      <w:r w:rsidRPr="004141B6">
        <w:rPr>
          <w:rStyle w:val="Forte"/>
          <w:rFonts w:ascii="Arial" w:hAnsi="Arial" w:cs="Arial"/>
          <w:b w:val="0"/>
        </w:rPr>
        <w:t xml:space="preserve"> MINISTRO MOURA RIBEIRO, Brasília, 03 de agosto de 2016. Disponível em: &lt;</w:t>
      </w:r>
      <w:r w:rsidR="004141B6" w:rsidRPr="004141B6">
        <w:rPr>
          <w:rStyle w:val="Forte"/>
          <w:rFonts w:ascii="Arial" w:hAnsi="Arial" w:cs="Arial"/>
          <w:b w:val="0"/>
        </w:rPr>
        <w:t xml:space="preserve">http://www.stj.jus.br/SCON/&gt;. Acesso em: 7 set. 2016. </w:t>
      </w:r>
    </w:p>
  </w:footnote>
  <w:footnote w:id="20">
    <w:p w:rsidR="004B270B" w:rsidRPr="004141B6" w:rsidRDefault="004B270B">
      <w:pPr>
        <w:pStyle w:val="Textodenotaderodap"/>
        <w:rPr>
          <w:rFonts w:ascii="Arial" w:hAnsi="Arial" w:cs="Arial"/>
        </w:rPr>
      </w:pPr>
      <w:r w:rsidRPr="004141B6">
        <w:rPr>
          <w:rStyle w:val="Refdenotaderodap"/>
          <w:rFonts w:ascii="Arial" w:hAnsi="Arial" w:cs="Arial"/>
        </w:rPr>
        <w:footnoteRef/>
      </w:r>
      <w:r w:rsidRPr="004141B6">
        <w:rPr>
          <w:rFonts w:ascii="Arial" w:hAnsi="Arial" w:cs="Arial"/>
        </w:rPr>
        <w:t xml:space="preserve"> </w:t>
      </w:r>
      <w:r w:rsidR="004141B6" w:rsidRPr="004141B6">
        <w:rPr>
          <w:rFonts w:ascii="Arial" w:hAnsi="Arial" w:cs="Arial"/>
        </w:rPr>
        <w:t>BRASIL, S</w:t>
      </w:r>
      <w:r w:rsidR="004141B6">
        <w:rPr>
          <w:rFonts w:ascii="Arial" w:hAnsi="Arial" w:cs="Arial"/>
        </w:rPr>
        <w:t>uperior Tribunal de Justiça</w:t>
      </w:r>
      <w:r w:rsidRPr="004141B6">
        <w:rPr>
          <w:rFonts w:ascii="Arial" w:hAnsi="Arial" w:cs="Arial"/>
        </w:rPr>
        <w:t xml:space="preserve">. </w:t>
      </w:r>
      <w:r w:rsidRPr="004141B6">
        <w:rPr>
          <w:rStyle w:val="Forte"/>
          <w:rFonts w:ascii="Arial" w:hAnsi="Arial" w:cs="Arial"/>
          <w:b w:val="0"/>
          <w:color w:val="000000"/>
          <w:shd w:val="clear" w:color="auto" w:fill="FFFFFF"/>
        </w:rPr>
        <w:t xml:space="preserve">RECURSO EM HABEAS CORPUS Nº 64.842 - SP (2015/0261532-7), </w:t>
      </w:r>
      <w:r w:rsidR="005B0064" w:rsidRPr="004141B6">
        <w:rPr>
          <w:rStyle w:val="Forte"/>
          <w:rFonts w:ascii="Arial" w:hAnsi="Arial" w:cs="Arial"/>
          <w:b w:val="0"/>
          <w:color w:val="000000"/>
          <w:shd w:val="clear" w:color="auto" w:fill="FFFFFF"/>
        </w:rPr>
        <w:t>RELATOR</w:t>
      </w:r>
      <w:r w:rsidRPr="004141B6">
        <w:rPr>
          <w:rStyle w:val="Forte"/>
          <w:rFonts w:ascii="Arial" w:hAnsi="Arial" w:cs="Arial"/>
          <w:b w:val="0"/>
          <w:color w:val="000000"/>
          <w:shd w:val="clear" w:color="auto" w:fill="FFFFFF"/>
        </w:rPr>
        <w:t>: MINISTRO RAUL ARAÚJO, 24/06/2016.</w:t>
      </w:r>
      <w:r w:rsidR="004141B6" w:rsidRPr="004141B6">
        <w:rPr>
          <w:rStyle w:val="Forte"/>
          <w:rFonts w:ascii="Arial" w:hAnsi="Arial" w:cs="Arial"/>
          <w:b w:val="0"/>
          <w:color w:val="000000"/>
          <w:shd w:val="clear" w:color="auto" w:fill="FFFFFF"/>
        </w:rPr>
        <w:t xml:space="preserve"> </w:t>
      </w:r>
      <w:r w:rsidR="004141B6" w:rsidRPr="004141B6">
        <w:rPr>
          <w:rStyle w:val="Forte"/>
          <w:rFonts w:ascii="Arial" w:hAnsi="Arial" w:cs="Arial"/>
          <w:b w:val="0"/>
        </w:rPr>
        <w:t xml:space="preserve">Disponível em: &lt;http://www.stj.jus.br/SCON/&gt;. Acesso em: </w:t>
      </w:r>
      <w:proofErr w:type="gramStart"/>
      <w:r w:rsidR="004141B6" w:rsidRPr="004141B6">
        <w:rPr>
          <w:rStyle w:val="Forte"/>
          <w:rFonts w:ascii="Arial" w:hAnsi="Arial" w:cs="Arial"/>
          <w:b w:val="0"/>
        </w:rPr>
        <w:t>7</w:t>
      </w:r>
      <w:proofErr w:type="gramEnd"/>
      <w:r w:rsidR="004141B6" w:rsidRPr="004141B6">
        <w:rPr>
          <w:rStyle w:val="Forte"/>
          <w:rFonts w:ascii="Arial" w:hAnsi="Arial" w:cs="Arial"/>
          <w:b w:val="0"/>
        </w:rPr>
        <w:t xml:space="preserve"> set. 2016.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7C"/>
    <w:rsid w:val="00002E54"/>
    <w:rsid w:val="00011826"/>
    <w:rsid w:val="00024690"/>
    <w:rsid w:val="00082BDD"/>
    <w:rsid w:val="00122778"/>
    <w:rsid w:val="0012676A"/>
    <w:rsid w:val="00196669"/>
    <w:rsid w:val="001A4E4A"/>
    <w:rsid w:val="00244BF9"/>
    <w:rsid w:val="002B0076"/>
    <w:rsid w:val="002E3AA0"/>
    <w:rsid w:val="00346A18"/>
    <w:rsid w:val="003527E6"/>
    <w:rsid w:val="00392AEE"/>
    <w:rsid w:val="003A66BF"/>
    <w:rsid w:val="004141B6"/>
    <w:rsid w:val="00476671"/>
    <w:rsid w:val="004910C4"/>
    <w:rsid w:val="004A59C3"/>
    <w:rsid w:val="004B270B"/>
    <w:rsid w:val="004F0A3C"/>
    <w:rsid w:val="00506DEE"/>
    <w:rsid w:val="00510ECD"/>
    <w:rsid w:val="005156EB"/>
    <w:rsid w:val="00565C76"/>
    <w:rsid w:val="005954F6"/>
    <w:rsid w:val="005A266D"/>
    <w:rsid w:val="005B0064"/>
    <w:rsid w:val="005E1836"/>
    <w:rsid w:val="006015D4"/>
    <w:rsid w:val="006326BE"/>
    <w:rsid w:val="006A50AC"/>
    <w:rsid w:val="006B780E"/>
    <w:rsid w:val="006C276A"/>
    <w:rsid w:val="00784DB7"/>
    <w:rsid w:val="007D7871"/>
    <w:rsid w:val="007F1A5F"/>
    <w:rsid w:val="008B7E15"/>
    <w:rsid w:val="008E4AF3"/>
    <w:rsid w:val="008E7B4D"/>
    <w:rsid w:val="00936409"/>
    <w:rsid w:val="009443B6"/>
    <w:rsid w:val="009B2CAF"/>
    <w:rsid w:val="00A64AE6"/>
    <w:rsid w:val="00A728F5"/>
    <w:rsid w:val="00AD39C3"/>
    <w:rsid w:val="00AE047C"/>
    <w:rsid w:val="00B34818"/>
    <w:rsid w:val="00B50CA7"/>
    <w:rsid w:val="00B806BA"/>
    <w:rsid w:val="00BE4C96"/>
    <w:rsid w:val="00C0454D"/>
    <w:rsid w:val="00C73011"/>
    <w:rsid w:val="00CF1963"/>
    <w:rsid w:val="00DF17D3"/>
    <w:rsid w:val="00E05C75"/>
    <w:rsid w:val="00E635F2"/>
    <w:rsid w:val="00F05F3F"/>
    <w:rsid w:val="00F7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A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047C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047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E047C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AE047C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047C"/>
  </w:style>
  <w:style w:type="paragraph" w:styleId="Rodap">
    <w:name w:val="footer"/>
    <w:basedOn w:val="Normal"/>
    <w:link w:val="RodapChar"/>
    <w:uiPriority w:val="99"/>
    <w:semiHidden/>
    <w:unhideWhenUsed/>
    <w:rsid w:val="00AE047C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AE047C"/>
  </w:style>
  <w:style w:type="character" w:styleId="Forte">
    <w:name w:val="Strong"/>
    <w:basedOn w:val="Fontepargpadro"/>
    <w:uiPriority w:val="22"/>
    <w:qFormat/>
    <w:rsid w:val="00A64AE6"/>
    <w:rPr>
      <w:b/>
      <w:bCs/>
    </w:rPr>
  </w:style>
  <w:style w:type="character" w:styleId="Hyperlink">
    <w:name w:val="Hyperlink"/>
    <w:basedOn w:val="Fontepargpadro"/>
    <w:uiPriority w:val="99"/>
    <w:unhideWhenUsed/>
    <w:rsid w:val="00A64AE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64AE6"/>
  </w:style>
  <w:style w:type="character" w:styleId="nfase">
    <w:name w:val="Emphasis"/>
    <w:basedOn w:val="Fontepargpadro"/>
    <w:uiPriority w:val="20"/>
    <w:qFormat/>
    <w:rsid w:val="00A64A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A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047C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047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E047C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AE047C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047C"/>
  </w:style>
  <w:style w:type="paragraph" w:styleId="Rodap">
    <w:name w:val="footer"/>
    <w:basedOn w:val="Normal"/>
    <w:link w:val="RodapChar"/>
    <w:uiPriority w:val="99"/>
    <w:semiHidden/>
    <w:unhideWhenUsed/>
    <w:rsid w:val="00AE047C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AE047C"/>
  </w:style>
  <w:style w:type="character" w:styleId="Forte">
    <w:name w:val="Strong"/>
    <w:basedOn w:val="Fontepargpadro"/>
    <w:uiPriority w:val="22"/>
    <w:qFormat/>
    <w:rsid w:val="00A64AE6"/>
    <w:rPr>
      <w:b/>
      <w:bCs/>
    </w:rPr>
  </w:style>
  <w:style w:type="character" w:styleId="Hyperlink">
    <w:name w:val="Hyperlink"/>
    <w:basedOn w:val="Fontepargpadro"/>
    <w:uiPriority w:val="99"/>
    <w:unhideWhenUsed/>
    <w:rsid w:val="00A64AE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64AE6"/>
  </w:style>
  <w:style w:type="character" w:styleId="nfase">
    <w:name w:val="Emphasis"/>
    <w:basedOn w:val="Fontepargpadro"/>
    <w:uiPriority w:val="20"/>
    <w:qFormat/>
    <w:rsid w:val="00A64A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edir.stf.jus.br/paginadorpub/paginador.jsp?docTP=AC&amp;docID=62671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C63B0-CCE3-4D5C-B503-64F6489A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1891</Words>
  <Characters>10216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fogatti@outlook.com</dc:creator>
  <cp:lastModifiedBy>LOLLA</cp:lastModifiedBy>
  <cp:revision>2</cp:revision>
  <dcterms:created xsi:type="dcterms:W3CDTF">2016-09-08T23:34:00Z</dcterms:created>
  <dcterms:modified xsi:type="dcterms:W3CDTF">2016-09-08T23:34:00Z</dcterms:modified>
</cp:coreProperties>
</file>