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AC" w:rsidRPr="00772030" w:rsidRDefault="00CD454B" w:rsidP="00760B8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 RESPOSTA DO RÉU: AS EXCEÇÕES - A DIFERÊNÇA ENTRE SUSPEIÇÃO E IMPEDIMENTO.</w:t>
      </w:r>
      <w:r w:rsidR="00900C2C" w:rsidRPr="00772030">
        <w:rPr>
          <w:rFonts w:ascii="Times New Roman" w:hAnsi="Times New Roman"/>
          <w:b/>
          <w:sz w:val="28"/>
          <w:szCs w:val="28"/>
        </w:rPr>
        <w:tab/>
      </w:r>
    </w:p>
    <w:p w:rsidR="00CD15AC" w:rsidRPr="00772030" w:rsidRDefault="00CD15AC" w:rsidP="00760B8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772030">
        <w:rPr>
          <w:rFonts w:ascii="Times New Roman" w:hAnsi="Times New Roman"/>
          <w:i/>
          <w:sz w:val="20"/>
          <w:szCs w:val="20"/>
        </w:rPr>
        <w:t xml:space="preserve">Atos Paulo Nogueira Otaviano </w:t>
      </w:r>
      <w:r w:rsidRPr="00772030">
        <w:rPr>
          <w:rStyle w:val="Refdenotaderodap"/>
          <w:rFonts w:ascii="Times New Roman" w:hAnsi="Times New Roman"/>
          <w:i/>
          <w:sz w:val="20"/>
          <w:szCs w:val="20"/>
        </w:rPr>
        <w:footnoteReference w:id="2"/>
      </w:r>
    </w:p>
    <w:p w:rsidR="00CD15AC" w:rsidRPr="00772030" w:rsidRDefault="00CD15AC" w:rsidP="00760B8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772030">
        <w:rPr>
          <w:rFonts w:ascii="Times New Roman" w:hAnsi="Times New Roman"/>
          <w:i/>
          <w:sz w:val="20"/>
          <w:szCs w:val="20"/>
        </w:rPr>
        <w:t xml:space="preserve">Ayrton Luis Magri Alvarenga </w:t>
      </w:r>
      <w:r w:rsidRPr="00772030">
        <w:rPr>
          <w:rStyle w:val="Refdenotaderodap"/>
          <w:rFonts w:ascii="Times New Roman" w:hAnsi="Times New Roman"/>
          <w:i/>
          <w:sz w:val="20"/>
          <w:szCs w:val="20"/>
        </w:rPr>
        <w:footnoteReference w:id="3"/>
      </w:r>
    </w:p>
    <w:p w:rsidR="00CD15AC" w:rsidRPr="00772030" w:rsidRDefault="00CD15AC" w:rsidP="00760B8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CD15AC" w:rsidRPr="00772030" w:rsidRDefault="00CD15AC" w:rsidP="00760B8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D15AC" w:rsidRPr="00772030" w:rsidRDefault="00CD15AC" w:rsidP="00760B8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D15AC" w:rsidRPr="00772030" w:rsidRDefault="00CD15AC" w:rsidP="00760B8D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bCs/>
          <w:sz w:val="20"/>
          <w:szCs w:val="20"/>
        </w:rPr>
      </w:pPr>
      <w:r w:rsidRPr="00772030">
        <w:rPr>
          <w:rFonts w:ascii="Times New Roman" w:hAnsi="Times New Roman"/>
          <w:sz w:val="20"/>
          <w:szCs w:val="20"/>
        </w:rPr>
        <w:t>SUMÁRIO: Introdução; 1.</w:t>
      </w:r>
      <w:r w:rsidR="00CD454B">
        <w:rPr>
          <w:rFonts w:ascii="Times New Roman" w:hAnsi="Times New Roman"/>
          <w:sz w:val="20"/>
          <w:szCs w:val="20"/>
        </w:rPr>
        <w:t>As Exceções</w:t>
      </w:r>
      <w:r w:rsidRPr="00772030">
        <w:rPr>
          <w:rFonts w:ascii="Times New Roman" w:hAnsi="Times New Roman"/>
          <w:sz w:val="20"/>
          <w:szCs w:val="20"/>
        </w:rPr>
        <w:t>:</w:t>
      </w:r>
      <w:r w:rsidR="009515D2" w:rsidRPr="00772030">
        <w:rPr>
          <w:rFonts w:ascii="Times New Roman" w:hAnsi="Times New Roman"/>
          <w:sz w:val="20"/>
          <w:szCs w:val="20"/>
        </w:rPr>
        <w:t xml:space="preserve"> 1.1 </w:t>
      </w:r>
      <w:r w:rsidR="00F71137">
        <w:rPr>
          <w:rFonts w:ascii="Times New Roman" w:hAnsi="Times New Roman"/>
          <w:sz w:val="20"/>
          <w:szCs w:val="20"/>
        </w:rPr>
        <w:t>Disposições Gerais</w:t>
      </w:r>
      <w:r w:rsidR="009515D2" w:rsidRPr="00772030">
        <w:rPr>
          <w:rFonts w:ascii="Times New Roman" w:hAnsi="Times New Roman"/>
          <w:sz w:val="20"/>
          <w:szCs w:val="20"/>
        </w:rPr>
        <w:t>; 1.2</w:t>
      </w:r>
      <w:r w:rsidR="00CD454B">
        <w:rPr>
          <w:rFonts w:ascii="Times New Roman" w:hAnsi="Times New Roman"/>
          <w:sz w:val="20"/>
          <w:szCs w:val="20"/>
        </w:rPr>
        <w:t xml:space="preserve"> Os 3 Tipos de Exceção </w:t>
      </w:r>
      <w:r w:rsidRPr="00772030">
        <w:rPr>
          <w:rFonts w:ascii="Times New Roman" w:hAnsi="Times New Roman"/>
          <w:sz w:val="20"/>
          <w:szCs w:val="20"/>
        </w:rPr>
        <w:t>;</w:t>
      </w:r>
      <w:r w:rsidR="005F7F3D" w:rsidRPr="00772030">
        <w:rPr>
          <w:rFonts w:ascii="Times New Roman" w:hAnsi="Times New Roman"/>
          <w:sz w:val="20"/>
          <w:szCs w:val="20"/>
        </w:rPr>
        <w:t xml:space="preserve"> 1.2.1</w:t>
      </w:r>
      <w:r w:rsidR="00CD454B">
        <w:rPr>
          <w:rFonts w:ascii="Times New Roman" w:hAnsi="Times New Roman"/>
          <w:sz w:val="20"/>
          <w:szCs w:val="20"/>
        </w:rPr>
        <w:t xml:space="preserve"> Incompetência</w:t>
      </w:r>
      <w:r w:rsidR="005F7F3D" w:rsidRPr="00772030">
        <w:rPr>
          <w:rFonts w:ascii="Times New Roman" w:hAnsi="Times New Roman"/>
          <w:sz w:val="20"/>
          <w:szCs w:val="20"/>
        </w:rPr>
        <w:t xml:space="preserve">; 1.2.2 </w:t>
      </w:r>
      <w:r w:rsidR="00CD454B">
        <w:rPr>
          <w:rFonts w:ascii="Times New Roman" w:hAnsi="Times New Roman"/>
          <w:sz w:val="20"/>
          <w:szCs w:val="20"/>
        </w:rPr>
        <w:t xml:space="preserve"> Suspeição e Impedimento</w:t>
      </w:r>
      <w:r w:rsidR="009515D2" w:rsidRPr="00772030">
        <w:rPr>
          <w:rFonts w:ascii="Times New Roman" w:hAnsi="Times New Roman"/>
          <w:sz w:val="20"/>
          <w:szCs w:val="20"/>
        </w:rPr>
        <w:t xml:space="preserve"> 2</w:t>
      </w:r>
      <w:r w:rsidR="00CD454B">
        <w:rPr>
          <w:rFonts w:ascii="Times New Roman" w:hAnsi="Times New Roman"/>
          <w:sz w:val="20"/>
          <w:szCs w:val="20"/>
        </w:rPr>
        <w:t>. A Diferença entre Suspeição e Impedimento;</w:t>
      </w:r>
      <w:r w:rsidR="009515D2" w:rsidRPr="00772030">
        <w:rPr>
          <w:rFonts w:ascii="Times New Roman" w:hAnsi="Times New Roman"/>
          <w:sz w:val="20"/>
          <w:szCs w:val="20"/>
        </w:rPr>
        <w:t xml:space="preserve"> </w:t>
      </w:r>
      <w:r w:rsidRPr="00772030">
        <w:rPr>
          <w:rFonts w:ascii="Times New Roman" w:hAnsi="Times New Roman"/>
          <w:sz w:val="20"/>
          <w:szCs w:val="20"/>
        </w:rPr>
        <w:t>Considerações finais; Referências.</w:t>
      </w:r>
    </w:p>
    <w:p w:rsidR="006D1458" w:rsidRPr="00772030" w:rsidRDefault="006D1458" w:rsidP="00760B8D">
      <w:pPr>
        <w:spacing w:line="240" w:lineRule="auto"/>
        <w:ind w:left="4536"/>
        <w:jc w:val="both"/>
        <w:rPr>
          <w:rFonts w:ascii="Times New Roman" w:hAnsi="Times New Roman"/>
          <w:i/>
          <w:sz w:val="20"/>
          <w:szCs w:val="20"/>
        </w:rPr>
      </w:pPr>
    </w:p>
    <w:p w:rsidR="00780289" w:rsidRPr="00772030" w:rsidRDefault="00780289" w:rsidP="00760B8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D1458" w:rsidRPr="00772030" w:rsidRDefault="006D1458" w:rsidP="00760B8D">
      <w:pPr>
        <w:spacing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6D1458" w:rsidRDefault="00254F79" w:rsidP="00760B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030">
        <w:rPr>
          <w:rFonts w:ascii="Times New Roman" w:hAnsi="Times New Roman"/>
          <w:b/>
          <w:sz w:val="24"/>
          <w:szCs w:val="24"/>
        </w:rPr>
        <w:t>RESUMO</w:t>
      </w:r>
      <w:r w:rsidR="002F7A69" w:rsidRPr="00772030">
        <w:rPr>
          <w:rFonts w:ascii="Times New Roman" w:hAnsi="Times New Roman"/>
          <w:b/>
          <w:sz w:val="24"/>
          <w:szCs w:val="24"/>
        </w:rPr>
        <w:t xml:space="preserve"> </w:t>
      </w:r>
    </w:p>
    <w:p w:rsidR="003E1755" w:rsidRDefault="00F71137" w:rsidP="00F711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As exceções constituem</w:t>
      </w:r>
      <w:r w:rsidRPr="00867C0E">
        <w:rPr>
          <w:rFonts w:ascii="Times New Roman" w:hAnsi="Times New Roman"/>
          <w:sz w:val="24"/>
          <w:szCs w:val="24"/>
          <w:lang w:eastAsia="pt-BR"/>
        </w:rPr>
        <w:t>-se em</w:t>
      </w:r>
      <w:r>
        <w:rPr>
          <w:rFonts w:ascii="Times New Roman" w:hAnsi="Times New Roman"/>
          <w:sz w:val="24"/>
          <w:szCs w:val="24"/>
          <w:lang w:eastAsia="pt-BR"/>
        </w:rPr>
        <w:t xml:space="preserve"> exceções de </w:t>
      </w:r>
      <w:r w:rsidR="003E1755">
        <w:rPr>
          <w:rFonts w:ascii="Times New Roman" w:hAnsi="Times New Roman"/>
          <w:sz w:val="24"/>
          <w:szCs w:val="24"/>
          <w:lang w:eastAsia="pt-BR"/>
        </w:rPr>
        <w:t xml:space="preserve">incompetência, </w:t>
      </w:r>
      <w:r>
        <w:rPr>
          <w:rFonts w:ascii="Times New Roman" w:hAnsi="Times New Roman"/>
          <w:sz w:val="24"/>
          <w:szCs w:val="24"/>
          <w:lang w:eastAsia="pt-BR"/>
        </w:rPr>
        <w:t>impedimento e suspeição</w:t>
      </w:r>
      <w:r w:rsidR="003E1755">
        <w:rPr>
          <w:rFonts w:ascii="Times New Roman" w:hAnsi="Times New Roman"/>
          <w:sz w:val="24"/>
          <w:szCs w:val="24"/>
          <w:lang w:eastAsia="pt-BR"/>
        </w:rPr>
        <w:t>,todas elas são formas de resposta do réu,porém o impedimento e suspeição não respostas para o autor,mas sim para a impossibilidade do Juiz julgar o caso por motivos pessoais.</w:t>
      </w:r>
    </w:p>
    <w:p w:rsidR="003E1755" w:rsidRDefault="00F71137" w:rsidP="00F711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867C0E">
        <w:rPr>
          <w:rFonts w:ascii="Times New Roman" w:hAnsi="Times New Roman"/>
          <w:color w:val="000000"/>
          <w:sz w:val="24"/>
          <w:szCs w:val="24"/>
          <w:lang w:eastAsia="pt-BR"/>
        </w:rPr>
        <w:t>O artigo busca demonstrar a</w:t>
      </w:r>
      <w:r w:rsidR="003E1755">
        <w:rPr>
          <w:rFonts w:ascii="Times New Roman" w:hAnsi="Times New Roman"/>
          <w:color w:val="000000"/>
          <w:sz w:val="24"/>
          <w:szCs w:val="24"/>
          <w:lang w:eastAsia="pt-BR"/>
        </w:rPr>
        <w:t>s diferenças entre as exceções de impedimento e suspeição,tendo em vista,que por vezes são confundidas.</w:t>
      </w:r>
    </w:p>
    <w:p w:rsidR="00F71137" w:rsidRDefault="00F71137" w:rsidP="00760B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458" w:rsidRPr="003E1755" w:rsidRDefault="00E472DC" w:rsidP="00760B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2030">
        <w:rPr>
          <w:rFonts w:ascii="Times New Roman" w:hAnsi="Times New Roman"/>
          <w:b/>
          <w:sz w:val="24"/>
          <w:szCs w:val="24"/>
        </w:rPr>
        <w:t>Palavras-chave:</w:t>
      </w:r>
      <w:r w:rsidR="009B78E5" w:rsidRPr="00772030">
        <w:rPr>
          <w:rFonts w:ascii="Times New Roman" w:hAnsi="Times New Roman"/>
          <w:b/>
          <w:sz w:val="24"/>
          <w:szCs w:val="24"/>
        </w:rPr>
        <w:t xml:space="preserve"> </w:t>
      </w:r>
      <w:r w:rsidR="003E1755">
        <w:rPr>
          <w:rFonts w:ascii="Times New Roman" w:hAnsi="Times New Roman"/>
          <w:sz w:val="24"/>
          <w:szCs w:val="24"/>
        </w:rPr>
        <w:t xml:space="preserve">Exceções. Impedimento. Suspeição. Incompetência. </w:t>
      </w:r>
    </w:p>
    <w:p w:rsidR="00997EC7" w:rsidRPr="00772030" w:rsidRDefault="00997EC7" w:rsidP="00760B8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755" w:rsidRDefault="001C41D9" w:rsidP="003E175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2030">
        <w:rPr>
          <w:rFonts w:ascii="Times New Roman" w:hAnsi="Times New Roman"/>
          <w:b/>
          <w:sz w:val="24"/>
          <w:szCs w:val="24"/>
        </w:rPr>
        <w:t>INTRODUÇÃO</w:t>
      </w:r>
      <w:r w:rsidR="002F7A69" w:rsidRPr="00772030">
        <w:rPr>
          <w:rFonts w:ascii="Times New Roman" w:hAnsi="Times New Roman"/>
          <w:b/>
          <w:sz w:val="24"/>
          <w:szCs w:val="24"/>
        </w:rPr>
        <w:t xml:space="preserve"> </w:t>
      </w:r>
    </w:p>
    <w:p w:rsidR="003E1755" w:rsidRPr="003E1755" w:rsidRDefault="003E1755" w:rsidP="003E175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eastAsia="pt-BR"/>
        </w:rPr>
        <w:t xml:space="preserve"> presente trabalho visa </w:t>
      </w:r>
      <w:r w:rsidRPr="00867C0E">
        <w:rPr>
          <w:rFonts w:ascii="Times New Roman" w:hAnsi="Times New Roman"/>
          <w:sz w:val="24"/>
          <w:szCs w:val="24"/>
          <w:lang w:eastAsia="pt-BR"/>
        </w:rPr>
        <w:t xml:space="preserve"> tecer comentários acerca</w:t>
      </w:r>
      <w:r>
        <w:rPr>
          <w:rFonts w:ascii="Times New Roman" w:hAnsi="Times New Roman"/>
          <w:sz w:val="24"/>
          <w:szCs w:val="24"/>
          <w:lang w:eastAsia="pt-BR"/>
        </w:rPr>
        <w:t xml:space="preserve"> das exceções,tendo como foi principal as diferenças entre impedimento e suspeição</w:t>
      </w:r>
      <w:r w:rsidRPr="00867C0E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>assim,irá</w:t>
      </w:r>
      <w:r w:rsidRPr="00867C0E">
        <w:rPr>
          <w:rFonts w:ascii="Times New Roman" w:hAnsi="Times New Roman"/>
          <w:sz w:val="24"/>
          <w:szCs w:val="24"/>
          <w:lang w:eastAsia="pt-BR"/>
        </w:rPr>
        <w:t xml:space="preserve"> discorrer sua conceituação e sua aplicação</w:t>
      </w:r>
      <w:r>
        <w:rPr>
          <w:rFonts w:ascii="Times New Roman" w:hAnsi="Times New Roman"/>
          <w:sz w:val="24"/>
          <w:szCs w:val="24"/>
          <w:lang w:eastAsia="pt-BR"/>
        </w:rPr>
        <w:t>.</w:t>
      </w:r>
    </w:p>
    <w:p w:rsidR="003E1755" w:rsidRPr="00867C0E" w:rsidRDefault="003E1755" w:rsidP="003E175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lastRenderedPageBreak/>
        <w:t xml:space="preserve">No entanto não se pretende uma análise profunda das diferenças, tendo em vista as dimensões do artigo, mas se pretendo contemplar as principais idéias e divergências,o principal ponto de partida para definir as suas utilizações.  </w:t>
      </w:r>
    </w:p>
    <w:p w:rsidR="003E1755" w:rsidRDefault="003E1755" w:rsidP="00760B8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C56" w:rsidRPr="00772030" w:rsidRDefault="00750C56" w:rsidP="00760B8D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4F21" w:rsidRPr="00772030" w:rsidRDefault="00CD454B" w:rsidP="00760B8D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 Exceções</w:t>
      </w:r>
      <w:r w:rsidR="005F3F76" w:rsidRPr="00772030">
        <w:rPr>
          <w:rFonts w:ascii="Times New Roman" w:hAnsi="Times New Roman"/>
          <w:b/>
          <w:sz w:val="24"/>
          <w:szCs w:val="24"/>
        </w:rPr>
        <w:t>.</w:t>
      </w:r>
    </w:p>
    <w:p w:rsidR="00CD454B" w:rsidRDefault="00CD454B" w:rsidP="00CD454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F21" w:rsidRDefault="00F71137" w:rsidP="00FB31A8">
      <w:pPr>
        <w:spacing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Disposições Gerais</w:t>
      </w:r>
      <w:r w:rsidR="005F3F76" w:rsidRPr="00CD454B">
        <w:rPr>
          <w:rFonts w:ascii="Times New Roman" w:hAnsi="Times New Roman"/>
          <w:b/>
          <w:sz w:val="24"/>
          <w:szCs w:val="24"/>
        </w:rPr>
        <w:t>.</w:t>
      </w:r>
    </w:p>
    <w:p w:rsidR="00326F42" w:rsidRPr="00FB31A8" w:rsidRDefault="00B000F4" w:rsidP="00FB31A8">
      <w:pPr>
        <w:pStyle w:val="NormalWeb"/>
        <w:shd w:val="clear" w:color="auto" w:fill="FFFFFF"/>
        <w:spacing w:before="0" w:beforeAutospacing="0" w:after="200" w:afterAutospacing="0" w:line="360" w:lineRule="auto"/>
        <w:ind w:firstLine="1134"/>
        <w:jc w:val="both"/>
        <w:rPr>
          <w:color w:val="3A382C"/>
        </w:rPr>
      </w:pPr>
      <w:r w:rsidRPr="00F71137">
        <w:t>A exceção é um indicativo de um tipo de resposta do réu, é usada junto com  contestação e reconvenção</w:t>
      </w:r>
      <w:r w:rsidR="00326F42" w:rsidRPr="00F71137">
        <w:t>,pode ser usada pelo sujeito passivo para alegar incompetência relativa,impedimento ou suspeição</w:t>
      </w:r>
      <w:r w:rsidR="00326F42" w:rsidRPr="00FB31A8">
        <w:rPr>
          <w:color w:val="3A382C"/>
        </w:rPr>
        <w:t>.</w:t>
      </w:r>
    </w:p>
    <w:p w:rsidR="00C77F47" w:rsidRPr="00F806A7" w:rsidRDefault="00B000F4" w:rsidP="00FB31A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F71137">
        <w:rPr>
          <w:rFonts w:ascii="Times New Roman" w:hAnsi="Times New Roman"/>
          <w:sz w:val="24"/>
          <w:szCs w:val="24"/>
        </w:rPr>
        <w:t>Dinamarco</w:t>
      </w:r>
      <w:r w:rsidR="00F806A7" w:rsidRPr="00F71137">
        <w:rPr>
          <w:rFonts w:ascii="Times New Roman" w:hAnsi="Times New Roman"/>
          <w:sz w:val="24"/>
          <w:szCs w:val="24"/>
        </w:rPr>
        <w:t>(</w:t>
      </w:r>
      <w:r w:rsidR="00F806A7" w:rsidRPr="00F711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2004. p. 475)</w:t>
      </w:r>
      <w:r w:rsidRPr="00F71137">
        <w:rPr>
          <w:rFonts w:ascii="Times New Roman" w:hAnsi="Times New Roman"/>
          <w:sz w:val="24"/>
          <w:szCs w:val="24"/>
        </w:rPr>
        <w:t xml:space="preserve"> conceitua exceção como “</w:t>
      </w:r>
      <w:r w:rsidRPr="00F71137">
        <w:rPr>
          <w:rFonts w:ascii="Times New Roman" w:hAnsi="Times New Roman"/>
          <w:i/>
          <w:iCs/>
          <w:sz w:val="24"/>
          <w:szCs w:val="24"/>
        </w:rPr>
        <w:t>incidente processual adequado ao processamento das defesas consistentes na incompetência relativa, no impedimento ou na suspeição do juiz</w:t>
      </w:r>
      <w:r w:rsidRPr="00F7113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71137">
        <w:rPr>
          <w:rFonts w:ascii="Times New Roman" w:hAnsi="Times New Roman"/>
          <w:sz w:val="24"/>
          <w:szCs w:val="24"/>
        </w:rPr>
        <w:t>“.</w:t>
      </w:r>
      <w:r w:rsidR="00C77F47" w:rsidRPr="00F71137">
        <w:rPr>
          <w:rFonts w:ascii="Times New Roman" w:hAnsi="Times New Roman"/>
          <w:sz w:val="24"/>
          <w:szCs w:val="24"/>
        </w:rPr>
        <w:t xml:space="preserve"> E </w:t>
      </w:r>
      <w:r w:rsidR="00C77F47" w:rsidRPr="00F71137">
        <w:rPr>
          <w:rFonts w:ascii="Times New Roman" w:hAnsi="Times New Roman"/>
          <w:bCs/>
          <w:sz w:val="24"/>
          <w:szCs w:val="24"/>
          <w:lang w:eastAsia="pt-BR"/>
        </w:rPr>
        <w:t>Humberto Theodoro Júnior</w:t>
      </w:r>
      <w:r w:rsidR="00F71137" w:rsidRPr="00F71137">
        <w:rPr>
          <w:rFonts w:ascii="Times New Roman" w:hAnsi="Times New Roman"/>
          <w:bCs/>
          <w:sz w:val="24"/>
          <w:szCs w:val="24"/>
          <w:lang w:eastAsia="pt-BR"/>
        </w:rPr>
        <w:t>(2004.p.</w:t>
      </w:r>
      <w:r w:rsidR="00F71137" w:rsidRPr="00F71137">
        <w:rPr>
          <w:rFonts w:ascii="Times New Roman" w:hAnsi="Times New Roman"/>
          <w:sz w:val="24"/>
          <w:szCs w:val="24"/>
          <w:lang w:eastAsia="pt-BR"/>
        </w:rPr>
        <w:t>409).</w:t>
      </w:r>
      <w:r w:rsidR="00C77F47" w:rsidRPr="00F71137">
        <w:rPr>
          <w:rFonts w:ascii="Times New Roman" w:hAnsi="Times New Roman"/>
          <w:bCs/>
          <w:sz w:val="24"/>
          <w:szCs w:val="24"/>
          <w:lang w:eastAsia="pt-BR"/>
        </w:rPr>
        <w:t xml:space="preserve"> como“</w:t>
      </w:r>
      <w:r w:rsidR="00C77F47" w:rsidRPr="00F71137">
        <w:rPr>
          <w:rFonts w:ascii="Times New Roman" w:hAnsi="Times New Roman"/>
          <w:bCs/>
          <w:i/>
          <w:iCs/>
          <w:sz w:val="24"/>
          <w:szCs w:val="24"/>
          <w:lang w:eastAsia="pt-BR"/>
        </w:rPr>
        <w:t xml:space="preserve"> o incidente processual destinado a argüição da</w:t>
      </w:r>
      <w:r w:rsidR="00C77F47" w:rsidRPr="00F71137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C77F47" w:rsidRPr="00F71137">
        <w:rPr>
          <w:rFonts w:ascii="Times New Roman" w:hAnsi="Times New Roman"/>
          <w:bCs/>
          <w:i/>
          <w:iCs/>
          <w:sz w:val="24"/>
          <w:szCs w:val="24"/>
          <w:lang w:eastAsia="pt-BR"/>
        </w:rPr>
        <w:t>incompetência relativa do juízo, e de suspeição ou impedimento de juiz</w:t>
      </w:r>
      <w:r w:rsidR="00C77F47" w:rsidRPr="00F71137">
        <w:rPr>
          <w:rFonts w:ascii="Times New Roman" w:hAnsi="Times New Roman"/>
          <w:bCs/>
          <w:sz w:val="24"/>
          <w:szCs w:val="24"/>
          <w:lang w:eastAsia="pt-BR"/>
        </w:rPr>
        <w:t>”. Assim deixando claro, que a exceção, como meio de defesa processual dilatória, não se destina a atacar a pessoa do outro litigante, mas é dirigida contra o órgão jurisdicional ou seu titular, “</w:t>
      </w:r>
      <w:r w:rsidR="00C77F47" w:rsidRPr="00F71137">
        <w:rPr>
          <w:rFonts w:ascii="Times New Roman" w:hAnsi="Times New Roman"/>
          <w:bCs/>
          <w:i/>
          <w:iCs/>
          <w:sz w:val="24"/>
          <w:szCs w:val="24"/>
          <w:lang w:eastAsia="pt-BR"/>
        </w:rPr>
        <w:t>pondo em crise sua capacidade para</w:t>
      </w:r>
      <w:r w:rsidR="00C77F47" w:rsidRPr="00F71137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C77F47" w:rsidRPr="00F71137">
        <w:rPr>
          <w:rFonts w:ascii="Times New Roman" w:hAnsi="Times New Roman"/>
          <w:bCs/>
          <w:i/>
          <w:iCs/>
          <w:sz w:val="24"/>
          <w:szCs w:val="24"/>
          <w:lang w:eastAsia="pt-BR"/>
        </w:rPr>
        <w:t>exercer a jurisdição frente ao caso sub judice</w:t>
      </w:r>
      <w:r w:rsidR="00C77F47" w:rsidRPr="00F806A7">
        <w:rPr>
          <w:rFonts w:ascii="Times New Roman" w:hAnsi="Times New Roman"/>
          <w:bCs/>
          <w:sz w:val="24"/>
          <w:szCs w:val="24"/>
          <w:lang w:eastAsia="pt-BR"/>
        </w:rPr>
        <w:t>”.</w:t>
      </w:r>
    </w:p>
    <w:p w:rsidR="00326F42" w:rsidRPr="00F806A7" w:rsidRDefault="00326F42" w:rsidP="00FB31A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  <w:r w:rsidRPr="00F806A7">
        <w:rPr>
          <w:rFonts w:ascii="Times New Roman" w:hAnsi="Times New Roman"/>
          <w:sz w:val="24"/>
          <w:szCs w:val="24"/>
          <w:lang w:eastAsia="pt-BR"/>
        </w:rPr>
        <w:t>As exceções sempre irão ter caráter dilatório,sendo assim, nenhuma delas conduz à extinção do processo,muito embora o CPC trate das exceções como uma das faculdade de resposta do réu,na verdade, a respeito à exceção de suspeição e impedimento não se tratam de modalidade de resposta exclusivamente,tendo em vista que, a priori, o autor também poderá interpor essas exceções.</w:t>
      </w:r>
    </w:p>
    <w:p w:rsidR="00C77F47" w:rsidRPr="00F806A7" w:rsidRDefault="00C77F47" w:rsidP="00FB31A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F806A7">
        <w:rPr>
          <w:rFonts w:ascii="Times New Roman" w:hAnsi="Times New Roman"/>
          <w:bCs/>
          <w:sz w:val="24"/>
          <w:szCs w:val="24"/>
          <w:lang w:eastAsia="pt-BR"/>
        </w:rPr>
        <w:t xml:space="preserve">Portanto é lícito a qualquer das partes, de acordo com a previsão que se acha expressamente inscrita no bojo do art. 304 do Código de Processo Civil, argüir, por meio de exceção, a </w:t>
      </w:r>
      <w:r w:rsidRPr="00F806A7">
        <w:rPr>
          <w:rFonts w:ascii="Times New Roman" w:hAnsi="Times New Roman"/>
          <w:bCs/>
          <w:i/>
          <w:iCs/>
          <w:sz w:val="24"/>
          <w:szCs w:val="24"/>
          <w:lang w:eastAsia="pt-BR"/>
        </w:rPr>
        <w:t>incompetência</w:t>
      </w:r>
      <w:r w:rsidRPr="00F806A7">
        <w:rPr>
          <w:rFonts w:ascii="Times New Roman" w:hAnsi="Times New Roman"/>
          <w:bCs/>
          <w:sz w:val="24"/>
          <w:szCs w:val="24"/>
          <w:lang w:eastAsia="pt-BR"/>
        </w:rPr>
        <w:t xml:space="preserve">, o </w:t>
      </w:r>
      <w:r w:rsidRPr="00F806A7">
        <w:rPr>
          <w:rFonts w:ascii="Times New Roman" w:hAnsi="Times New Roman"/>
          <w:bCs/>
          <w:i/>
          <w:iCs/>
          <w:sz w:val="24"/>
          <w:szCs w:val="24"/>
          <w:lang w:eastAsia="pt-BR"/>
        </w:rPr>
        <w:t xml:space="preserve">impedimento </w:t>
      </w:r>
      <w:r w:rsidRPr="00F806A7">
        <w:rPr>
          <w:rFonts w:ascii="Times New Roman" w:hAnsi="Times New Roman"/>
          <w:bCs/>
          <w:sz w:val="24"/>
          <w:szCs w:val="24"/>
          <w:lang w:eastAsia="pt-BR"/>
        </w:rPr>
        <w:t xml:space="preserve">ou a </w:t>
      </w:r>
      <w:r w:rsidRPr="00F806A7">
        <w:rPr>
          <w:rFonts w:ascii="Times New Roman" w:hAnsi="Times New Roman"/>
          <w:bCs/>
          <w:i/>
          <w:iCs/>
          <w:sz w:val="24"/>
          <w:szCs w:val="24"/>
          <w:lang w:eastAsia="pt-BR"/>
        </w:rPr>
        <w:t xml:space="preserve">suspeição </w:t>
      </w:r>
      <w:r w:rsidRPr="00F806A7">
        <w:rPr>
          <w:rFonts w:ascii="Times New Roman" w:hAnsi="Times New Roman"/>
          <w:bCs/>
          <w:sz w:val="24"/>
          <w:szCs w:val="24"/>
          <w:lang w:eastAsia="pt-BR"/>
        </w:rPr>
        <w:t xml:space="preserve">do órgão judicial a quem foi distribuído o feito de seu interesse. </w:t>
      </w:r>
    </w:p>
    <w:p w:rsidR="00D61820" w:rsidRPr="00F806A7" w:rsidRDefault="00326F42" w:rsidP="00D618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  <w:r w:rsidRPr="00F806A7">
        <w:rPr>
          <w:rFonts w:ascii="Times New Roman" w:hAnsi="Times New Roman"/>
          <w:sz w:val="24"/>
          <w:szCs w:val="24"/>
          <w:lang w:eastAsia="pt-BR"/>
        </w:rPr>
        <w:lastRenderedPageBreak/>
        <w:t>O Código de Processo Civil,quando fala de forma genérica das exceções,diz que a exceção deverá ser apresentada no prazo de 1</w:t>
      </w:r>
      <w:r w:rsidR="00C77F47" w:rsidRPr="00F806A7">
        <w:rPr>
          <w:rFonts w:ascii="Times New Roman" w:hAnsi="Times New Roman"/>
          <w:sz w:val="24"/>
          <w:szCs w:val="24"/>
          <w:lang w:eastAsia="pt-BR"/>
        </w:rPr>
        <w:t>5</w:t>
      </w:r>
      <w:r w:rsidRPr="00F806A7">
        <w:rPr>
          <w:rFonts w:ascii="Times New Roman" w:hAnsi="Times New Roman"/>
          <w:sz w:val="24"/>
          <w:szCs w:val="24"/>
          <w:lang w:eastAsia="pt-BR"/>
        </w:rPr>
        <w:t xml:space="preserve"> dias; porém,tem que se salientar que,esses 15 dias serão contados do conhecimento do fato.Portanto a exceção não deverá,</w:t>
      </w:r>
      <w:r w:rsidR="00C77F47" w:rsidRPr="00F806A7">
        <w:rPr>
          <w:rFonts w:ascii="Times New Roman" w:hAnsi="Times New Roman"/>
          <w:sz w:val="24"/>
          <w:szCs w:val="24"/>
          <w:lang w:eastAsia="pt-BR"/>
        </w:rPr>
        <w:t xml:space="preserve"> religiosamente, ser apresentada na contestação.</w:t>
      </w:r>
    </w:p>
    <w:p w:rsidR="00D61820" w:rsidRPr="00F806A7" w:rsidRDefault="00D61820" w:rsidP="00D618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  <w:r w:rsidRPr="00F806A7">
        <w:rPr>
          <w:rFonts w:ascii="Times New Roman" w:hAnsi="Times New Roman"/>
          <w:sz w:val="24"/>
          <w:szCs w:val="24"/>
          <w:lang w:eastAsia="pt-BR"/>
        </w:rPr>
        <w:t xml:space="preserve">Após </w:t>
      </w:r>
      <w:r w:rsidR="00E836BF" w:rsidRPr="00F806A7">
        <w:rPr>
          <w:rFonts w:ascii="Times New Roman" w:hAnsi="Times New Roman"/>
          <w:sz w:val="24"/>
          <w:szCs w:val="24"/>
          <w:lang w:eastAsia="pt-BR"/>
        </w:rPr>
        <w:t xml:space="preserve">apresentada a exceção, o processo será suspenso, ou seja, apresentada a exceção, </w:t>
      </w:r>
      <w:r w:rsidRPr="00F806A7">
        <w:rPr>
          <w:rFonts w:ascii="Times New Roman" w:hAnsi="Times New Roman"/>
          <w:sz w:val="24"/>
          <w:szCs w:val="24"/>
          <w:lang w:eastAsia="pt-BR"/>
        </w:rPr>
        <w:t xml:space="preserve">não poderá ser praticado </w:t>
      </w:r>
      <w:r w:rsidR="00E836BF" w:rsidRPr="00F806A7">
        <w:rPr>
          <w:rFonts w:ascii="Times New Roman" w:hAnsi="Times New Roman"/>
          <w:sz w:val="24"/>
          <w:szCs w:val="24"/>
          <w:lang w:eastAsia="pt-BR"/>
        </w:rPr>
        <w:t>nenhum ato processual relativo ao objeto litigioso enquanto a exceção não for julgada. A exceção é um incidente processual que suspende a relação principal até o seu julgamento.</w:t>
      </w:r>
    </w:p>
    <w:p w:rsidR="00E836BF" w:rsidRPr="00F806A7" w:rsidRDefault="00E836BF" w:rsidP="00D618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  <w:r w:rsidRPr="00F806A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61820" w:rsidRPr="00F806A7">
        <w:rPr>
          <w:rFonts w:ascii="Times New Roman" w:hAnsi="Times New Roman"/>
          <w:sz w:val="24"/>
          <w:szCs w:val="24"/>
          <w:lang w:eastAsia="pt-BR"/>
        </w:rPr>
        <w:t>Se for necessário  medida de urgência</w:t>
      </w:r>
      <w:r w:rsidRPr="00F806A7">
        <w:rPr>
          <w:rFonts w:ascii="Times New Roman" w:hAnsi="Times New Roman"/>
          <w:sz w:val="24"/>
          <w:szCs w:val="24"/>
          <w:lang w:eastAsia="pt-BR"/>
        </w:rPr>
        <w:t xml:space="preserve">, ela deverá ser praticada. </w:t>
      </w:r>
      <w:r w:rsidR="00F806A7" w:rsidRPr="00F806A7">
        <w:rPr>
          <w:rFonts w:ascii="Times New Roman" w:hAnsi="Times New Roman"/>
          <w:sz w:val="24"/>
          <w:szCs w:val="24"/>
          <w:lang w:eastAsia="pt-BR"/>
        </w:rPr>
        <w:t>Se tratando</w:t>
      </w:r>
      <w:r w:rsidRPr="00F806A7">
        <w:rPr>
          <w:rFonts w:ascii="Times New Roman" w:hAnsi="Times New Roman"/>
          <w:sz w:val="24"/>
          <w:szCs w:val="24"/>
          <w:lang w:eastAsia="pt-BR"/>
        </w:rPr>
        <w:t xml:space="preserve"> de exceção de incompetência, a</w:t>
      </w:r>
      <w:r w:rsidR="00F806A7" w:rsidRPr="00F806A7">
        <w:rPr>
          <w:rFonts w:ascii="Times New Roman" w:hAnsi="Times New Roman"/>
          <w:sz w:val="24"/>
          <w:szCs w:val="24"/>
          <w:lang w:eastAsia="pt-BR"/>
        </w:rPr>
        <w:t xml:space="preserve"> medida cautelar deve ser apreciada pelo próprio juízo;porém, </w:t>
      </w:r>
      <w:r w:rsidRPr="00F806A7">
        <w:rPr>
          <w:rFonts w:ascii="Times New Roman" w:hAnsi="Times New Roman"/>
          <w:sz w:val="24"/>
          <w:szCs w:val="24"/>
          <w:lang w:eastAsia="pt-BR"/>
        </w:rPr>
        <w:t xml:space="preserve">se a exceção for de impedimento ou de suspeição, </w:t>
      </w:r>
      <w:r w:rsidR="00F806A7" w:rsidRPr="00F806A7">
        <w:rPr>
          <w:rFonts w:ascii="Times New Roman" w:hAnsi="Times New Roman"/>
          <w:sz w:val="24"/>
          <w:szCs w:val="24"/>
          <w:lang w:eastAsia="pt-BR"/>
        </w:rPr>
        <w:t>a parte dominante da doutrina tem entendimento de que</w:t>
      </w:r>
      <w:r w:rsidRPr="00F806A7">
        <w:rPr>
          <w:rFonts w:ascii="Times New Roman" w:hAnsi="Times New Roman"/>
          <w:sz w:val="24"/>
          <w:szCs w:val="24"/>
          <w:lang w:eastAsia="pt-BR"/>
        </w:rPr>
        <w:t xml:space="preserve"> entendimento de que a cautelar ou a medida de urgência deverá ser apreciada pelo tribunal,</w:t>
      </w:r>
    </w:p>
    <w:p w:rsidR="00B000F4" w:rsidRPr="00FB31A8" w:rsidRDefault="00C77F47" w:rsidP="00FB31A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FB31A8">
        <w:rPr>
          <w:rFonts w:ascii="Times New Roman" w:hAnsi="Times New Roman"/>
          <w:bCs/>
          <w:sz w:val="24"/>
          <w:szCs w:val="24"/>
          <w:lang w:eastAsia="pt-BR"/>
        </w:rPr>
        <w:t>.</w:t>
      </w:r>
    </w:p>
    <w:p w:rsidR="00B000F4" w:rsidRPr="00CD454B" w:rsidRDefault="00B000F4" w:rsidP="00FB31A8">
      <w:pPr>
        <w:spacing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Helvetica" w:hAnsi="Helvetica" w:cs="Helvetica"/>
          <w:sz w:val="12"/>
          <w:szCs w:val="12"/>
          <w:lang w:eastAsia="pt-BR"/>
        </w:rPr>
        <w:t>1</w:t>
      </w:r>
    </w:p>
    <w:p w:rsidR="00CD454B" w:rsidRDefault="00CD454B" w:rsidP="00FB31A8">
      <w:pPr>
        <w:spacing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A44F21" w:rsidRDefault="00867C0E" w:rsidP="00FB31A8">
      <w:pPr>
        <w:spacing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CD454B">
        <w:rPr>
          <w:rFonts w:ascii="Times New Roman" w:hAnsi="Times New Roman"/>
          <w:b/>
          <w:sz w:val="24"/>
          <w:szCs w:val="24"/>
        </w:rPr>
        <w:t>1.2</w:t>
      </w:r>
      <w:r w:rsidR="00CD454B">
        <w:rPr>
          <w:rFonts w:ascii="Times New Roman" w:hAnsi="Times New Roman"/>
          <w:b/>
          <w:sz w:val="24"/>
          <w:szCs w:val="24"/>
        </w:rPr>
        <w:t>.</w:t>
      </w:r>
      <w:r w:rsidRPr="00CD454B">
        <w:rPr>
          <w:rFonts w:ascii="Times New Roman" w:hAnsi="Times New Roman"/>
          <w:b/>
          <w:sz w:val="24"/>
          <w:szCs w:val="24"/>
        </w:rPr>
        <w:t xml:space="preserve"> </w:t>
      </w:r>
      <w:r w:rsidR="00CD454B">
        <w:rPr>
          <w:rFonts w:ascii="Times New Roman" w:hAnsi="Times New Roman"/>
          <w:b/>
          <w:sz w:val="24"/>
          <w:szCs w:val="24"/>
        </w:rPr>
        <w:t>Os 3 Tipos de Exceção</w:t>
      </w:r>
      <w:r w:rsidR="005F3F76" w:rsidRPr="00CD454B">
        <w:rPr>
          <w:rFonts w:ascii="Times New Roman" w:hAnsi="Times New Roman"/>
          <w:b/>
          <w:sz w:val="24"/>
          <w:szCs w:val="24"/>
        </w:rPr>
        <w:t>.</w:t>
      </w:r>
    </w:p>
    <w:p w:rsidR="00C77F47" w:rsidRPr="00C77F47" w:rsidRDefault="00C77F47" w:rsidP="00FB31A8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Exceções estão divididas em 3,sendo estas de : Incom</w:t>
      </w:r>
      <w:r w:rsidR="00EB2481">
        <w:rPr>
          <w:rFonts w:ascii="Times New Roman" w:hAnsi="Times New Roman"/>
          <w:sz w:val="24"/>
          <w:szCs w:val="24"/>
        </w:rPr>
        <w:t xml:space="preserve">petência(Art.112 CPC),Impedimento(Art.134 CPC) e Suspeição(Art.135 CPC), as quais serão esplanadas dois tópicos abaixo </w:t>
      </w:r>
    </w:p>
    <w:p w:rsidR="00CD454B" w:rsidRDefault="00CD454B" w:rsidP="00FB31A8">
      <w:pPr>
        <w:spacing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FB31A8" w:rsidRDefault="00FB31A8" w:rsidP="00FB31A8">
      <w:pPr>
        <w:spacing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EE5A8C" w:rsidRDefault="00CD454B" w:rsidP="00FB31A8">
      <w:pPr>
        <w:spacing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1.2.1. Incompetência.</w:t>
      </w:r>
    </w:p>
    <w:p w:rsidR="00EB2481" w:rsidRPr="00FB31A8" w:rsidRDefault="00EB2481" w:rsidP="00FB31A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FB31A8">
        <w:rPr>
          <w:rFonts w:ascii="Times New Roman" w:hAnsi="Times New Roman"/>
          <w:sz w:val="24"/>
          <w:szCs w:val="24"/>
        </w:rPr>
        <w:t>A exceção por incompetência,também pode ser denominada de exceção declinatória de foro,ela se trata de incompetência relativa,pois,a imcompetência absoluta deve ser argüida,em regra, em preliminar de constestação(art.301,II, CPC),</w:t>
      </w:r>
      <w:r w:rsidRPr="00FB31A8">
        <w:rPr>
          <w:rFonts w:ascii="Times New Roman" w:hAnsi="Times New Roman"/>
          <w:bCs/>
          <w:sz w:val="24"/>
          <w:szCs w:val="24"/>
          <w:lang w:eastAsia="pt-BR"/>
        </w:rPr>
        <w:t xml:space="preserve"> devendo ser declarada de ofício pelo juiz, cabendo à parte apontá-la a qualquer tempo e em qualquer grau de jurisdição, independentemente de exceção.</w:t>
      </w:r>
    </w:p>
    <w:p w:rsidR="004A252B" w:rsidRPr="00FB31A8" w:rsidRDefault="004A252B" w:rsidP="00FB31A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FB31A8">
        <w:rPr>
          <w:rFonts w:ascii="Times New Roman" w:hAnsi="Times New Roman"/>
          <w:bCs/>
          <w:sz w:val="24"/>
          <w:szCs w:val="24"/>
          <w:lang w:eastAsia="pt-BR"/>
        </w:rPr>
        <w:lastRenderedPageBreak/>
        <w:t>Esse tipo de exceção cabe apenas ao réu,e refere-se à competência em razão do valor ou do território. A sua proposição se da por meio de petição fundamentada e regularmente instruída,cabendo ao excepto impugnar a exceção no prazo de 10(dez) dias,sendo decidida a exceção, o recurso possível contra a decisão é o agravo.</w:t>
      </w:r>
    </w:p>
    <w:p w:rsidR="00CD454B" w:rsidRPr="00CD454B" w:rsidRDefault="00CD454B" w:rsidP="00FB31A8">
      <w:pPr>
        <w:spacing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5F7F3D" w:rsidRPr="00CD454B" w:rsidRDefault="00CD454B" w:rsidP="00FB31A8">
      <w:pPr>
        <w:pStyle w:val="PargrafodaLista"/>
        <w:numPr>
          <w:ilvl w:val="2"/>
          <w:numId w:val="18"/>
        </w:numPr>
        <w:spacing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Suspeição e Impedimento.</w:t>
      </w:r>
    </w:p>
    <w:p w:rsidR="004A252B" w:rsidRPr="00FB31A8" w:rsidRDefault="004A252B" w:rsidP="00FB31A8">
      <w:pPr>
        <w:pStyle w:val="PargrafodaLista"/>
        <w:autoSpaceDE w:val="0"/>
        <w:autoSpaceDN w:val="0"/>
        <w:adjustRightInd w:val="0"/>
        <w:spacing w:line="360" w:lineRule="auto"/>
        <w:ind w:left="0" w:firstLine="1134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FB31A8">
        <w:rPr>
          <w:rFonts w:ascii="Times New Roman" w:hAnsi="Times New Roman"/>
          <w:bCs/>
          <w:sz w:val="24"/>
          <w:szCs w:val="24"/>
          <w:lang w:eastAsia="pt-BR"/>
        </w:rPr>
        <w:t>O impedimento,pelo que pode conceber da norma processual, é caracterizado por uma presunção de parcialidade que,por si, já basta para vetar a atuação do juiz em relação a determinado processo.</w:t>
      </w:r>
    </w:p>
    <w:p w:rsidR="004A252B" w:rsidRPr="00FB31A8" w:rsidRDefault="00FB31A8" w:rsidP="00FB31A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FB31A8">
        <w:rPr>
          <w:rFonts w:ascii="Times New Roman" w:hAnsi="Times New Roman"/>
          <w:bCs/>
          <w:sz w:val="24"/>
          <w:szCs w:val="24"/>
          <w:lang w:eastAsia="pt-BR"/>
        </w:rPr>
        <w:t>Em relação à suspeição,as hipóteses em lei expressadas indicam à suspeita de parcialidade do julgador</w:t>
      </w:r>
      <w:r w:rsidR="004A252B" w:rsidRPr="00FB31A8">
        <w:rPr>
          <w:rFonts w:ascii="Times New Roman" w:hAnsi="Times New Roman"/>
          <w:bCs/>
          <w:sz w:val="24"/>
          <w:szCs w:val="24"/>
          <w:lang w:eastAsia="pt-BR"/>
        </w:rPr>
        <w:t>, presumindo-se e afirmando-se a impossibilidade de que</w:t>
      </w:r>
      <w:r w:rsidRPr="00FB31A8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4A252B" w:rsidRPr="00FB31A8">
        <w:rPr>
          <w:rFonts w:ascii="Times New Roman" w:hAnsi="Times New Roman"/>
          <w:bCs/>
          <w:sz w:val="24"/>
          <w:szCs w:val="24"/>
          <w:lang w:eastAsia="pt-BR"/>
        </w:rPr>
        <w:t>o juiz, como qualquer outro ser humano, venha a examinar e decidir</w:t>
      </w:r>
      <w:r w:rsidRPr="00FB31A8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4A252B" w:rsidRPr="00FB31A8">
        <w:rPr>
          <w:rFonts w:ascii="Times New Roman" w:hAnsi="Times New Roman"/>
          <w:bCs/>
          <w:sz w:val="24"/>
          <w:szCs w:val="24"/>
          <w:lang w:eastAsia="pt-BR"/>
        </w:rPr>
        <w:t>determinada causa de forma isenta ante a condição que em relação a ela</w:t>
      </w:r>
      <w:r w:rsidR="00F71137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4A252B" w:rsidRPr="00FB31A8">
        <w:rPr>
          <w:rFonts w:ascii="Times New Roman" w:hAnsi="Times New Roman"/>
          <w:bCs/>
          <w:sz w:val="24"/>
          <w:szCs w:val="24"/>
          <w:lang w:eastAsia="pt-BR"/>
        </w:rPr>
        <w:t>desfruta.</w:t>
      </w:r>
    </w:p>
    <w:p w:rsidR="004A252B" w:rsidRPr="00FB31A8" w:rsidRDefault="004A252B" w:rsidP="00FB31A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Helvetica-BoldOblique" w:hAnsi="Helvetica-BoldOblique" w:cs="Helvetica-BoldOblique"/>
          <w:b/>
          <w:bCs/>
          <w:i/>
          <w:iCs/>
          <w:sz w:val="23"/>
          <w:szCs w:val="23"/>
          <w:lang w:eastAsia="pt-BR"/>
        </w:rPr>
      </w:pPr>
      <w:r w:rsidRPr="00FB31A8">
        <w:rPr>
          <w:rFonts w:ascii="Times New Roman" w:hAnsi="Times New Roman"/>
          <w:bCs/>
          <w:sz w:val="24"/>
          <w:szCs w:val="24"/>
          <w:lang w:eastAsia="pt-BR"/>
        </w:rPr>
        <w:t xml:space="preserve">Oportuno notar que, ao argüir a parte a </w:t>
      </w:r>
      <w:r w:rsidRPr="00F71137">
        <w:rPr>
          <w:rFonts w:ascii="Times New Roman" w:hAnsi="Times New Roman"/>
          <w:bCs/>
          <w:iCs/>
          <w:sz w:val="24"/>
          <w:szCs w:val="24"/>
          <w:lang w:eastAsia="pt-BR"/>
        </w:rPr>
        <w:t>incompetência relativa</w:t>
      </w:r>
      <w:r w:rsidR="00FB31A8" w:rsidRPr="00F71137">
        <w:rPr>
          <w:rFonts w:ascii="Times New Roman" w:hAnsi="Times New Roman"/>
          <w:bCs/>
          <w:iCs/>
          <w:sz w:val="24"/>
          <w:szCs w:val="24"/>
          <w:lang w:eastAsia="pt-BR"/>
        </w:rPr>
        <w:t>,esta é voltada não para o magistrado como pessoa física,mas sim para a competência do órgão judiciário onde exerce suas funções</w:t>
      </w:r>
      <w:r w:rsidRPr="00F71137">
        <w:rPr>
          <w:rFonts w:ascii="Times New Roman" w:hAnsi="Times New Roman"/>
          <w:bCs/>
          <w:sz w:val="24"/>
          <w:szCs w:val="24"/>
          <w:lang w:eastAsia="pt-BR"/>
        </w:rPr>
        <w:t>.</w:t>
      </w:r>
      <w:r w:rsidRPr="00FB31A8">
        <w:rPr>
          <w:rFonts w:ascii="Times New Roman" w:hAnsi="Times New Roman"/>
          <w:bCs/>
          <w:sz w:val="24"/>
          <w:szCs w:val="24"/>
          <w:lang w:eastAsia="pt-BR"/>
        </w:rPr>
        <w:t xml:space="preserve"> Quando argúi o impedimento ou a suspeição </w:t>
      </w:r>
      <w:r w:rsidR="00FB31A8" w:rsidRPr="00FB31A8">
        <w:rPr>
          <w:rFonts w:ascii="Times New Roman" w:hAnsi="Times New Roman"/>
          <w:bCs/>
          <w:sz w:val="24"/>
          <w:szCs w:val="24"/>
          <w:lang w:eastAsia="pt-BR"/>
        </w:rPr>
        <w:t xml:space="preserve">se faz </w:t>
      </w:r>
      <w:r w:rsidRPr="00FB31A8">
        <w:rPr>
          <w:rFonts w:ascii="Times New Roman" w:hAnsi="Times New Roman"/>
          <w:bCs/>
          <w:sz w:val="24"/>
          <w:szCs w:val="24"/>
          <w:lang w:eastAsia="pt-BR"/>
        </w:rPr>
        <w:t xml:space="preserve">exatamente o contrário, </w:t>
      </w:r>
      <w:r w:rsidR="00FB31A8" w:rsidRPr="00FB31A8">
        <w:rPr>
          <w:rFonts w:ascii="Times New Roman" w:hAnsi="Times New Roman"/>
          <w:bCs/>
          <w:sz w:val="24"/>
          <w:szCs w:val="24"/>
          <w:lang w:eastAsia="pt-BR"/>
        </w:rPr>
        <w:t>sendo assim</w:t>
      </w:r>
      <w:r w:rsidRPr="00FB31A8">
        <w:rPr>
          <w:rFonts w:ascii="Times New Roman" w:hAnsi="Times New Roman"/>
          <w:bCs/>
          <w:sz w:val="24"/>
          <w:szCs w:val="24"/>
          <w:lang w:eastAsia="pt-BR"/>
        </w:rPr>
        <w:t>,</w:t>
      </w:r>
      <w:r w:rsidR="00FB31A8" w:rsidRPr="00FB31A8">
        <w:rPr>
          <w:rFonts w:ascii="Times New Roman" w:hAnsi="Times New Roman"/>
          <w:bCs/>
          <w:sz w:val="24"/>
          <w:szCs w:val="24"/>
          <w:lang w:eastAsia="pt-BR"/>
        </w:rPr>
        <w:t xml:space="preserve"> o pedido é voltado</w:t>
      </w:r>
      <w:r w:rsidRPr="00FB31A8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Pr="00F71137">
        <w:rPr>
          <w:rFonts w:ascii="Times New Roman" w:hAnsi="Times New Roman"/>
          <w:bCs/>
          <w:sz w:val="24"/>
          <w:szCs w:val="24"/>
          <w:lang w:eastAsia="pt-BR"/>
        </w:rPr>
        <w:t xml:space="preserve">a </w:t>
      </w:r>
      <w:r w:rsidRPr="00F71137">
        <w:rPr>
          <w:rFonts w:ascii="Times New Roman" w:hAnsi="Times New Roman"/>
          <w:bCs/>
          <w:iCs/>
          <w:sz w:val="24"/>
          <w:szCs w:val="24"/>
          <w:lang w:eastAsia="pt-BR"/>
        </w:rPr>
        <w:t xml:space="preserve">pessoa física </w:t>
      </w:r>
      <w:r w:rsidRPr="00F71137">
        <w:rPr>
          <w:rFonts w:ascii="Times New Roman" w:hAnsi="Times New Roman"/>
          <w:bCs/>
          <w:sz w:val="24"/>
          <w:szCs w:val="24"/>
          <w:lang w:eastAsia="pt-BR"/>
        </w:rPr>
        <w:t>do juiz e não</w:t>
      </w:r>
      <w:r w:rsidRPr="00FB31A8">
        <w:rPr>
          <w:rFonts w:ascii="Times New Roman" w:hAnsi="Times New Roman"/>
          <w:bCs/>
          <w:sz w:val="24"/>
          <w:szCs w:val="24"/>
          <w:lang w:eastAsia="pt-BR"/>
        </w:rPr>
        <w:t xml:space="preserve"> o órgão judicial</w:t>
      </w:r>
      <w:r w:rsidRPr="004A252B">
        <w:rPr>
          <w:rFonts w:ascii="Helvetica-Bold" w:hAnsi="Helvetica-Bold" w:cs="Helvetica-Bold"/>
          <w:b/>
          <w:bCs/>
          <w:sz w:val="23"/>
          <w:szCs w:val="23"/>
          <w:lang w:eastAsia="pt-BR"/>
        </w:rPr>
        <w:t>.</w:t>
      </w:r>
    </w:p>
    <w:p w:rsidR="00FB31A8" w:rsidRDefault="00FB31A8" w:rsidP="00760B8D">
      <w:pPr>
        <w:spacing w:line="360" w:lineRule="auto"/>
        <w:jc w:val="both"/>
        <w:rPr>
          <w:rFonts w:ascii="Helvetica-Bold" w:hAnsi="Helvetica-Bold" w:cs="Helvetica-Bold"/>
          <w:b/>
          <w:bCs/>
          <w:sz w:val="23"/>
          <w:szCs w:val="23"/>
          <w:lang w:eastAsia="pt-BR"/>
        </w:rPr>
      </w:pPr>
      <w:r>
        <w:rPr>
          <w:rFonts w:ascii="Helvetica-Bold" w:hAnsi="Helvetica-Bold" w:cs="Helvetica-Bold"/>
          <w:b/>
          <w:bCs/>
          <w:sz w:val="23"/>
          <w:szCs w:val="23"/>
          <w:lang w:eastAsia="pt-BR"/>
        </w:rPr>
        <w:t>.</w:t>
      </w:r>
    </w:p>
    <w:p w:rsidR="00FB31A8" w:rsidRDefault="00CD454B" w:rsidP="00FB31A8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31A8">
        <w:rPr>
          <w:rFonts w:ascii="Times New Roman" w:hAnsi="Times New Roman"/>
          <w:b/>
          <w:sz w:val="24"/>
          <w:szCs w:val="24"/>
        </w:rPr>
        <w:t>A Diferença Entre Suspeição e Impedimento.</w:t>
      </w:r>
      <w:r w:rsidR="00820A36">
        <w:rPr>
          <w:rFonts w:ascii="Times New Roman" w:hAnsi="Times New Roman"/>
          <w:b/>
          <w:sz w:val="24"/>
          <w:szCs w:val="24"/>
        </w:rPr>
        <w:t>³</w:t>
      </w:r>
    </w:p>
    <w:p w:rsidR="00FB31A8" w:rsidRPr="00D61820" w:rsidRDefault="00FB31A8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No presente tópico pretende-se explanar as diferenças</w:t>
      </w:r>
      <w:r w:rsidR="00E836BF" w:rsidRPr="00D61820">
        <w:rPr>
          <w:rFonts w:ascii="Times New Roman" w:hAnsi="Times New Roman"/>
          <w:sz w:val="24"/>
          <w:szCs w:val="24"/>
        </w:rPr>
        <w:t xml:space="preserve"> entre suspeição e impedimento ao maximo, deixando claro que não se pretende esgotar o tema tendo em vista a</w:t>
      </w:r>
      <w:r w:rsidR="00085905" w:rsidRPr="00D61820">
        <w:rPr>
          <w:rFonts w:ascii="Times New Roman" w:hAnsi="Times New Roman"/>
          <w:sz w:val="24"/>
          <w:szCs w:val="24"/>
        </w:rPr>
        <w:t>s</w:t>
      </w:r>
      <w:r w:rsidR="00E836BF" w:rsidRPr="00D61820">
        <w:rPr>
          <w:rFonts w:ascii="Times New Roman" w:hAnsi="Times New Roman"/>
          <w:sz w:val="24"/>
          <w:szCs w:val="24"/>
        </w:rPr>
        <w:t xml:space="preserve"> dimens</w:t>
      </w:r>
      <w:r w:rsidR="00085905" w:rsidRPr="00D61820">
        <w:rPr>
          <w:rFonts w:ascii="Times New Roman" w:hAnsi="Times New Roman"/>
          <w:sz w:val="24"/>
          <w:szCs w:val="24"/>
        </w:rPr>
        <w:t>ões</w:t>
      </w:r>
      <w:r w:rsidR="00E836BF" w:rsidRPr="00D61820">
        <w:rPr>
          <w:rFonts w:ascii="Times New Roman" w:hAnsi="Times New Roman"/>
          <w:sz w:val="24"/>
          <w:szCs w:val="24"/>
        </w:rPr>
        <w:t xml:space="preserve"> do trabalho.</w:t>
      </w:r>
      <w:r w:rsidR="00820A36">
        <w:rPr>
          <w:rFonts w:ascii="Times New Roman" w:hAnsi="Times New Roman"/>
          <w:sz w:val="24"/>
          <w:szCs w:val="24"/>
        </w:rPr>
        <w:t>²</w:t>
      </w:r>
    </w:p>
    <w:p w:rsidR="00085905" w:rsidRPr="00D61820" w:rsidRDefault="00D61820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Os dispositivos em que</w:t>
      </w:r>
      <w:r w:rsidR="00085905"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está</w:t>
      </w:r>
      <w:r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 estão</w:t>
      </w:r>
      <w:r w:rsidR="00085905"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contida</w:t>
      </w:r>
      <w:r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 são</w:t>
      </w:r>
      <w:r w:rsidR="00085905"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arts. 134 </w:t>
      </w:r>
      <w:r w:rsidR="00AC1D59"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138</w:t>
      </w:r>
      <w:r w:rsidR="00085905"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do CPC , isso no que </w:t>
      </w:r>
      <w:r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no que diz respeito</w:t>
      </w:r>
      <w:r w:rsidR="00085905"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às hipóteses em que o magistrado é considerado impedido ou suspeito. </w:t>
      </w:r>
      <w:r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Quando se trata </w:t>
      </w:r>
      <w:r w:rsidR="00085905"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de impedimento, o legislador fixou a convicção absoluta de que o magistrado será parcial; </w:t>
      </w:r>
      <w:r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no tocante a segunda hipótese</w:t>
      </w:r>
      <w:r w:rsidR="00085905"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a,</w:t>
      </w:r>
      <w:r w:rsidR="00085905"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de suspeição, há apenas uma presunção relativa de parcialidade. </w:t>
      </w:r>
      <w:r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Sendo assim</w:t>
      </w:r>
      <w:r w:rsidR="00085905" w:rsidRPr="00D618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como já visto alhures, se não for agitada contra ele a exceção própria, a sentença que vier a proferir não será viciada.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O impedimento tem como característica ser objetivo,ao passo que a suspeição é ligada com o subjetivismo do juiz. A imparcialidade do magistrado é um dos pressupostos processuais subjetivos do processo.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No impedimento há presunção absoluta de parcialidade do juiz em determinado processo por ele </w:t>
      </w:r>
      <w:r w:rsidR="00D61820" w:rsidRPr="00D61820">
        <w:rPr>
          <w:rFonts w:ascii="Times New Roman" w:hAnsi="Times New Roman"/>
          <w:sz w:val="24"/>
          <w:szCs w:val="24"/>
        </w:rPr>
        <w:t xml:space="preserve">analisado, </w:t>
      </w:r>
      <w:r w:rsidR="000F3DF7" w:rsidRPr="00D61820">
        <w:rPr>
          <w:rFonts w:ascii="Times New Roman" w:hAnsi="Times New Roman"/>
          <w:sz w:val="24"/>
          <w:szCs w:val="24"/>
        </w:rPr>
        <w:t>de tal que qualquer pessoa na sua posição também seria imparcial</w:t>
      </w:r>
      <w:r w:rsidRPr="00D61820">
        <w:rPr>
          <w:rFonts w:ascii="Times New Roman" w:hAnsi="Times New Roman"/>
          <w:sz w:val="24"/>
          <w:szCs w:val="24"/>
        </w:rPr>
        <w:t>, enquanto na suspeição há apenas presunção relativa</w:t>
      </w:r>
      <w:r w:rsidR="000F3DF7" w:rsidRPr="00D61820">
        <w:rPr>
          <w:rFonts w:ascii="Times New Roman" w:hAnsi="Times New Roman"/>
          <w:sz w:val="24"/>
          <w:szCs w:val="24"/>
        </w:rPr>
        <w:t>,pois apesar de supostamente o juiz não ser imparcial no caso,pode haver hipótese se ser.</w:t>
      </w:r>
      <w:r w:rsidRPr="00D61820">
        <w:rPr>
          <w:rFonts w:ascii="Times New Roman" w:hAnsi="Times New Roman"/>
          <w:sz w:val="24"/>
          <w:szCs w:val="24"/>
        </w:rPr>
        <w:t xml:space="preserve"> 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 O CPC </w:t>
      </w:r>
      <w:r w:rsidR="000F3DF7" w:rsidRPr="00D61820">
        <w:rPr>
          <w:rFonts w:ascii="Times New Roman" w:hAnsi="Times New Roman"/>
          <w:sz w:val="24"/>
          <w:szCs w:val="24"/>
        </w:rPr>
        <w:t>ilustra a relação no caso</w:t>
      </w:r>
      <w:r w:rsidRPr="00D61820">
        <w:rPr>
          <w:rFonts w:ascii="Times New Roman" w:hAnsi="Times New Roman"/>
          <w:sz w:val="24"/>
          <w:szCs w:val="24"/>
        </w:rPr>
        <w:t xml:space="preserve"> que o magistrado está proibido de exercer suas funções em processos de que for parte ou neles tenha atuado como advogado. O juiz será considerado suspeito por sua parcialidade </w:t>
      </w:r>
      <w:r w:rsidR="000F3DF7" w:rsidRPr="00D61820">
        <w:rPr>
          <w:rFonts w:ascii="Times New Roman" w:hAnsi="Times New Roman"/>
          <w:sz w:val="24"/>
          <w:szCs w:val="24"/>
        </w:rPr>
        <w:t>se for</w:t>
      </w:r>
      <w:r w:rsidRPr="00D61820">
        <w:rPr>
          <w:rFonts w:ascii="Times New Roman" w:hAnsi="Times New Roman"/>
          <w:sz w:val="24"/>
          <w:szCs w:val="24"/>
        </w:rPr>
        <w:t xml:space="preserve"> amigo íntimo ou inimigo capital de qualquer das partes, </w:t>
      </w:r>
      <w:r w:rsidR="000F3DF7" w:rsidRPr="00D61820">
        <w:rPr>
          <w:rFonts w:ascii="Times New Roman" w:hAnsi="Times New Roman"/>
          <w:sz w:val="24"/>
          <w:szCs w:val="24"/>
        </w:rPr>
        <w:t>ter recebido agrados ou troca de favores</w:t>
      </w:r>
      <w:r w:rsidRPr="00D61820">
        <w:rPr>
          <w:rFonts w:ascii="Times New Roman" w:hAnsi="Times New Roman"/>
          <w:sz w:val="24"/>
          <w:szCs w:val="24"/>
        </w:rPr>
        <w:t xml:space="preserve"> antes ou depois de iniciado o processo, aconselhar alguma das partes </w:t>
      </w:r>
      <w:r w:rsidR="000F3DF7" w:rsidRPr="00D61820">
        <w:rPr>
          <w:rFonts w:ascii="Times New Roman" w:hAnsi="Times New Roman"/>
          <w:sz w:val="24"/>
          <w:szCs w:val="24"/>
        </w:rPr>
        <w:t>como proceder no decorrer da resolução da lide</w:t>
      </w:r>
      <w:r w:rsidRPr="00D61820">
        <w:rPr>
          <w:rFonts w:ascii="Times New Roman" w:hAnsi="Times New Roman"/>
          <w:sz w:val="24"/>
          <w:szCs w:val="24"/>
        </w:rPr>
        <w:t>, entre outros.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  </w:t>
      </w:r>
      <w:r w:rsidR="00D61820" w:rsidRPr="00D61820">
        <w:rPr>
          <w:rFonts w:ascii="Times New Roman" w:hAnsi="Times New Roman"/>
          <w:sz w:val="24"/>
          <w:szCs w:val="24"/>
        </w:rPr>
        <w:t>Abaixo o</w:t>
      </w:r>
      <w:r w:rsidRPr="00D61820">
        <w:rPr>
          <w:rFonts w:ascii="Times New Roman" w:hAnsi="Times New Roman"/>
          <w:sz w:val="24"/>
          <w:szCs w:val="24"/>
        </w:rPr>
        <w:t xml:space="preserve"> texto integral de dispositivos do CPC que dispõem sobre impedimento e suspeição: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 Art. 134. É defeso ao juiz exercer as suas funções no processo contencioso ou voluntário: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I - de que for parte;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II - em que interveio como mandatário da parte, oficiou como perito, funcionou como órgão do Ministério Público, ou prestou depoimento como testemunha;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III - que conheceu em primeiro grau de jurisdição, tendo-lhe proferido sentença ou decisão; 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IV - quando nele estiver postulando, como advogado da parte, o seu cônjuge ou qualquer parente seu, consangüíneo ou afim, em linha reta; ou na linha colateral até o segundo grau;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V - quando cônjuge, parente, consangüíneo ou afim, de alguma das partes, em linha reta ou, na colateral, até o terceiro grau; 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VI - quando for órgão de direção ou de administração de pessoa jurídica, parte na causa.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Parágrafo único. No caso do no IV, o impedimento só se verifica quando o advogado já estava exercendo o patrocínio da causa; é, porém, vedado ao advogado pleitear no processo, a fim de criar o impedimento do juiz. 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 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Art. 135. Reputa-se fundada a suspeição de parcialidade do juiz, quando: 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I - amigo íntimo ou inimigo capital de qualquer das partes; 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II - alguma das partes for credora ou devedora do juiz, de seu cônjuge ou de parentes destes, em linha reta ou na colateral até o terceiro grau;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lastRenderedPageBreak/>
        <w:t>III - herdeiro presuntivo, donatário ou empregador de alguma das partes;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IV - receber dádivas antes ou depois de iniciado o processo; aconselhar alguma das partes acerca do objeto da causa, ou subministrar meios para atender às despesas do litígio;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V - interessado no julgamento da causa em favor de uma das partes.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Parágrafo único. Poderá ainda o juiz declarar-se suspeito por motivo íntimo.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 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Art. 136. Quando dois ou mais juízes forem parentes, consangüíneos ou afins, em linha reta e no segundo grau na linha colateral, o primeiro, que conhecer da causa no tribunal, impede que o outro participe do julgamento; caso em que o segundo se escusará, remetendo o processo ao seu substituto legal.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 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Art. 137. Aplicam-se os motivos de impedimento e suspeição aos juízes de todos os tribunais. O juiz que violar o dever de abstenção, ou não se declarar suspeito, poderá ser recusado por qualquer das partes (art. 304).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 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Art. 138. Aplicam-se também os motivos de impedimento e de suspeição: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I - ao órgão do Ministério Público, quando não for parte, e, sendo parte, nos casos previstos nos ns. I a IV do art. 135;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II - ao serventuário de justiça;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III - ao perito; (Redação dada pela Lei nº 8.455, de 24.8.1992)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IV - ao intérprete.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§ 1º A parte interessada deverá argüir o impedimento ou a suspeição, em petição fundamentada e devidamente instruída, na primeira oportunidade em que Ihe couber falar nos autos; o juiz mandará processar o incidente em separado e sem suspensão da causa, ouvindo o argüido no prazo de 5 (cinco) dias, facultando a prova quando necessária e julgando o pedido.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§ 2º Nos tribunais caberá ao relator processar e julgar o incidente.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 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Art. 312. A parte oferecerá a exceção de impedimento ou de suspeição, especificando o motivo da recusa (arts. 134 e 135). A petição, dirigida ao juiz da causa, poderá ser instruída com documentos em que o excipiente fundar a alegação e conterá o rol de testemunhas.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 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lastRenderedPageBreak/>
        <w:t>Art. 313. Despachando a petição, o juiz, se reconhecer o impedimento ou a suspeição, ordenará a remessa dos autos ao seu substituto legal; em caso contrário, dentro de 10 (dez) dias, dará as suas razões, acompanhadas de documentos e de rol de testemunhas, se houver, ordenando a remessa dos autos ao tribunal.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 xml:space="preserve"> </w:t>
      </w:r>
    </w:p>
    <w:p w:rsidR="00AC1D59" w:rsidRPr="00D61820" w:rsidRDefault="00AC1D59" w:rsidP="00D61820">
      <w:pPr>
        <w:pStyle w:val="PargrafodaLista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61820">
        <w:rPr>
          <w:rFonts w:ascii="Times New Roman" w:hAnsi="Times New Roman"/>
          <w:sz w:val="24"/>
          <w:szCs w:val="24"/>
        </w:rPr>
        <w:t>Art. 314. Verificando que a exceção não tem fundamento legal, o tribunal determinará o seu arquivamento; no caso contrário condenará o juiz nas custas, mandando remeter os autos ao seu substituto legal.</w:t>
      </w:r>
    </w:p>
    <w:p w:rsidR="00E836BF" w:rsidRPr="00FB31A8" w:rsidRDefault="00E836BF" w:rsidP="00FB31A8">
      <w:pPr>
        <w:pStyle w:val="PargrafodaLista"/>
        <w:spacing w:line="36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FB31A8" w:rsidRDefault="00FB31A8" w:rsidP="00760B8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7EC7" w:rsidRDefault="002E15EB" w:rsidP="003E175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15EB">
        <w:rPr>
          <w:rFonts w:ascii="Times New Roman" w:hAnsi="Times New Roman"/>
          <w:b/>
          <w:sz w:val="24"/>
          <w:szCs w:val="24"/>
        </w:rPr>
        <w:t>Considerações finais.</w:t>
      </w:r>
    </w:p>
    <w:p w:rsidR="003E1755" w:rsidRDefault="003E1755" w:rsidP="00820A36">
      <w:pPr>
        <w:pStyle w:val="Default"/>
        <w:spacing w:after="200" w:line="360" w:lineRule="auto"/>
        <w:jc w:val="both"/>
      </w:pPr>
      <w:r w:rsidRPr="002E15EB">
        <w:t>Diante de tudo acima exposto, ficou demonstrado no corpo do presente artigo</w:t>
      </w:r>
      <w:r>
        <w:t xml:space="preserve"> a notável diferença entre as exceções de impedimento e suspeição</w:t>
      </w:r>
      <w:r w:rsidR="00820A36">
        <w:t>,tanto nos seus objetivos,tanto no que elas englobam</w:t>
      </w:r>
      <w:r>
        <w:t>.</w:t>
      </w:r>
    </w:p>
    <w:p w:rsidR="003E1755" w:rsidRDefault="003E1755" w:rsidP="00820A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Portando,observa-se que quando</w:t>
      </w:r>
      <w:r w:rsidRPr="002E15EB">
        <w:rPr>
          <w:rFonts w:ascii="Times New Roman" w:hAnsi="Times New Roman"/>
          <w:sz w:val="24"/>
          <w:szCs w:val="24"/>
          <w:lang w:eastAsia="pt-BR"/>
        </w:rPr>
        <w:t xml:space="preserve"> surge uma situação prática</w:t>
      </w:r>
      <w:r w:rsidR="00820A36">
        <w:rPr>
          <w:rFonts w:ascii="Times New Roman" w:hAnsi="Times New Roman"/>
          <w:sz w:val="24"/>
          <w:szCs w:val="24"/>
          <w:lang w:eastAsia="pt-BR"/>
        </w:rPr>
        <w:t xml:space="preserve"> as vezes não é claro a escolha</w:t>
      </w:r>
      <w:r w:rsidRPr="002E15EB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820A36">
        <w:rPr>
          <w:rFonts w:ascii="Times New Roman" w:hAnsi="Times New Roman"/>
          <w:sz w:val="24"/>
          <w:szCs w:val="24"/>
          <w:lang w:eastAsia="pt-BR"/>
        </w:rPr>
        <w:t xml:space="preserve">mas </w:t>
      </w:r>
      <w:r w:rsidRPr="002E15EB">
        <w:rPr>
          <w:rFonts w:ascii="Times New Roman" w:hAnsi="Times New Roman"/>
          <w:sz w:val="24"/>
          <w:szCs w:val="24"/>
          <w:lang w:eastAsia="pt-BR"/>
        </w:rPr>
        <w:t>adotando-se a</w:t>
      </w:r>
      <w:r w:rsidR="00820A36">
        <w:rPr>
          <w:rFonts w:ascii="Times New Roman" w:hAnsi="Times New Roman"/>
          <w:sz w:val="24"/>
          <w:szCs w:val="24"/>
          <w:lang w:eastAsia="pt-BR"/>
        </w:rPr>
        <w:t>dotando as diferenças aqui apresentadas,é facilitado</w:t>
      </w:r>
      <w:r w:rsidRPr="002E15EB">
        <w:rPr>
          <w:rFonts w:ascii="Times New Roman" w:hAnsi="Times New Roman"/>
          <w:sz w:val="24"/>
          <w:szCs w:val="24"/>
          <w:lang w:eastAsia="pt-BR"/>
        </w:rPr>
        <w:t xml:space="preserve">. </w:t>
      </w:r>
    </w:p>
    <w:p w:rsidR="003E1755" w:rsidRPr="002E15EB" w:rsidRDefault="003E1755" w:rsidP="00820A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E15EB">
        <w:rPr>
          <w:rFonts w:ascii="Times New Roman" w:hAnsi="Times New Roman"/>
          <w:sz w:val="24"/>
          <w:szCs w:val="24"/>
          <w:lang w:eastAsia="pt-BR"/>
        </w:rPr>
        <w:t>Por</w:t>
      </w:r>
      <w:r>
        <w:rPr>
          <w:rFonts w:ascii="Times New Roman" w:hAnsi="Times New Roman"/>
          <w:sz w:val="24"/>
          <w:szCs w:val="24"/>
          <w:lang w:eastAsia="pt-BR"/>
        </w:rPr>
        <w:t xml:space="preserve"> fim tem-se a noção de que não </w:t>
      </w:r>
      <w:r w:rsidRPr="002E15EB">
        <w:rPr>
          <w:rFonts w:ascii="Times New Roman" w:hAnsi="Times New Roman"/>
          <w:sz w:val="24"/>
          <w:szCs w:val="24"/>
          <w:lang w:eastAsia="pt-BR"/>
        </w:rPr>
        <w:t>se trata</w:t>
      </w:r>
      <w:r w:rsidR="00820A36">
        <w:rPr>
          <w:rFonts w:ascii="Times New Roman" w:hAnsi="Times New Roman"/>
          <w:sz w:val="24"/>
          <w:szCs w:val="24"/>
          <w:lang w:eastAsia="pt-BR"/>
        </w:rPr>
        <w:t xml:space="preserve"> da mesma coisa</w:t>
      </w:r>
      <w:r w:rsidRPr="002E15EB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820A36">
        <w:rPr>
          <w:rFonts w:ascii="Times New Roman" w:hAnsi="Times New Roman"/>
          <w:sz w:val="24"/>
          <w:szCs w:val="24"/>
          <w:lang w:eastAsia="pt-BR"/>
        </w:rPr>
        <w:t>são parecidas,porém, distintas</w:t>
      </w:r>
      <w:r w:rsidRPr="002E15EB">
        <w:rPr>
          <w:rFonts w:ascii="Times New Roman" w:hAnsi="Times New Roman"/>
          <w:sz w:val="24"/>
          <w:szCs w:val="24"/>
          <w:lang w:eastAsia="pt-BR"/>
        </w:rPr>
        <w:t>.</w:t>
      </w:r>
    </w:p>
    <w:p w:rsidR="003E1755" w:rsidRPr="002E15EB" w:rsidRDefault="003E1755" w:rsidP="003E175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7EC7" w:rsidRDefault="00997EC7" w:rsidP="00AC1D59">
      <w:pPr>
        <w:spacing w:beforeLines="240" w:afterLines="200" w:line="360" w:lineRule="auto"/>
        <w:ind w:firstLine="1134"/>
        <w:jc w:val="both"/>
        <w:rPr>
          <w:rFonts w:ascii="Times New Roman" w:hAnsi="Times New Roman"/>
          <w:b/>
          <w:sz w:val="24"/>
          <w:szCs w:val="20"/>
        </w:rPr>
      </w:pPr>
    </w:p>
    <w:p w:rsidR="00997EC7" w:rsidRDefault="00997EC7" w:rsidP="00AC1D59">
      <w:pPr>
        <w:spacing w:beforeLines="240" w:afterLines="200" w:line="360" w:lineRule="auto"/>
        <w:ind w:firstLine="1134"/>
        <w:jc w:val="both"/>
        <w:rPr>
          <w:rFonts w:ascii="Times New Roman" w:hAnsi="Times New Roman"/>
          <w:b/>
          <w:sz w:val="24"/>
          <w:szCs w:val="20"/>
        </w:rPr>
      </w:pPr>
    </w:p>
    <w:p w:rsidR="002E15EB" w:rsidRDefault="009C2472" w:rsidP="00AC1D59">
      <w:pPr>
        <w:spacing w:beforeLines="240" w:afterLines="20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9C24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290.1pt;margin-top:-74.65pt;width:186.95pt;height:110.55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" strokecolor="white">
            <v:textbox style="mso-next-textbox:#Caixa de Texto 2;mso-fit-shape-to-text:t">
              <w:txbxContent>
                <w:p w:rsidR="00997EC7" w:rsidRDefault="00997EC7"/>
              </w:txbxContent>
            </v:textbox>
          </v:shape>
        </w:pict>
      </w:r>
      <w:r w:rsidR="00EE5A8C">
        <w:rPr>
          <w:rFonts w:ascii="Times New Roman" w:hAnsi="Times New Roman"/>
          <w:b/>
          <w:sz w:val="24"/>
          <w:szCs w:val="20"/>
        </w:rPr>
        <w:t xml:space="preserve">        </w:t>
      </w:r>
      <w:r w:rsidR="002E15EB">
        <w:rPr>
          <w:rFonts w:ascii="Times New Roman" w:hAnsi="Times New Roman"/>
          <w:b/>
          <w:sz w:val="24"/>
          <w:szCs w:val="20"/>
        </w:rPr>
        <w:t xml:space="preserve">                              </w:t>
      </w:r>
    </w:p>
    <w:p w:rsidR="00875E1E" w:rsidRDefault="00875E1E" w:rsidP="00AC1D59">
      <w:pPr>
        <w:spacing w:beforeLines="240" w:afterLines="20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875E1E" w:rsidRDefault="00875E1E" w:rsidP="00AC1D59">
      <w:pPr>
        <w:spacing w:beforeLines="240" w:afterLines="20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A0768" w:rsidRDefault="00875E1E" w:rsidP="00AC1D59">
      <w:pPr>
        <w:spacing w:beforeLines="240" w:afterLines="200" w:line="36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lastRenderedPageBreak/>
        <w:t xml:space="preserve">                                            </w:t>
      </w:r>
      <w:r w:rsidR="00EE5A8C">
        <w:rPr>
          <w:rFonts w:ascii="Times New Roman" w:hAnsi="Times New Roman"/>
          <w:b/>
          <w:sz w:val="24"/>
          <w:szCs w:val="20"/>
        </w:rPr>
        <w:t xml:space="preserve">     </w:t>
      </w:r>
      <w:r w:rsidR="00172C49" w:rsidRPr="001A0768">
        <w:rPr>
          <w:rFonts w:ascii="Times New Roman" w:hAnsi="Times New Roman"/>
          <w:b/>
          <w:sz w:val="24"/>
          <w:szCs w:val="20"/>
        </w:rPr>
        <w:t>REFERÊNCIAS</w:t>
      </w:r>
      <w:r w:rsidR="002F7A69">
        <w:rPr>
          <w:rFonts w:ascii="Times New Roman" w:hAnsi="Times New Roman"/>
          <w:b/>
          <w:sz w:val="24"/>
          <w:szCs w:val="20"/>
        </w:rPr>
        <w:t xml:space="preserve"> </w:t>
      </w:r>
    </w:p>
    <w:p w:rsidR="00F806A7" w:rsidRPr="00875E1E" w:rsidRDefault="00F806A7" w:rsidP="00875E1E">
      <w:pPr>
        <w:spacing w:beforeLines="240" w:afterLines="20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5E1E">
        <w:rPr>
          <w:rFonts w:ascii="Times New Roman" w:hAnsi="Times New Roman"/>
          <w:sz w:val="24"/>
          <w:szCs w:val="24"/>
          <w:shd w:val="clear" w:color="auto" w:fill="FFFFFF"/>
        </w:rPr>
        <w:t>DINAMARCO, Cândido Rangel.</w:t>
      </w:r>
      <w:r w:rsidRPr="00875E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75E1E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Instituições de Direito Processual Civil</w:t>
      </w:r>
      <w:r w:rsidRPr="00875E1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  <w:r w:rsidRPr="00875E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75E1E">
        <w:rPr>
          <w:rFonts w:ascii="Times New Roman" w:hAnsi="Times New Roman"/>
          <w:sz w:val="24"/>
          <w:szCs w:val="24"/>
          <w:shd w:val="clear" w:color="auto" w:fill="FFFFFF"/>
        </w:rPr>
        <w:t>V. 3. 5. ed. São Paulo: Malheiros, 2004..</w:t>
      </w:r>
    </w:p>
    <w:p w:rsidR="005C7F5E" w:rsidRPr="00875E1E" w:rsidRDefault="00F806A7" w:rsidP="00875E1E">
      <w:pPr>
        <w:spacing w:beforeLines="240" w:afterLines="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5E1E">
        <w:rPr>
          <w:rFonts w:ascii="Times New Roman" w:hAnsi="Times New Roman"/>
          <w:sz w:val="24"/>
          <w:szCs w:val="24"/>
          <w:shd w:val="clear" w:color="auto" w:fill="FFFFFF"/>
        </w:rPr>
        <w:t>THEODORO JÚNIOR, Humberto</w:t>
      </w:r>
      <w:r w:rsidRPr="00875E1E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875E1E">
        <w:rPr>
          <w:rStyle w:val="apple-converted-space"/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 </w:t>
      </w:r>
      <w:r w:rsidRPr="00875E1E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Curso de Direito Processual Civil.</w:t>
      </w:r>
      <w:r w:rsidRPr="00875E1E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875E1E">
        <w:rPr>
          <w:rFonts w:ascii="Times New Roman" w:hAnsi="Times New Roman"/>
          <w:b/>
          <w:sz w:val="24"/>
          <w:szCs w:val="24"/>
          <w:shd w:val="clear" w:color="auto" w:fill="FFFFFF"/>
        </w:rPr>
        <w:t>Vol.</w:t>
      </w:r>
      <w:r w:rsidRPr="00875E1E">
        <w:rPr>
          <w:rFonts w:ascii="Times New Roman" w:hAnsi="Times New Roman"/>
          <w:sz w:val="24"/>
          <w:szCs w:val="24"/>
          <w:shd w:val="clear" w:color="auto" w:fill="FFFFFF"/>
        </w:rPr>
        <w:t xml:space="preserve"> I, 41 ed. Rio de Janeiro: Forense, 2004.</w:t>
      </w:r>
    </w:p>
    <w:p w:rsidR="00875E1E" w:rsidRDefault="00F71137" w:rsidP="00875E1E">
      <w:pPr>
        <w:spacing w:beforeLines="240" w:afterLines="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5E1E">
        <w:rPr>
          <w:rFonts w:ascii="Times New Roman" w:hAnsi="Times New Roman"/>
          <w:sz w:val="24"/>
          <w:szCs w:val="24"/>
          <w:shd w:val="clear" w:color="auto" w:fill="FFFFFF"/>
        </w:rPr>
        <w:t>MIRANDA, Pontes.</w:t>
      </w:r>
      <w:r w:rsidRPr="00875E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75E1E">
        <w:rPr>
          <w:rStyle w:val="nfase"/>
          <w:rFonts w:ascii="Times New Roman" w:hAnsi="Times New Roman"/>
          <w:b/>
          <w:sz w:val="24"/>
          <w:szCs w:val="24"/>
          <w:shd w:val="clear" w:color="auto" w:fill="FFFFFF"/>
        </w:rPr>
        <w:t>Comentários ao código de processo civil</w:t>
      </w:r>
      <w:r w:rsidRPr="00875E1E">
        <w:rPr>
          <w:rFonts w:ascii="Times New Roman" w:hAnsi="Times New Roman"/>
          <w:sz w:val="24"/>
          <w:szCs w:val="24"/>
          <w:shd w:val="clear" w:color="auto" w:fill="FFFFFF"/>
        </w:rPr>
        <w:t>. Tomo II. 3ª ed. – Rio de Janeiro: Forense, 1997.</w:t>
      </w:r>
    </w:p>
    <w:p w:rsidR="00820A36" w:rsidRPr="00875E1E" w:rsidRDefault="00875E1E" w:rsidP="00875E1E">
      <w:pPr>
        <w:spacing w:beforeLines="240" w:afterLines="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5E1E">
        <w:rPr>
          <w:rFonts w:ascii="Times New Roman" w:hAnsi="Times New Roman"/>
          <w:b/>
          <w:bCs/>
          <w:sz w:val="24"/>
          <w:szCs w:val="24"/>
          <w:lang w:eastAsia="pt-BR"/>
        </w:rPr>
        <w:t>Entenda as diferenças entre impedimento e suspeição</w:t>
      </w:r>
      <w:r w:rsidRPr="00875E1E">
        <w:rPr>
          <w:rFonts w:ascii="Times New Roman" w:hAnsi="Times New Roman"/>
          <w:bCs/>
          <w:sz w:val="24"/>
          <w:szCs w:val="24"/>
          <w:lang w:eastAsia="pt-BR"/>
        </w:rPr>
        <w:t>.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Pr="00875E1E">
        <w:rPr>
          <w:rFonts w:ascii="Times New Roman" w:hAnsi="Times New Roman"/>
          <w:bCs/>
          <w:sz w:val="24"/>
          <w:szCs w:val="24"/>
          <w:lang w:eastAsia="pt-BR"/>
        </w:rPr>
        <w:t>Disponivel em: &lt;</w:t>
      </w:r>
      <w:hyperlink r:id="rId8" w:tgtFrame="_blank" w:history="1">
        <w:r w:rsidR="00820A36" w:rsidRPr="00875E1E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http://procuradoriafederal.ufsc.br/files/2010/06/Impedimento-e-Suspei%C3%A7%C3%A3o2.pdf</w:t>
        </w:r>
      </w:hyperlink>
      <w:r w:rsidRPr="00875E1E">
        <w:rPr>
          <w:rFonts w:ascii="Times New Roman" w:hAnsi="Times New Roman"/>
          <w:sz w:val="24"/>
          <w:szCs w:val="24"/>
        </w:rPr>
        <w:t>&gt;. Acesso em: 20 julho.2013</w:t>
      </w:r>
    </w:p>
    <w:p w:rsidR="00820A36" w:rsidRPr="00F71137" w:rsidRDefault="00820A36" w:rsidP="009C2472">
      <w:pPr>
        <w:spacing w:beforeLines="240" w:afterLines="200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sectPr w:rsidR="00820A36" w:rsidRPr="00F71137" w:rsidSect="00820A36">
      <w:headerReference w:type="default" r:id="rId9"/>
      <w:footerReference w:type="even" r:id="rId10"/>
      <w:pgSz w:w="11906" w:h="16838"/>
      <w:pgMar w:top="1701" w:right="1134" w:bottom="113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56" w:rsidRDefault="00393D56" w:rsidP="009D66FF">
      <w:pPr>
        <w:spacing w:after="0" w:line="240" w:lineRule="auto"/>
      </w:pPr>
      <w:r>
        <w:separator/>
      </w:r>
    </w:p>
  </w:endnote>
  <w:endnote w:type="continuationSeparator" w:id="1">
    <w:p w:rsidR="00393D56" w:rsidRDefault="00393D56" w:rsidP="009D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1E" w:rsidRDefault="00875E1E" w:rsidP="00875E1E">
    <w:pPr>
      <w:pStyle w:val="Rodap"/>
    </w:pPr>
    <w:r>
      <w:t xml:space="preserve">³ capitulo baseado no </w:t>
    </w:r>
    <w:r w:rsidRPr="00820A36">
      <w:rPr>
        <w:rFonts w:asciiTheme="minorHAnsi" w:hAnsiTheme="minorHAnsi" w:cstheme="minorHAnsi"/>
        <w:sz w:val="20"/>
        <w:szCs w:val="20"/>
      </w:rPr>
      <w:t xml:space="preserve">texto </w:t>
    </w:r>
    <w:r w:rsidRPr="00820A36">
      <w:rPr>
        <w:rFonts w:asciiTheme="minorHAnsi" w:hAnsiTheme="minorHAnsi" w:cstheme="minorHAnsi"/>
        <w:bCs/>
        <w:sz w:val="20"/>
        <w:szCs w:val="20"/>
        <w:lang w:eastAsia="pt-BR"/>
      </w:rPr>
      <w:t>Entenda as diferenças entre impedimento e suspeição</w:t>
    </w:r>
    <w:r>
      <w:rPr>
        <w:rFonts w:asciiTheme="minorHAnsi" w:hAnsiTheme="minorHAnsi" w:cstheme="minorHAnsi"/>
        <w:bCs/>
        <w:sz w:val="20"/>
        <w:szCs w:val="20"/>
        <w:lang w:eastAsia="pt-BR"/>
      </w:rPr>
      <w:t>.</w:t>
    </w:r>
  </w:p>
  <w:p w:rsidR="00820A36" w:rsidRDefault="00820A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56" w:rsidRDefault="00393D56" w:rsidP="009D66FF">
      <w:pPr>
        <w:spacing w:after="0" w:line="240" w:lineRule="auto"/>
      </w:pPr>
      <w:r>
        <w:separator/>
      </w:r>
    </w:p>
  </w:footnote>
  <w:footnote w:type="continuationSeparator" w:id="1">
    <w:p w:rsidR="00393D56" w:rsidRDefault="00393D56" w:rsidP="009D66FF">
      <w:pPr>
        <w:spacing w:after="0" w:line="240" w:lineRule="auto"/>
      </w:pPr>
      <w:r>
        <w:continuationSeparator/>
      </w:r>
    </w:p>
  </w:footnote>
  <w:footnote w:id="2">
    <w:p w:rsidR="00CD15AC" w:rsidRPr="00FD121B" w:rsidRDefault="00CD15AC" w:rsidP="00CD15AC">
      <w:pPr>
        <w:pStyle w:val="Textodenotaderodap"/>
        <w:jc w:val="both"/>
        <w:rPr>
          <w:rFonts w:ascii="Times New Roman" w:hAnsi="Times New Roman"/>
        </w:rPr>
      </w:pPr>
      <w:r w:rsidRPr="00FD121B">
        <w:rPr>
          <w:rStyle w:val="Refdenotaderodap"/>
          <w:rFonts w:ascii="Times New Roman" w:hAnsi="Times New Roman"/>
        </w:rPr>
        <w:footnoteRef/>
      </w:r>
      <w:r w:rsidRPr="00FD121B">
        <w:rPr>
          <w:rFonts w:ascii="Times New Roman" w:hAnsi="Times New Roman"/>
        </w:rPr>
        <w:t xml:space="preserve"> Estudante do 3º período do curso de Direito da Unidade de Ensino Superior Dom Bosco – UNDB, e-mail: paulo_nogueira93@hotmail.com;</w:t>
      </w:r>
    </w:p>
  </w:footnote>
  <w:footnote w:id="3">
    <w:p w:rsidR="00CD15AC" w:rsidRPr="009D66FF" w:rsidRDefault="00CD15AC" w:rsidP="00CD15AC">
      <w:pPr>
        <w:pStyle w:val="Textodenotaderodap"/>
        <w:jc w:val="both"/>
        <w:rPr>
          <w:rFonts w:ascii="Times New Roman" w:hAnsi="Times New Roman"/>
        </w:rPr>
      </w:pPr>
      <w:r w:rsidRPr="00FD121B">
        <w:rPr>
          <w:rStyle w:val="Refdenotaderodap"/>
          <w:rFonts w:ascii="Times New Roman" w:hAnsi="Times New Roman"/>
        </w:rPr>
        <w:footnoteRef/>
      </w:r>
      <w:r w:rsidRPr="00FD121B">
        <w:rPr>
          <w:rFonts w:ascii="Times New Roman" w:hAnsi="Times New Roman"/>
        </w:rPr>
        <w:t xml:space="preserve">Estudante do 3º período do curso de Direito da Unidade de Ensino Superior Dom Bosco – UNDB, e-mail: </w:t>
      </w:r>
      <w:r>
        <w:rPr>
          <w:rFonts w:ascii="Times New Roman" w:hAnsi="Times New Roman"/>
        </w:rPr>
        <w:t>Ayrton-bruts</w:t>
      </w:r>
      <w:r w:rsidRPr="00FD121B">
        <w:rPr>
          <w:rFonts w:ascii="Times New Roman" w:hAnsi="Times New Roman"/>
        </w:rPr>
        <w:t>@gmail.com</w:t>
      </w:r>
      <w:r>
        <w:rPr>
          <w:rFonts w:ascii="Times New Roman" w:hAnsi="Times New Roman"/>
        </w:rPr>
        <w:t>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90" w:rsidRDefault="009C2472">
    <w:pPr>
      <w:pStyle w:val="Cabealho"/>
      <w:jc w:val="right"/>
    </w:pPr>
    <w:fldSimple w:instr="PAGE   \* MERGEFORMAT">
      <w:r w:rsidR="00875E1E">
        <w:rPr>
          <w:noProof/>
        </w:rPr>
        <w:t>3</w:t>
      </w:r>
    </w:fldSimple>
  </w:p>
  <w:p w:rsidR="00C0503E" w:rsidRDefault="00BB1790" w:rsidP="00F16725">
    <w:pPr>
      <w:pStyle w:val="Cabealho"/>
      <w:ind w:left="-1134"/>
    </w:pPr>
    <w:r>
      <w:object w:dxaOrig="9869" w:dyaOrig="1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28.45pt" o:ole="" fillcolor="window">
          <v:imagedata r:id="rId1" o:title=""/>
        </v:shape>
        <o:OLEObject Type="Embed" ProgID="CorelDraw.Graphic.10" ShapeID="_x0000_i1025" DrawAspect="Content" ObjectID="_143640193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69"/>
    <w:multiLevelType w:val="hybridMultilevel"/>
    <w:tmpl w:val="30743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274B"/>
    <w:multiLevelType w:val="hybridMultilevel"/>
    <w:tmpl w:val="C5C827D4"/>
    <w:lvl w:ilvl="0" w:tplc="632E5E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0325D"/>
    <w:multiLevelType w:val="hybridMultilevel"/>
    <w:tmpl w:val="21E493CE"/>
    <w:lvl w:ilvl="0" w:tplc="15A23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7F2E"/>
    <w:multiLevelType w:val="multilevel"/>
    <w:tmpl w:val="9FC85D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361F61"/>
    <w:multiLevelType w:val="hybridMultilevel"/>
    <w:tmpl w:val="00CCE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0274D"/>
    <w:multiLevelType w:val="hybridMultilevel"/>
    <w:tmpl w:val="EF80C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37449"/>
    <w:multiLevelType w:val="multilevel"/>
    <w:tmpl w:val="B4B2C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7">
    <w:nsid w:val="15A87986"/>
    <w:multiLevelType w:val="multilevel"/>
    <w:tmpl w:val="4A22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AAC5ED9"/>
    <w:multiLevelType w:val="multilevel"/>
    <w:tmpl w:val="C94AB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031354D"/>
    <w:multiLevelType w:val="multilevel"/>
    <w:tmpl w:val="30907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4785410"/>
    <w:multiLevelType w:val="hybridMultilevel"/>
    <w:tmpl w:val="439E83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9BC4344"/>
    <w:multiLevelType w:val="hybridMultilevel"/>
    <w:tmpl w:val="C494EBC2"/>
    <w:lvl w:ilvl="0" w:tplc="1AAED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91936"/>
    <w:multiLevelType w:val="multilevel"/>
    <w:tmpl w:val="C80619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5BA043E"/>
    <w:multiLevelType w:val="hybridMultilevel"/>
    <w:tmpl w:val="0BE21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B3327"/>
    <w:multiLevelType w:val="multilevel"/>
    <w:tmpl w:val="C7463A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15">
    <w:nsid w:val="66A519B8"/>
    <w:multiLevelType w:val="multilevel"/>
    <w:tmpl w:val="9FB0D2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90B688A"/>
    <w:multiLevelType w:val="hybridMultilevel"/>
    <w:tmpl w:val="2190E2D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A52AA"/>
    <w:multiLevelType w:val="multilevel"/>
    <w:tmpl w:val="3160B5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17"/>
  </w:num>
  <w:num w:numId="11">
    <w:abstractNumId w:val="16"/>
  </w:num>
  <w:num w:numId="12">
    <w:abstractNumId w:val="7"/>
  </w:num>
  <w:num w:numId="13">
    <w:abstractNumId w:val="2"/>
  </w:num>
  <w:num w:numId="14">
    <w:abstractNumId w:val="11"/>
  </w:num>
  <w:num w:numId="15">
    <w:abstractNumId w:val="8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9D66FF"/>
    <w:rsid w:val="000030B9"/>
    <w:rsid w:val="000067BA"/>
    <w:rsid w:val="00023163"/>
    <w:rsid w:val="00026A30"/>
    <w:rsid w:val="00034878"/>
    <w:rsid w:val="0003550E"/>
    <w:rsid w:val="00035829"/>
    <w:rsid w:val="00037C3B"/>
    <w:rsid w:val="00044066"/>
    <w:rsid w:val="000445FF"/>
    <w:rsid w:val="000532E2"/>
    <w:rsid w:val="000570BE"/>
    <w:rsid w:val="00057502"/>
    <w:rsid w:val="00061BFB"/>
    <w:rsid w:val="00066AA2"/>
    <w:rsid w:val="000834E3"/>
    <w:rsid w:val="000842F5"/>
    <w:rsid w:val="00085102"/>
    <w:rsid w:val="00085905"/>
    <w:rsid w:val="0008732A"/>
    <w:rsid w:val="00091786"/>
    <w:rsid w:val="000A01B5"/>
    <w:rsid w:val="000A2AE6"/>
    <w:rsid w:val="000A4534"/>
    <w:rsid w:val="000A52F4"/>
    <w:rsid w:val="000A5A26"/>
    <w:rsid w:val="000A6812"/>
    <w:rsid w:val="000A71DD"/>
    <w:rsid w:val="000B2DAC"/>
    <w:rsid w:val="000C034B"/>
    <w:rsid w:val="000C09A3"/>
    <w:rsid w:val="000C0A71"/>
    <w:rsid w:val="000C1C04"/>
    <w:rsid w:val="000C43A7"/>
    <w:rsid w:val="000C5512"/>
    <w:rsid w:val="000D1D9D"/>
    <w:rsid w:val="000D22FE"/>
    <w:rsid w:val="000E441E"/>
    <w:rsid w:val="000E782D"/>
    <w:rsid w:val="000F3DF7"/>
    <w:rsid w:val="000F4371"/>
    <w:rsid w:val="000F5AE9"/>
    <w:rsid w:val="001009F6"/>
    <w:rsid w:val="00102BFF"/>
    <w:rsid w:val="00107CEA"/>
    <w:rsid w:val="0011499D"/>
    <w:rsid w:val="00122498"/>
    <w:rsid w:val="00124D54"/>
    <w:rsid w:val="00127C02"/>
    <w:rsid w:val="00131D7C"/>
    <w:rsid w:val="00151EE2"/>
    <w:rsid w:val="001537BC"/>
    <w:rsid w:val="00165C6F"/>
    <w:rsid w:val="00172C49"/>
    <w:rsid w:val="00175F24"/>
    <w:rsid w:val="001A0768"/>
    <w:rsid w:val="001A3299"/>
    <w:rsid w:val="001B619D"/>
    <w:rsid w:val="001C2CC7"/>
    <w:rsid w:val="001C41D9"/>
    <w:rsid w:val="001C4FEE"/>
    <w:rsid w:val="001C6D22"/>
    <w:rsid w:val="001D0CF3"/>
    <w:rsid w:val="001D154D"/>
    <w:rsid w:val="001D30E0"/>
    <w:rsid w:val="001E1FCA"/>
    <w:rsid w:val="001F7397"/>
    <w:rsid w:val="001F7BF8"/>
    <w:rsid w:val="0020509F"/>
    <w:rsid w:val="0021015E"/>
    <w:rsid w:val="002238EF"/>
    <w:rsid w:val="00231819"/>
    <w:rsid w:val="00235270"/>
    <w:rsid w:val="0024063A"/>
    <w:rsid w:val="00254F79"/>
    <w:rsid w:val="002564CD"/>
    <w:rsid w:val="00261C05"/>
    <w:rsid w:val="00262282"/>
    <w:rsid w:val="00264F99"/>
    <w:rsid w:val="002775C7"/>
    <w:rsid w:val="002775D5"/>
    <w:rsid w:val="00283BD3"/>
    <w:rsid w:val="00283F85"/>
    <w:rsid w:val="00284A98"/>
    <w:rsid w:val="00284DD2"/>
    <w:rsid w:val="00286E50"/>
    <w:rsid w:val="00287D37"/>
    <w:rsid w:val="00290402"/>
    <w:rsid w:val="00290774"/>
    <w:rsid w:val="00291E16"/>
    <w:rsid w:val="002A183D"/>
    <w:rsid w:val="002A3841"/>
    <w:rsid w:val="002A509A"/>
    <w:rsid w:val="002B14DD"/>
    <w:rsid w:val="002C10AD"/>
    <w:rsid w:val="002D3891"/>
    <w:rsid w:val="002D61F9"/>
    <w:rsid w:val="002E1105"/>
    <w:rsid w:val="002E15EB"/>
    <w:rsid w:val="002E4C5B"/>
    <w:rsid w:val="002E53DC"/>
    <w:rsid w:val="002F0D5F"/>
    <w:rsid w:val="002F7A69"/>
    <w:rsid w:val="00300560"/>
    <w:rsid w:val="00310DA2"/>
    <w:rsid w:val="003173C1"/>
    <w:rsid w:val="00324390"/>
    <w:rsid w:val="003259E7"/>
    <w:rsid w:val="00326F42"/>
    <w:rsid w:val="00336F86"/>
    <w:rsid w:val="00342230"/>
    <w:rsid w:val="003472D9"/>
    <w:rsid w:val="00347E47"/>
    <w:rsid w:val="003502EA"/>
    <w:rsid w:val="003542CE"/>
    <w:rsid w:val="003651C5"/>
    <w:rsid w:val="003670FD"/>
    <w:rsid w:val="00376F42"/>
    <w:rsid w:val="00380AC5"/>
    <w:rsid w:val="003815EA"/>
    <w:rsid w:val="00381E8E"/>
    <w:rsid w:val="00382865"/>
    <w:rsid w:val="003829E5"/>
    <w:rsid w:val="00382AB7"/>
    <w:rsid w:val="003877B8"/>
    <w:rsid w:val="003924F2"/>
    <w:rsid w:val="00393D56"/>
    <w:rsid w:val="003A0604"/>
    <w:rsid w:val="003A7B78"/>
    <w:rsid w:val="003B13EE"/>
    <w:rsid w:val="003B73B9"/>
    <w:rsid w:val="003C7763"/>
    <w:rsid w:val="003C7E1B"/>
    <w:rsid w:val="003D2D6A"/>
    <w:rsid w:val="003E1755"/>
    <w:rsid w:val="003E414E"/>
    <w:rsid w:val="003F3513"/>
    <w:rsid w:val="003F58A9"/>
    <w:rsid w:val="004002A9"/>
    <w:rsid w:val="00400527"/>
    <w:rsid w:val="00400832"/>
    <w:rsid w:val="00403B58"/>
    <w:rsid w:val="0040734B"/>
    <w:rsid w:val="004155B9"/>
    <w:rsid w:val="00421290"/>
    <w:rsid w:val="0042160E"/>
    <w:rsid w:val="00434C70"/>
    <w:rsid w:val="004409C2"/>
    <w:rsid w:val="00450BF0"/>
    <w:rsid w:val="00452227"/>
    <w:rsid w:val="00461495"/>
    <w:rsid w:val="004630E8"/>
    <w:rsid w:val="00467135"/>
    <w:rsid w:val="00470383"/>
    <w:rsid w:val="00472799"/>
    <w:rsid w:val="004806F4"/>
    <w:rsid w:val="0049079C"/>
    <w:rsid w:val="00491062"/>
    <w:rsid w:val="00492FAB"/>
    <w:rsid w:val="004A252B"/>
    <w:rsid w:val="004B057E"/>
    <w:rsid w:val="004C5C36"/>
    <w:rsid w:val="004E19F0"/>
    <w:rsid w:val="004F0EF4"/>
    <w:rsid w:val="004F3C54"/>
    <w:rsid w:val="0050105C"/>
    <w:rsid w:val="00502001"/>
    <w:rsid w:val="00504043"/>
    <w:rsid w:val="00507E38"/>
    <w:rsid w:val="00510623"/>
    <w:rsid w:val="0052427E"/>
    <w:rsid w:val="005419EC"/>
    <w:rsid w:val="00553A02"/>
    <w:rsid w:val="00553F07"/>
    <w:rsid w:val="00560A3F"/>
    <w:rsid w:val="00561FED"/>
    <w:rsid w:val="0056234F"/>
    <w:rsid w:val="00572422"/>
    <w:rsid w:val="00591B5C"/>
    <w:rsid w:val="0059778A"/>
    <w:rsid w:val="005A23E0"/>
    <w:rsid w:val="005A38FB"/>
    <w:rsid w:val="005B2054"/>
    <w:rsid w:val="005C7DCE"/>
    <w:rsid w:val="005C7F5E"/>
    <w:rsid w:val="005D0788"/>
    <w:rsid w:val="005D33C1"/>
    <w:rsid w:val="005D4EE9"/>
    <w:rsid w:val="005E3428"/>
    <w:rsid w:val="005F3F76"/>
    <w:rsid w:val="005F7F3D"/>
    <w:rsid w:val="006024D7"/>
    <w:rsid w:val="006061FB"/>
    <w:rsid w:val="00622537"/>
    <w:rsid w:val="006226A3"/>
    <w:rsid w:val="006245E1"/>
    <w:rsid w:val="00625370"/>
    <w:rsid w:val="00632DDF"/>
    <w:rsid w:val="006366D3"/>
    <w:rsid w:val="00636E3C"/>
    <w:rsid w:val="00637294"/>
    <w:rsid w:val="006400BF"/>
    <w:rsid w:val="00646A25"/>
    <w:rsid w:val="006501E7"/>
    <w:rsid w:val="0065687E"/>
    <w:rsid w:val="006575E8"/>
    <w:rsid w:val="00662C31"/>
    <w:rsid w:val="00663471"/>
    <w:rsid w:val="006644D2"/>
    <w:rsid w:val="00667E0C"/>
    <w:rsid w:val="00671C21"/>
    <w:rsid w:val="00680A32"/>
    <w:rsid w:val="00691514"/>
    <w:rsid w:val="00696B2A"/>
    <w:rsid w:val="006B38C1"/>
    <w:rsid w:val="006C32A3"/>
    <w:rsid w:val="006D1458"/>
    <w:rsid w:val="006E7E53"/>
    <w:rsid w:val="006F0405"/>
    <w:rsid w:val="006F05BE"/>
    <w:rsid w:val="006F1100"/>
    <w:rsid w:val="006F6569"/>
    <w:rsid w:val="0070224B"/>
    <w:rsid w:val="00703151"/>
    <w:rsid w:val="0070397A"/>
    <w:rsid w:val="00706656"/>
    <w:rsid w:val="00712346"/>
    <w:rsid w:val="00715245"/>
    <w:rsid w:val="007154CB"/>
    <w:rsid w:val="007176BB"/>
    <w:rsid w:val="0073071E"/>
    <w:rsid w:val="00737851"/>
    <w:rsid w:val="00741122"/>
    <w:rsid w:val="00746367"/>
    <w:rsid w:val="007479EC"/>
    <w:rsid w:val="00750C56"/>
    <w:rsid w:val="00750C61"/>
    <w:rsid w:val="0075225A"/>
    <w:rsid w:val="00760B8D"/>
    <w:rsid w:val="0076419F"/>
    <w:rsid w:val="00772030"/>
    <w:rsid w:val="00777D38"/>
    <w:rsid w:val="00780289"/>
    <w:rsid w:val="0079105F"/>
    <w:rsid w:val="007A094C"/>
    <w:rsid w:val="007A2B5C"/>
    <w:rsid w:val="007A5C08"/>
    <w:rsid w:val="007B775A"/>
    <w:rsid w:val="007C16A2"/>
    <w:rsid w:val="007C444A"/>
    <w:rsid w:val="007D1DC7"/>
    <w:rsid w:val="007D3BFB"/>
    <w:rsid w:val="007D56AF"/>
    <w:rsid w:val="007E04AF"/>
    <w:rsid w:val="007E1782"/>
    <w:rsid w:val="007E2A93"/>
    <w:rsid w:val="007E56EA"/>
    <w:rsid w:val="007E6AC7"/>
    <w:rsid w:val="007F3122"/>
    <w:rsid w:val="007F5DA6"/>
    <w:rsid w:val="00801759"/>
    <w:rsid w:val="00804172"/>
    <w:rsid w:val="00805C13"/>
    <w:rsid w:val="0081270E"/>
    <w:rsid w:val="008150F2"/>
    <w:rsid w:val="00820A36"/>
    <w:rsid w:val="00821BDB"/>
    <w:rsid w:val="00821DC1"/>
    <w:rsid w:val="00823111"/>
    <w:rsid w:val="00826B34"/>
    <w:rsid w:val="00827A4E"/>
    <w:rsid w:val="0083114D"/>
    <w:rsid w:val="00831464"/>
    <w:rsid w:val="00833F52"/>
    <w:rsid w:val="00834C18"/>
    <w:rsid w:val="00836935"/>
    <w:rsid w:val="008369A7"/>
    <w:rsid w:val="00846F60"/>
    <w:rsid w:val="008554EF"/>
    <w:rsid w:val="00855CD3"/>
    <w:rsid w:val="00856549"/>
    <w:rsid w:val="00866DEE"/>
    <w:rsid w:val="00867C0E"/>
    <w:rsid w:val="00870B7D"/>
    <w:rsid w:val="008734F6"/>
    <w:rsid w:val="008753E5"/>
    <w:rsid w:val="00875E1E"/>
    <w:rsid w:val="00881422"/>
    <w:rsid w:val="0088165E"/>
    <w:rsid w:val="008872EB"/>
    <w:rsid w:val="00895D1E"/>
    <w:rsid w:val="0089616A"/>
    <w:rsid w:val="00896FBD"/>
    <w:rsid w:val="008A6F00"/>
    <w:rsid w:val="008B2199"/>
    <w:rsid w:val="008B42AB"/>
    <w:rsid w:val="008C3E56"/>
    <w:rsid w:val="008C50B7"/>
    <w:rsid w:val="008C53B4"/>
    <w:rsid w:val="008D38B7"/>
    <w:rsid w:val="008E7F4A"/>
    <w:rsid w:val="008F3910"/>
    <w:rsid w:val="00900C2C"/>
    <w:rsid w:val="00902696"/>
    <w:rsid w:val="00905247"/>
    <w:rsid w:val="00905894"/>
    <w:rsid w:val="009118E2"/>
    <w:rsid w:val="009147A9"/>
    <w:rsid w:val="00914C19"/>
    <w:rsid w:val="00920CAD"/>
    <w:rsid w:val="00923274"/>
    <w:rsid w:val="009254BC"/>
    <w:rsid w:val="009457AE"/>
    <w:rsid w:val="00946A53"/>
    <w:rsid w:val="00946DA7"/>
    <w:rsid w:val="009515D2"/>
    <w:rsid w:val="00953003"/>
    <w:rsid w:val="00954635"/>
    <w:rsid w:val="00961A3F"/>
    <w:rsid w:val="009621E6"/>
    <w:rsid w:val="009678C3"/>
    <w:rsid w:val="009718F9"/>
    <w:rsid w:val="00972C72"/>
    <w:rsid w:val="00977304"/>
    <w:rsid w:val="00997EC7"/>
    <w:rsid w:val="009A1A75"/>
    <w:rsid w:val="009A44D4"/>
    <w:rsid w:val="009A4806"/>
    <w:rsid w:val="009A5BFB"/>
    <w:rsid w:val="009A77B1"/>
    <w:rsid w:val="009B4954"/>
    <w:rsid w:val="009B6151"/>
    <w:rsid w:val="009B78E5"/>
    <w:rsid w:val="009C2472"/>
    <w:rsid w:val="009C62BB"/>
    <w:rsid w:val="009D346F"/>
    <w:rsid w:val="009D66FF"/>
    <w:rsid w:val="009E2EDB"/>
    <w:rsid w:val="009F4FC9"/>
    <w:rsid w:val="00A04ABE"/>
    <w:rsid w:val="00A0777D"/>
    <w:rsid w:val="00A07CCA"/>
    <w:rsid w:val="00A11FB6"/>
    <w:rsid w:val="00A15DE8"/>
    <w:rsid w:val="00A27CC1"/>
    <w:rsid w:val="00A30F92"/>
    <w:rsid w:val="00A317C0"/>
    <w:rsid w:val="00A343E0"/>
    <w:rsid w:val="00A34BAC"/>
    <w:rsid w:val="00A4079D"/>
    <w:rsid w:val="00A40999"/>
    <w:rsid w:val="00A44646"/>
    <w:rsid w:val="00A44F21"/>
    <w:rsid w:val="00A513EC"/>
    <w:rsid w:val="00A637B0"/>
    <w:rsid w:val="00A642C9"/>
    <w:rsid w:val="00A7257C"/>
    <w:rsid w:val="00A73D19"/>
    <w:rsid w:val="00A7403A"/>
    <w:rsid w:val="00A94295"/>
    <w:rsid w:val="00A972B5"/>
    <w:rsid w:val="00AA123B"/>
    <w:rsid w:val="00AA3F7B"/>
    <w:rsid w:val="00AB2CCF"/>
    <w:rsid w:val="00AC0EC6"/>
    <w:rsid w:val="00AC1CF1"/>
    <w:rsid w:val="00AC1D59"/>
    <w:rsid w:val="00AC4886"/>
    <w:rsid w:val="00AD0578"/>
    <w:rsid w:val="00AD1546"/>
    <w:rsid w:val="00AD7249"/>
    <w:rsid w:val="00AE15EF"/>
    <w:rsid w:val="00AE2309"/>
    <w:rsid w:val="00AF37BB"/>
    <w:rsid w:val="00AF4B91"/>
    <w:rsid w:val="00AF5053"/>
    <w:rsid w:val="00AF714B"/>
    <w:rsid w:val="00B000F4"/>
    <w:rsid w:val="00B0273D"/>
    <w:rsid w:val="00B059A2"/>
    <w:rsid w:val="00B123ED"/>
    <w:rsid w:val="00B22B65"/>
    <w:rsid w:val="00B271CA"/>
    <w:rsid w:val="00B301C9"/>
    <w:rsid w:val="00B32FC3"/>
    <w:rsid w:val="00B34D11"/>
    <w:rsid w:val="00B35C9C"/>
    <w:rsid w:val="00B37A65"/>
    <w:rsid w:val="00B402A5"/>
    <w:rsid w:val="00B41708"/>
    <w:rsid w:val="00B57A0D"/>
    <w:rsid w:val="00B648CD"/>
    <w:rsid w:val="00B71A30"/>
    <w:rsid w:val="00B737F5"/>
    <w:rsid w:val="00B80860"/>
    <w:rsid w:val="00B87E28"/>
    <w:rsid w:val="00BA1FDB"/>
    <w:rsid w:val="00BA3105"/>
    <w:rsid w:val="00BA4124"/>
    <w:rsid w:val="00BB1790"/>
    <w:rsid w:val="00BB6C17"/>
    <w:rsid w:val="00BC3C73"/>
    <w:rsid w:val="00BC6766"/>
    <w:rsid w:val="00BC742C"/>
    <w:rsid w:val="00BD034C"/>
    <w:rsid w:val="00BD4D92"/>
    <w:rsid w:val="00BF0ED3"/>
    <w:rsid w:val="00BF268E"/>
    <w:rsid w:val="00C04EA9"/>
    <w:rsid w:val="00C0503E"/>
    <w:rsid w:val="00C103DA"/>
    <w:rsid w:val="00C11F8E"/>
    <w:rsid w:val="00C12B40"/>
    <w:rsid w:val="00C15AF8"/>
    <w:rsid w:val="00C17CAA"/>
    <w:rsid w:val="00C25E47"/>
    <w:rsid w:val="00C35B62"/>
    <w:rsid w:val="00C37AB6"/>
    <w:rsid w:val="00C4799A"/>
    <w:rsid w:val="00C5193B"/>
    <w:rsid w:val="00C52C04"/>
    <w:rsid w:val="00C61204"/>
    <w:rsid w:val="00C6201E"/>
    <w:rsid w:val="00C7053D"/>
    <w:rsid w:val="00C76751"/>
    <w:rsid w:val="00C77F47"/>
    <w:rsid w:val="00C811C7"/>
    <w:rsid w:val="00C8121E"/>
    <w:rsid w:val="00C8235A"/>
    <w:rsid w:val="00C860B4"/>
    <w:rsid w:val="00C90460"/>
    <w:rsid w:val="00C9123C"/>
    <w:rsid w:val="00C917D5"/>
    <w:rsid w:val="00CA0C84"/>
    <w:rsid w:val="00CA633B"/>
    <w:rsid w:val="00CB0F03"/>
    <w:rsid w:val="00CC51E8"/>
    <w:rsid w:val="00CD10E8"/>
    <w:rsid w:val="00CD15AC"/>
    <w:rsid w:val="00CD454B"/>
    <w:rsid w:val="00CF0268"/>
    <w:rsid w:val="00CF0923"/>
    <w:rsid w:val="00CF3BA8"/>
    <w:rsid w:val="00CF436E"/>
    <w:rsid w:val="00D06E59"/>
    <w:rsid w:val="00D11865"/>
    <w:rsid w:val="00D1274F"/>
    <w:rsid w:val="00D13786"/>
    <w:rsid w:val="00D2750B"/>
    <w:rsid w:val="00D35226"/>
    <w:rsid w:val="00D36D39"/>
    <w:rsid w:val="00D375B0"/>
    <w:rsid w:val="00D5022A"/>
    <w:rsid w:val="00D5138D"/>
    <w:rsid w:val="00D61820"/>
    <w:rsid w:val="00D71852"/>
    <w:rsid w:val="00D73400"/>
    <w:rsid w:val="00D758C7"/>
    <w:rsid w:val="00D814DC"/>
    <w:rsid w:val="00D81F95"/>
    <w:rsid w:val="00D82682"/>
    <w:rsid w:val="00D84F2C"/>
    <w:rsid w:val="00DA0987"/>
    <w:rsid w:val="00DA0A89"/>
    <w:rsid w:val="00DA1AA5"/>
    <w:rsid w:val="00DA2279"/>
    <w:rsid w:val="00DB6DDC"/>
    <w:rsid w:val="00DC37ED"/>
    <w:rsid w:val="00DC4E1C"/>
    <w:rsid w:val="00DE0166"/>
    <w:rsid w:val="00DE22F7"/>
    <w:rsid w:val="00DF2933"/>
    <w:rsid w:val="00DF3FB0"/>
    <w:rsid w:val="00E015A7"/>
    <w:rsid w:val="00E01C2B"/>
    <w:rsid w:val="00E12BD7"/>
    <w:rsid w:val="00E16BB8"/>
    <w:rsid w:val="00E20999"/>
    <w:rsid w:val="00E23357"/>
    <w:rsid w:val="00E2417E"/>
    <w:rsid w:val="00E30F13"/>
    <w:rsid w:val="00E32397"/>
    <w:rsid w:val="00E3563A"/>
    <w:rsid w:val="00E40682"/>
    <w:rsid w:val="00E472DC"/>
    <w:rsid w:val="00E62100"/>
    <w:rsid w:val="00E623D5"/>
    <w:rsid w:val="00E6582D"/>
    <w:rsid w:val="00E77F93"/>
    <w:rsid w:val="00E821A9"/>
    <w:rsid w:val="00E836BF"/>
    <w:rsid w:val="00E90F56"/>
    <w:rsid w:val="00EA089F"/>
    <w:rsid w:val="00EA0BC2"/>
    <w:rsid w:val="00EA20A1"/>
    <w:rsid w:val="00EA27EF"/>
    <w:rsid w:val="00EA5F4C"/>
    <w:rsid w:val="00EA604C"/>
    <w:rsid w:val="00EB2481"/>
    <w:rsid w:val="00EB3E46"/>
    <w:rsid w:val="00EB6A53"/>
    <w:rsid w:val="00EC7B4A"/>
    <w:rsid w:val="00ED02DE"/>
    <w:rsid w:val="00ED0A01"/>
    <w:rsid w:val="00ED15D0"/>
    <w:rsid w:val="00ED24FC"/>
    <w:rsid w:val="00ED340F"/>
    <w:rsid w:val="00ED61E4"/>
    <w:rsid w:val="00EE5A8C"/>
    <w:rsid w:val="00EE5EEA"/>
    <w:rsid w:val="00EF3FDF"/>
    <w:rsid w:val="00EF4B5E"/>
    <w:rsid w:val="00F00319"/>
    <w:rsid w:val="00F02886"/>
    <w:rsid w:val="00F03849"/>
    <w:rsid w:val="00F16725"/>
    <w:rsid w:val="00F17F06"/>
    <w:rsid w:val="00F20B2D"/>
    <w:rsid w:val="00F21232"/>
    <w:rsid w:val="00F218DA"/>
    <w:rsid w:val="00F2618E"/>
    <w:rsid w:val="00F27B86"/>
    <w:rsid w:val="00F30267"/>
    <w:rsid w:val="00F46AD1"/>
    <w:rsid w:val="00F52E52"/>
    <w:rsid w:val="00F53489"/>
    <w:rsid w:val="00F54645"/>
    <w:rsid w:val="00F566DF"/>
    <w:rsid w:val="00F60297"/>
    <w:rsid w:val="00F61B1A"/>
    <w:rsid w:val="00F71137"/>
    <w:rsid w:val="00F74CA2"/>
    <w:rsid w:val="00F75EA5"/>
    <w:rsid w:val="00F76D80"/>
    <w:rsid w:val="00F77E23"/>
    <w:rsid w:val="00F806A7"/>
    <w:rsid w:val="00F82101"/>
    <w:rsid w:val="00F835E6"/>
    <w:rsid w:val="00F9002F"/>
    <w:rsid w:val="00F90B18"/>
    <w:rsid w:val="00F93AC4"/>
    <w:rsid w:val="00F955C4"/>
    <w:rsid w:val="00FA0AC6"/>
    <w:rsid w:val="00FA4CE8"/>
    <w:rsid w:val="00FB31A8"/>
    <w:rsid w:val="00FB364B"/>
    <w:rsid w:val="00FB5053"/>
    <w:rsid w:val="00FD0FEB"/>
    <w:rsid w:val="00FD121B"/>
    <w:rsid w:val="00FE32A9"/>
    <w:rsid w:val="00FE61C3"/>
    <w:rsid w:val="00FE61CF"/>
    <w:rsid w:val="00FF35AE"/>
    <w:rsid w:val="00FF531A"/>
    <w:rsid w:val="00FF5DFC"/>
    <w:rsid w:val="00FF6A51"/>
    <w:rsid w:val="00FF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9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66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D66FF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D66F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16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725"/>
  </w:style>
  <w:style w:type="paragraph" w:styleId="Rodap">
    <w:name w:val="footer"/>
    <w:basedOn w:val="Normal"/>
    <w:link w:val="RodapChar"/>
    <w:uiPriority w:val="99"/>
    <w:unhideWhenUsed/>
    <w:rsid w:val="00F16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6725"/>
  </w:style>
  <w:style w:type="paragraph" w:styleId="PargrafodaLista">
    <w:name w:val="List Paragraph"/>
    <w:basedOn w:val="Normal"/>
    <w:uiPriority w:val="34"/>
    <w:qFormat/>
    <w:rsid w:val="007F3122"/>
    <w:pPr>
      <w:ind w:left="720"/>
      <w:contextualSpacing/>
    </w:pPr>
  </w:style>
  <w:style w:type="character" w:styleId="Hyperlink">
    <w:name w:val="Hyperlink"/>
    <w:uiPriority w:val="99"/>
    <w:unhideWhenUsed/>
    <w:rsid w:val="00E3239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179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96B2A"/>
    <w:rPr>
      <w:b/>
      <w:bCs/>
    </w:rPr>
  </w:style>
  <w:style w:type="paragraph" w:styleId="NormalWeb">
    <w:name w:val="Normal (Web)"/>
    <w:basedOn w:val="Normal"/>
    <w:uiPriority w:val="99"/>
    <w:unhideWhenUsed/>
    <w:rsid w:val="00696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42F5"/>
  </w:style>
  <w:style w:type="paragraph" w:customStyle="1" w:styleId="Default">
    <w:name w:val="Default"/>
    <w:rsid w:val="000355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F711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uradoriafederal.ufsc.br/files/2010/06/Impedimento-e-Suspei%C3%A7%C3%A3o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DA24-6ACB-4BEE-8D86-7DD2C853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8</Pages>
  <Words>1910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Noronha</dc:creator>
  <cp:lastModifiedBy>Atos Paulo</cp:lastModifiedBy>
  <cp:revision>20</cp:revision>
  <dcterms:created xsi:type="dcterms:W3CDTF">2013-07-23T19:05:00Z</dcterms:created>
  <dcterms:modified xsi:type="dcterms:W3CDTF">2013-07-27T06:46:00Z</dcterms:modified>
</cp:coreProperties>
</file>