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DEF" w:rsidRPr="00272904" w:rsidRDefault="00470DEF">
      <w:pPr>
        <w:pStyle w:val="Standard"/>
        <w:jc w:val="center"/>
        <w:rPr>
          <w:rFonts w:ascii="Times New Roman" w:eastAsia="Batang" w:hAnsi="Times New Roman" w:cs="Times New Roman"/>
        </w:rPr>
      </w:pPr>
    </w:p>
    <w:p w:rsidR="00470DEF" w:rsidRDefault="00DD1F92">
      <w:pPr>
        <w:pStyle w:val="Standard"/>
        <w:spacing w:line="360" w:lineRule="auto"/>
        <w:rPr>
          <w:rFonts w:ascii="Times New Roman" w:hAnsi="Times New Roman"/>
        </w:rPr>
      </w:pPr>
      <w:r>
        <w:rPr>
          <w:rFonts w:ascii="Times New Roman" w:hAnsi="Times New Roman" w:cs="Arial"/>
          <w:b/>
          <w:bCs/>
          <w:sz w:val="24"/>
          <w:szCs w:val="24"/>
        </w:rPr>
        <w:t>TEMA: O NOVO CÓDIGO DE PROCESSO CIVIL: CELERIDADE PROCESSUAL E O RISCO À SEGURANÇA JURÍDICA</w:t>
      </w:r>
    </w:p>
    <w:p w:rsidR="00470DEF" w:rsidRDefault="00272904" w:rsidP="00272904">
      <w:pPr>
        <w:pStyle w:val="Standard"/>
        <w:spacing w:line="360" w:lineRule="auto"/>
        <w:jc w:val="right"/>
        <w:rPr>
          <w:rFonts w:ascii="Times New Roman" w:hAnsi="Times New Roman" w:cs="Times New Roman"/>
          <w:sz w:val="24"/>
          <w:szCs w:val="24"/>
        </w:rPr>
      </w:pPr>
      <w:r w:rsidRPr="00272904">
        <w:rPr>
          <w:rFonts w:ascii="Times New Roman" w:hAnsi="Times New Roman" w:cs="Times New Roman"/>
          <w:sz w:val="24"/>
          <w:szCs w:val="24"/>
        </w:rPr>
        <w:t>Atos Paulo Nogueira Otaviano</w:t>
      </w:r>
    </w:p>
    <w:p w:rsidR="00272904" w:rsidRPr="00272904" w:rsidRDefault="00272904" w:rsidP="00272904">
      <w:pPr>
        <w:pStyle w:val="Standard"/>
        <w:spacing w:line="360" w:lineRule="auto"/>
        <w:jc w:val="right"/>
        <w:rPr>
          <w:rFonts w:ascii="Times New Roman" w:hAnsi="Times New Roman" w:cs="Times New Roman"/>
          <w:sz w:val="24"/>
          <w:szCs w:val="24"/>
        </w:rPr>
      </w:pPr>
      <w:bookmarkStart w:id="0" w:name="_GoBack"/>
      <w:bookmarkEnd w:id="0"/>
    </w:p>
    <w:p w:rsidR="00470DEF" w:rsidRDefault="00DD1F92">
      <w:pPr>
        <w:pStyle w:val="Standard"/>
        <w:spacing w:line="360" w:lineRule="auto"/>
      </w:pPr>
      <w:r>
        <w:rPr>
          <w:rFonts w:ascii="Times New Roman" w:hAnsi="Times New Roman" w:cs="Arial"/>
          <w:b/>
          <w:sz w:val="24"/>
          <w:szCs w:val="24"/>
        </w:rPr>
        <w:t xml:space="preserve"> AS FERRAMENTAS NO PROJETO DO NOVO CPC EM BUSCA DE CELERIDADE PROCESSUAL E OS RISCOS À </w:t>
      </w:r>
      <w:r>
        <w:rPr>
          <w:rFonts w:ascii="Times New Roman" w:hAnsi="Times New Roman" w:cs="Arial"/>
          <w:b/>
          <w:sz w:val="24"/>
          <w:szCs w:val="24"/>
        </w:rPr>
        <w:t>SEGURANÇA JURÍDICA</w:t>
      </w:r>
      <w:r w:rsidR="00272904">
        <w:rPr>
          <w:rFonts w:ascii="Times New Roman" w:hAnsi="Times New Roman" w:cs="Arial"/>
          <w:b/>
          <w:sz w:val="24"/>
          <w:szCs w:val="24"/>
        </w:rPr>
        <w:t>.</w:t>
      </w:r>
    </w:p>
    <w:p w:rsidR="00470DEF" w:rsidRDefault="00DD1F92">
      <w:pPr>
        <w:pStyle w:val="Standard"/>
        <w:jc w:val="both"/>
      </w:pPr>
      <w:r>
        <w:rPr>
          <w:rFonts w:ascii="Times New Roman" w:hAnsi="Times New Roman" w:cs="Arial"/>
          <w:b/>
          <w:sz w:val="24"/>
          <w:szCs w:val="24"/>
        </w:rPr>
        <w:t xml:space="preserve">       </w:t>
      </w:r>
      <w:r>
        <w:rPr>
          <w:rFonts w:ascii="Times New Roman" w:hAnsi="Times New Roman"/>
          <w:color w:val="000000"/>
          <w:sz w:val="24"/>
          <w:szCs w:val="24"/>
        </w:rPr>
        <w:t>A preocupação com a celeridade na prestação jurisdicional não é tema recente e tem crescido vertiginosamente nos últimos anos, sendo a premissa que orienta o legislador na elaboração das reformas pontuais pelas</w:t>
      </w:r>
      <w:r>
        <w:rPr>
          <w:rFonts w:ascii="Times New Roman" w:hAnsi="Times New Roman"/>
          <w:color w:val="000000"/>
          <w:sz w:val="24"/>
          <w:szCs w:val="24"/>
        </w:rPr>
        <w:t xml:space="preserve"> quais vem passando o processo civil desde o ano de 1994, quando fora instituída a tutela antecipada. Sobre o tema se posiciona Theodoro Júnior (2012):</w:t>
      </w:r>
    </w:p>
    <w:p w:rsidR="00470DEF" w:rsidRDefault="00DD1F92">
      <w:pPr>
        <w:pStyle w:val="Standard"/>
        <w:spacing w:line="240" w:lineRule="auto"/>
        <w:ind w:left="2268"/>
        <w:jc w:val="both"/>
      </w:pPr>
      <w:r>
        <w:rPr>
          <w:rFonts w:ascii="Times New Roman" w:hAnsi="Times New Roman"/>
          <w:color w:val="000000"/>
          <w:sz w:val="20"/>
          <w:szCs w:val="20"/>
        </w:rPr>
        <w:t xml:space="preserve">Ao findar o século XX, nem mesmo as nações mais ricas e civilizadas da Europa se mostram contentes com </w:t>
      </w:r>
      <w:r>
        <w:rPr>
          <w:rFonts w:ascii="Times New Roman" w:hAnsi="Times New Roman"/>
          <w:color w:val="000000"/>
          <w:sz w:val="20"/>
          <w:szCs w:val="20"/>
        </w:rPr>
        <w:t>a qualidade da prestação jurisdicional de seu aparelhamento judiciário. A crítica, em todos os quadrantes, é a mesma: lentidão da resposta da justiça, que quase sempre a torna inadequada para realizar a composição justa da controvérsia. Mesmo saindo vitori</w:t>
      </w:r>
      <w:r>
        <w:rPr>
          <w:rFonts w:ascii="Times New Roman" w:hAnsi="Times New Roman"/>
          <w:color w:val="000000"/>
          <w:sz w:val="20"/>
          <w:szCs w:val="20"/>
        </w:rPr>
        <w:t>osa no pleito judicial, a parte se sente, em grande número de vezes, injustiçada, porque justiça tardia não é justiça e, sim, denegação de justiça.</w:t>
      </w:r>
    </w:p>
    <w:p w:rsidR="00470DEF" w:rsidRDefault="00DD1F92">
      <w:pPr>
        <w:pStyle w:val="Standard"/>
        <w:spacing w:line="360" w:lineRule="auto"/>
        <w:jc w:val="both"/>
      </w:pPr>
      <w:r>
        <w:rPr>
          <w:rFonts w:ascii="Times New Roman" w:hAnsi="Times New Roman"/>
          <w:color w:val="000000"/>
          <w:sz w:val="20"/>
          <w:szCs w:val="20"/>
        </w:rPr>
        <w:t xml:space="preserve">          </w:t>
      </w:r>
      <w:r>
        <w:rPr>
          <w:rFonts w:ascii="Times New Roman" w:hAnsi="Times New Roman"/>
          <w:color w:val="000000"/>
          <w:sz w:val="24"/>
          <w:szCs w:val="24"/>
        </w:rPr>
        <w:t xml:space="preserve">O art. 4º do projeto do novo CPC se posiciona em favor da celeridade processual, aduzindo que : “ </w:t>
      </w:r>
      <w:r>
        <w:rPr>
          <w:rFonts w:ascii="Times New Roman" w:hAnsi="Times New Roman"/>
          <w:color w:val="000000"/>
          <w:sz w:val="24"/>
          <w:szCs w:val="24"/>
        </w:rPr>
        <w:t xml:space="preserve">as partes têm direito de obter em prazo razoável a solução integral da lide, incluída a atividade satisfativa”. Com esse artigo fica nítido perceber que o projeto anseia por solucionar este problema, que tanto incomoda a satisfação da justiça. Entretanto, </w:t>
      </w:r>
      <w:r>
        <w:rPr>
          <w:rFonts w:ascii="Times New Roman" w:hAnsi="Times New Roman"/>
          <w:color w:val="000000"/>
          <w:sz w:val="24"/>
          <w:szCs w:val="24"/>
        </w:rPr>
        <w:t>há críticas em relação a isso, como bem aduz Parentoni (2011):</w:t>
      </w:r>
    </w:p>
    <w:p w:rsidR="00470DEF" w:rsidRDefault="00DD1F92">
      <w:pPr>
        <w:pStyle w:val="Standard"/>
        <w:spacing w:line="240" w:lineRule="auto"/>
        <w:ind w:left="2268"/>
        <w:jc w:val="both"/>
      </w:pPr>
      <w:r>
        <w:rPr>
          <w:rFonts w:ascii="Times New Roman" w:hAnsi="Times New Roman"/>
          <w:color w:val="000000"/>
          <w:sz w:val="20"/>
          <w:szCs w:val="20"/>
        </w:rPr>
        <w:t>A edição de um novo Código, por si só, e por melhores que sejam seus aspectos técnicos, não será capaz de fazer frente aos problemas atuais. Isso porque a solução reside em combater as causas d</w:t>
      </w:r>
      <w:r>
        <w:rPr>
          <w:rFonts w:ascii="Times New Roman" w:hAnsi="Times New Roman"/>
          <w:color w:val="000000"/>
          <w:sz w:val="20"/>
          <w:szCs w:val="20"/>
        </w:rPr>
        <w:t>o probelmas, não apenas seus reflexos aparentes. E, neste ponto, deve-se ter em mente que essas causas podem situar-se fora do âmbito processual, na própria sociedade, alerta Mauro Cappelleti.</w:t>
      </w:r>
    </w:p>
    <w:p w:rsidR="00470DEF" w:rsidRDefault="00DD1F92">
      <w:pPr>
        <w:pStyle w:val="Standard"/>
        <w:spacing w:line="360" w:lineRule="auto"/>
        <w:jc w:val="both"/>
      </w:pPr>
      <w:r>
        <w:rPr>
          <w:rFonts w:ascii="Times New Roman" w:hAnsi="Times New Roman"/>
          <w:color w:val="000000"/>
          <w:sz w:val="24"/>
          <w:szCs w:val="24"/>
        </w:rPr>
        <w:t xml:space="preserve">       Ou seja, seria mais eficaz identificar as causas do prob</w:t>
      </w:r>
      <w:r>
        <w:rPr>
          <w:rFonts w:ascii="Times New Roman" w:hAnsi="Times New Roman"/>
          <w:color w:val="000000"/>
          <w:sz w:val="24"/>
          <w:szCs w:val="24"/>
        </w:rPr>
        <w:t xml:space="preserve">lema, mapeando-as estatisticamente antes mesmo de propor um novo código, pois remédio algum funciona sem o diagnóstico da doença. Assim, torna-se imprescindível que sejam realizados estudos específicos a fim de que se descubra a real causa da ineficiência </w:t>
      </w:r>
      <w:r>
        <w:rPr>
          <w:rFonts w:ascii="Times New Roman" w:hAnsi="Times New Roman"/>
          <w:color w:val="000000"/>
          <w:sz w:val="24"/>
          <w:szCs w:val="24"/>
        </w:rPr>
        <w:t>do Poder Judiciário, e não, simplesmente, alterar à esmo as leis processuais, influenciados, na maioria da vezes, pelo clamor social. Para que se dê efetividade à garantia constitucional da celeridade e duração razoável do processo judicial é necessário eq</w:t>
      </w:r>
      <w:r>
        <w:rPr>
          <w:rFonts w:ascii="Times New Roman" w:hAnsi="Times New Roman"/>
          <w:color w:val="000000"/>
          <w:sz w:val="24"/>
          <w:szCs w:val="24"/>
        </w:rPr>
        <w:t xml:space="preserve">uipar-se o Poder Judiciário do aparato logístico de que precisa para dar </w:t>
      </w:r>
      <w:r>
        <w:rPr>
          <w:rFonts w:ascii="Times New Roman" w:hAnsi="Times New Roman"/>
          <w:color w:val="000000"/>
          <w:sz w:val="24"/>
          <w:szCs w:val="24"/>
        </w:rPr>
        <w:lastRenderedPageBreak/>
        <w:t xml:space="preserve">cumprimento ao comando constitucional, constituído de melhoria da capacitação técnica dos juízes e dos elementos materiais necessários ao bom desempenho das funções dos magistrados e </w:t>
      </w:r>
      <w:r>
        <w:rPr>
          <w:rFonts w:ascii="Times New Roman" w:hAnsi="Times New Roman"/>
          <w:color w:val="000000"/>
          <w:sz w:val="24"/>
          <w:szCs w:val="24"/>
        </w:rPr>
        <w:t>dos auxiliares da justiça (NERY JÚNIOR, 2009).</w:t>
      </w:r>
    </w:p>
    <w:p w:rsidR="00470DEF" w:rsidRDefault="00DD1F92">
      <w:pPr>
        <w:pStyle w:val="Standard"/>
        <w:spacing w:line="360" w:lineRule="auto"/>
        <w:jc w:val="both"/>
      </w:pPr>
      <w:r>
        <w:rPr>
          <w:rFonts w:ascii="Times New Roman" w:hAnsi="Times New Roman"/>
          <w:color w:val="000000"/>
          <w:sz w:val="24"/>
          <w:szCs w:val="24"/>
        </w:rPr>
        <w:t xml:space="preserve">       Passado esse momento de críticas em relação ao projeto, que poderia ter se aliado ao nascimento dos problemas em relação à morosidade do judiciário, se faz necessário observar quais as ferramentas que e</w:t>
      </w:r>
      <w:r>
        <w:rPr>
          <w:rFonts w:ascii="Times New Roman" w:hAnsi="Times New Roman"/>
          <w:color w:val="000000"/>
          <w:sz w:val="24"/>
          <w:szCs w:val="24"/>
        </w:rPr>
        <w:t>ste projeto trouxe a fim de melhor este problema, e o que essas inovações podem trazer de risco à segurança jurídica.</w:t>
      </w:r>
    </w:p>
    <w:p w:rsidR="00470DEF" w:rsidRDefault="00DD1F92">
      <w:pPr>
        <w:pStyle w:val="Standard"/>
        <w:spacing w:line="360" w:lineRule="auto"/>
        <w:jc w:val="both"/>
      </w:pPr>
      <w:r>
        <w:rPr>
          <w:rFonts w:ascii="Times New Roman" w:hAnsi="Times New Roman"/>
          <w:color w:val="000000"/>
          <w:sz w:val="24"/>
          <w:szCs w:val="24"/>
        </w:rPr>
        <w:t xml:space="preserve">       O art 939 do Projeto traz o incidente de resolução de ações repetitivas, o qual possui prazo de seis meses para ser julgado, tendo </w:t>
      </w:r>
      <w:r>
        <w:rPr>
          <w:rFonts w:ascii="Times New Roman" w:hAnsi="Times New Roman"/>
          <w:color w:val="000000"/>
          <w:sz w:val="24"/>
          <w:szCs w:val="24"/>
        </w:rPr>
        <w:t>preferência sobre os demais feitos, sendo preterido apenas nas ações que envolvam réu preso e os pedidos de habeas corpus. O incidente de resolução de demandas repetitivas trata-se não de um recurso, mas de uma ferramenta processual de fundamental importân</w:t>
      </w:r>
      <w:r>
        <w:rPr>
          <w:rFonts w:ascii="Times New Roman" w:hAnsi="Times New Roman"/>
          <w:color w:val="000000"/>
          <w:sz w:val="24"/>
          <w:szCs w:val="24"/>
        </w:rPr>
        <w:t>cia para o desenrolar do processo, para a decisão da demanda e para a forma em que o direito processual civil brasileiro será visto a partir do momento em que o NCPC entrar em vigor.</w:t>
      </w:r>
    </w:p>
    <w:p w:rsidR="00470DEF" w:rsidRDefault="00DD1F92">
      <w:pPr>
        <w:pStyle w:val="Standard"/>
        <w:spacing w:line="360" w:lineRule="auto"/>
        <w:jc w:val="both"/>
      </w:pPr>
      <w:r>
        <w:rPr>
          <w:rFonts w:ascii="Times New Roman" w:hAnsi="Times New Roman"/>
          <w:color w:val="000000"/>
          <w:sz w:val="24"/>
          <w:szCs w:val="24"/>
        </w:rPr>
        <w:t xml:space="preserve">       Consiste o presente incidente “em um instrumento a ser utilizado p</w:t>
      </w:r>
      <w:r>
        <w:rPr>
          <w:rFonts w:ascii="Times New Roman" w:hAnsi="Times New Roman"/>
          <w:color w:val="000000"/>
          <w:sz w:val="24"/>
          <w:szCs w:val="24"/>
        </w:rPr>
        <w:t>ara demandas que possuem questões jurídicas comuns, de modo que essas questões sejam decididas de modo uniforme”. (RIBEIRO, 2012). Tal instituto visa a solução dos conflitos de “massa”, como ações que envolvam consumidores e prestadoras de serviço, recorre</w:t>
      </w:r>
      <w:r>
        <w:rPr>
          <w:rFonts w:ascii="Times New Roman" w:hAnsi="Times New Roman"/>
          <w:color w:val="000000"/>
          <w:sz w:val="24"/>
          <w:szCs w:val="24"/>
        </w:rPr>
        <w:t>nte caso o das empresas de telefonia, evitando-se que todas as causas que podem ser solucionadas de uma única forma tenham que sofrer inúmeros atos para se chegar ao exato mesmo resultado por tratarem-se da mesma questão.</w:t>
      </w:r>
    </w:p>
    <w:p w:rsidR="00470DEF" w:rsidRDefault="00DD1F92">
      <w:pPr>
        <w:pStyle w:val="Standard"/>
        <w:spacing w:line="360" w:lineRule="auto"/>
        <w:jc w:val="both"/>
      </w:pPr>
      <w:r>
        <w:rPr>
          <w:rFonts w:ascii="Times New Roman" w:hAnsi="Times New Roman"/>
          <w:color w:val="000000"/>
          <w:sz w:val="24"/>
          <w:szCs w:val="24"/>
        </w:rPr>
        <w:t xml:space="preserve">       Busca o presente instituto,</w:t>
      </w:r>
      <w:r>
        <w:rPr>
          <w:rFonts w:ascii="Times New Roman" w:hAnsi="Times New Roman"/>
          <w:color w:val="000000"/>
          <w:sz w:val="24"/>
          <w:szCs w:val="24"/>
        </w:rPr>
        <w:t xml:space="preserve"> segundo a redação do art. 930 do PLS/166/2010, resolver controvérsias com potencial de gerar relevante multiplicação de processos fundadas em idêntica questão de direito e capazes de causar grave insegurança jurídica, provenientes do risco de coexistência</w:t>
      </w:r>
      <w:r>
        <w:rPr>
          <w:rFonts w:ascii="Times New Roman" w:hAnsi="Times New Roman"/>
          <w:color w:val="000000"/>
          <w:sz w:val="24"/>
          <w:szCs w:val="24"/>
        </w:rPr>
        <w:t xml:space="preserve"> de decisões conflitantes. Em seguida, informa o parágrafo primeiro do art. 930 do PLS/2010 que o pedido de instauração será dirigido ao Presidente do Tribunal, e quem poderá ingressar com o instituto, podendo o requerimento ser dirigido pelo juiz ou relat</w:t>
      </w:r>
      <w:r>
        <w:rPr>
          <w:rFonts w:ascii="Times New Roman" w:hAnsi="Times New Roman"/>
          <w:color w:val="000000"/>
          <w:sz w:val="24"/>
          <w:szCs w:val="24"/>
        </w:rPr>
        <w:t>or, ou, então, pelas partes, pela Defensoria Pública ou pelo Ministério Público, sendo a presença deste último obrigatória em todos os casos.</w:t>
      </w:r>
    </w:p>
    <w:p w:rsidR="00470DEF" w:rsidRDefault="00DD1F92">
      <w:pPr>
        <w:pStyle w:val="Standard"/>
        <w:spacing w:line="360" w:lineRule="auto"/>
        <w:jc w:val="both"/>
      </w:pPr>
      <w:r>
        <w:rPr>
          <w:rFonts w:ascii="Times New Roman" w:hAnsi="Times New Roman"/>
          <w:color w:val="000000"/>
          <w:sz w:val="24"/>
          <w:szCs w:val="24"/>
        </w:rPr>
        <w:t xml:space="preserve">       Analisando-se a forma em que o instituto julgará os casos que lhe forem incumbidos, percebe-se que sua form</w:t>
      </w:r>
      <w:r>
        <w:rPr>
          <w:rFonts w:ascii="Times New Roman" w:hAnsi="Times New Roman"/>
          <w:color w:val="000000"/>
          <w:sz w:val="24"/>
          <w:szCs w:val="24"/>
        </w:rPr>
        <w:t>a não é novidade no processo brasileiro, possuindo trâmite semelhante ao dos recursos para o STF, sendo uma ferramenta que trabalha de forma mecânica frente à massiva busca de direitos e a falta de estrutura do judiciário.</w:t>
      </w:r>
    </w:p>
    <w:p w:rsidR="00470DEF" w:rsidRDefault="00DD1F92">
      <w:pPr>
        <w:pStyle w:val="Textbody"/>
        <w:spacing w:after="135" w:line="360" w:lineRule="auto"/>
        <w:jc w:val="both"/>
      </w:pPr>
      <w:r>
        <w:rPr>
          <w:rFonts w:ascii="Times New Roman" w:hAnsi="Times New Roman"/>
          <w:color w:val="000000"/>
          <w:sz w:val="24"/>
          <w:szCs w:val="24"/>
        </w:rPr>
        <w:t xml:space="preserve">       No entanto, ferramenta mui</w:t>
      </w:r>
      <w:r>
        <w:rPr>
          <w:rFonts w:ascii="Times New Roman" w:hAnsi="Times New Roman"/>
          <w:color w:val="000000"/>
          <w:sz w:val="24"/>
          <w:szCs w:val="24"/>
        </w:rPr>
        <w:t>to perigosa, pois se em dois casos há possibilidade de decisões distintas, e por corolário lógico uma injusta, neste caso poderá haver uma única decisão que servirá para milhares de processos e podendo assim ser injusta para todos, mesmo com a ideia de que</w:t>
      </w:r>
      <w:r>
        <w:rPr>
          <w:rFonts w:ascii="Times New Roman" w:hAnsi="Times New Roman"/>
          <w:color w:val="000000"/>
          <w:sz w:val="24"/>
          <w:szCs w:val="24"/>
        </w:rPr>
        <w:t xml:space="preserve"> a princípio o incidente seja seguro, não será cem por cento livre da possibilidade de erro </w:t>
      </w:r>
      <w:r>
        <w:rPr>
          <w:rStyle w:val="nfase"/>
          <w:rFonts w:ascii="Times New Roman" w:hAnsi="Times New Roman"/>
          <w:i w:val="0"/>
          <w:color w:val="000000"/>
          <w:sz w:val="24"/>
          <w:szCs w:val="24"/>
        </w:rPr>
        <w:t>in judicando</w:t>
      </w:r>
      <w:r>
        <w:rPr>
          <w:rFonts w:ascii="Times New Roman" w:hAnsi="Times New Roman"/>
          <w:color w:val="000000"/>
          <w:sz w:val="24"/>
          <w:szCs w:val="24"/>
        </w:rPr>
        <w:t>.</w:t>
      </w:r>
    </w:p>
    <w:p w:rsidR="00470DEF" w:rsidRDefault="00DD1F92">
      <w:pPr>
        <w:pStyle w:val="Textbody"/>
        <w:spacing w:after="135" w:line="360" w:lineRule="auto"/>
        <w:jc w:val="both"/>
      </w:pPr>
      <w:r>
        <w:rPr>
          <w:rFonts w:ascii="Times New Roman" w:hAnsi="Times New Roman"/>
          <w:color w:val="000000"/>
          <w:sz w:val="24"/>
          <w:szCs w:val="24"/>
        </w:rPr>
        <w:t xml:space="preserve">       Dessa forma, perquire-se se não é melhor restar o sistema atual, onde os juízes de direito julgam um caso que poderá ser revisto no tribunal de</w:t>
      </w:r>
      <w:r>
        <w:rPr>
          <w:rFonts w:ascii="Times New Roman" w:hAnsi="Times New Roman"/>
          <w:color w:val="000000"/>
          <w:sz w:val="24"/>
          <w:szCs w:val="24"/>
        </w:rPr>
        <w:t xml:space="preserve"> justiça e em caso excepcional ser encaminhado ao STF ou STJ, do que realizar um caminho mais curto e que poderá incorrer em uma grande insegurança, podendo a ferramenta que busca segurança jurídica e celeridade apenas alcançar a última. Aqui está realment</w:t>
      </w:r>
      <w:r>
        <w:rPr>
          <w:rFonts w:ascii="Times New Roman" w:hAnsi="Times New Roman"/>
          <w:color w:val="000000"/>
          <w:sz w:val="24"/>
          <w:szCs w:val="24"/>
        </w:rPr>
        <w:t>e o grande problema das decisões em massa, trazer uma possível injustiça a todos os processos de uma vez só, mitigando totalmente a segurança jurídica em prol da celeridade.</w:t>
      </w:r>
    </w:p>
    <w:p w:rsidR="00470DEF" w:rsidRDefault="00DD1F92">
      <w:pPr>
        <w:pStyle w:val="Textbody"/>
        <w:spacing w:after="135" w:line="360" w:lineRule="auto"/>
        <w:jc w:val="both"/>
      </w:pPr>
      <w:r>
        <w:rPr>
          <w:rFonts w:ascii="Times New Roman" w:hAnsi="Times New Roman"/>
          <w:color w:val="000000"/>
          <w:sz w:val="24"/>
          <w:szCs w:val="24"/>
        </w:rPr>
        <w:t xml:space="preserve">       Outro grande ponto é que o NCPC  propõe suprimir do ordenamento jurídico al</w:t>
      </w:r>
      <w:r>
        <w:rPr>
          <w:rFonts w:ascii="Times New Roman" w:hAnsi="Times New Roman"/>
          <w:color w:val="000000"/>
          <w:sz w:val="24"/>
          <w:szCs w:val="24"/>
        </w:rPr>
        <w:t>gumas espécies recursais, como os embargos de divergência. Alegam que o excessivo número de recursos é o principal causador de demora na marcha processual. Com este raciocínio, concorda-se  apenas em parte. Como reconhecido pelos próprios membros da comiss</w:t>
      </w:r>
      <w:r>
        <w:rPr>
          <w:rFonts w:ascii="Times New Roman" w:hAnsi="Times New Roman"/>
          <w:color w:val="000000"/>
          <w:sz w:val="24"/>
          <w:szCs w:val="24"/>
        </w:rPr>
        <w:t>ão,  suprimir garantias do jurisdicionado (dentre as quais se incluem os recursos) é tarefa difícil,  pois envolve a ponderação de dois importantes valores constitucionais, não necessariamente antagônicos, de um lado a segurança jurídica e de outro a celer</w:t>
      </w:r>
      <w:r>
        <w:rPr>
          <w:rFonts w:ascii="Times New Roman" w:hAnsi="Times New Roman"/>
          <w:color w:val="000000"/>
          <w:sz w:val="24"/>
          <w:szCs w:val="24"/>
        </w:rPr>
        <w:t>idade processual.</w:t>
      </w:r>
    </w:p>
    <w:p w:rsidR="00470DEF" w:rsidRDefault="00DD1F92">
      <w:pPr>
        <w:pStyle w:val="Textbody"/>
        <w:spacing w:after="135" w:line="360" w:lineRule="auto"/>
        <w:jc w:val="both"/>
      </w:pPr>
      <w:r>
        <w:rPr>
          <w:rFonts w:ascii="Times New Roman" w:hAnsi="Times New Roman"/>
          <w:color w:val="000000"/>
          <w:sz w:val="24"/>
          <w:szCs w:val="24"/>
        </w:rPr>
        <w:t xml:space="preserve">       Destaque-se que a supressão de recursos, se excessivamente  levada a efeito, pode causar um desequilíbrio na própria legitimação  democrática do processo. Isso porque a participação dos interessados  na lide, por meio de amplo cont</w:t>
      </w:r>
      <w:r>
        <w:rPr>
          <w:rFonts w:ascii="Times New Roman" w:hAnsi="Times New Roman"/>
          <w:color w:val="000000"/>
          <w:sz w:val="24"/>
          <w:szCs w:val="24"/>
        </w:rPr>
        <w:t>raditório, é talvez o principal fator  da legitimidade processual, conforme ensina Marinoni (2003):</w:t>
      </w:r>
    </w:p>
    <w:p w:rsidR="00470DEF" w:rsidRDefault="00DD1F92">
      <w:pPr>
        <w:pStyle w:val="Textbody"/>
        <w:tabs>
          <w:tab w:val="left" w:pos="2643"/>
        </w:tabs>
        <w:spacing w:after="135" w:line="240" w:lineRule="auto"/>
        <w:ind w:left="2268"/>
        <w:jc w:val="both"/>
      </w:pPr>
      <w:r>
        <w:rPr>
          <w:rFonts w:ascii="Times New Roman" w:hAnsi="Times New Roman"/>
          <w:color w:val="000000"/>
          <w:sz w:val="20"/>
          <w:szCs w:val="20"/>
        </w:rPr>
        <w:t xml:space="preserve">Como o poder, nas democracias, é legitimado pela participação daqueles que são atingidos pelo seu exercício, a participação no procedimento que culmina com </w:t>
      </w:r>
      <w:r>
        <w:rPr>
          <w:rFonts w:ascii="Times New Roman" w:hAnsi="Times New Roman"/>
          <w:color w:val="000000"/>
          <w:sz w:val="20"/>
          <w:szCs w:val="20"/>
        </w:rPr>
        <w:t>a criação da lei dá-se através da eleição de representantes capazes de criá-la, isto é, através da chamada democracia representativa. Como o juiz não é eleito, a pergunta que deve surgir é no sentido de como o exercício do poder jurisdicional é legitimado.</w:t>
      </w:r>
      <w:r>
        <w:rPr>
          <w:rFonts w:ascii="Times New Roman" w:hAnsi="Times New Roman"/>
          <w:color w:val="000000"/>
          <w:sz w:val="20"/>
          <w:szCs w:val="20"/>
        </w:rPr>
        <w:t xml:space="preserve"> Pois o exercício do poder jurisdicional somente é legítimo quando participam do procedimento que terminará na edição da decisão aqueles que serão por ela atingidos. Em outros termos, somente existirá procedimento legítimo e, portanto, processo, quando del</w:t>
      </w:r>
      <w:r>
        <w:rPr>
          <w:rFonts w:ascii="Times New Roman" w:hAnsi="Times New Roman"/>
          <w:color w:val="000000"/>
          <w:sz w:val="20"/>
          <w:szCs w:val="20"/>
        </w:rPr>
        <w:t>e participarem aqueles que serão atingidos pela decisão do juiz</w:t>
      </w:r>
    </w:p>
    <w:p w:rsidR="00470DEF" w:rsidRDefault="00DD1F92">
      <w:pPr>
        <w:pStyle w:val="Textbody"/>
        <w:spacing w:line="360" w:lineRule="auto"/>
      </w:pPr>
      <w:r>
        <w:rPr>
          <w:rFonts w:ascii="Times New Roman" w:hAnsi="Times New Roman"/>
          <w:color w:val="000000"/>
          <w:sz w:val="24"/>
          <w:szCs w:val="24"/>
        </w:rPr>
        <w:t xml:space="preserve">       Essa participação a que se refere a passagem anterior aperfeiçoa-se por meio do contraditório. Assim, redução do contraditório implica, possivelmente, diminuir o grau de participação da</w:t>
      </w:r>
      <w:r>
        <w:rPr>
          <w:rFonts w:ascii="Times New Roman" w:hAnsi="Times New Roman"/>
          <w:color w:val="000000"/>
          <w:sz w:val="24"/>
          <w:szCs w:val="24"/>
        </w:rPr>
        <w:t>s partes no processo, restringindo seu poder de influenciar no convencimento judicial, contribuindo mais uma vez, para uma possível desestruturação na segurança jurídica do processo como um todo.</w:t>
      </w:r>
    </w:p>
    <w:p w:rsidR="00470DEF" w:rsidRDefault="00DD1F92">
      <w:pPr>
        <w:pStyle w:val="Textbody"/>
        <w:spacing w:line="360" w:lineRule="auto"/>
        <w:jc w:val="both"/>
      </w:pPr>
      <w:r>
        <w:rPr>
          <w:rFonts w:ascii="Times New Roman" w:hAnsi="Times New Roman"/>
          <w:color w:val="000000"/>
          <w:sz w:val="24"/>
          <w:szCs w:val="24"/>
        </w:rPr>
        <w:t xml:space="preserve">       Uma outra inovação do NCPC sera a possibilidade de at</w:t>
      </w:r>
      <w:r>
        <w:rPr>
          <w:rFonts w:ascii="Times New Roman" w:hAnsi="Times New Roman"/>
          <w:color w:val="000000"/>
          <w:sz w:val="24"/>
          <w:szCs w:val="24"/>
        </w:rPr>
        <w:t>ribuir a prática de determinados atos processuais – de conteúdo não decisório – aos auxiliares do Juízo, caminhando para um modelo de execução administrativa, tal como já ocorre, com sucesso, em alguns países  europeus. Isto possibilitaria que os magistrad</w:t>
      </w:r>
      <w:r>
        <w:rPr>
          <w:rFonts w:ascii="Times New Roman" w:hAnsi="Times New Roman"/>
          <w:color w:val="000000"/>
          <w:sz w:val="24"/>
          <w:szCs w:val="24"/>
        </w:rPr>
        <w:t>os se concentrassem nos aspectos cruciais do processo, como a prolação de decisões.  Sistema semelhante está sendo proposto para solucionar a morosidade e ineficácia das execuções fiscais, uma vez que o Projeto de Lei nº 5.080/2009  faz nítida opção pela e</w:t>
      </w:r>
      <w:r>
        <w:rPr>
          <w:rFonts w:ascii="Times New Roman" w:hAnsi="Times New Roman"/>
          <w:color w:val="000000"/>
          <w:sz w:val="24"/>
          <w:szCs w:val="24"/>
        </w:rPr>
        <w:t xml:space="preserve">xecução administrativa reservando-se ao judiciário a participaçõ apenas nos atos de expropriação patrimonial. Trata-se de uma alternativa polêmica, pois apesar de já obter sucesso em países europeus, seria uma opção adequada ao nosso ordenamento jurídico? </w:t>
      </w:r>
      <w:r>
        <w:rPr>
          <w:rFonts w:ascii="Times New Roman" w:hAnsi="Times New Roman"/>
          <w:color w:val="000000"/>
          <w:sz w:val="24"/>
          <w:szCs w:val="24"/>
        </w:rPr>
        <w:t xml:space="preserve">E a capacitação desses profissionais da administração judiciária seria adequeada? São perguntas bem plausíveis a serem feitas em relação a esta alternativa, pois se a resposta for negativa, mais uma vez, a segurança jurídica estaria sendo deixada de lado, </w:t>
      </w:r>
      <w:r>
        <w:rPr>
          <w:rFonts w:ascii="Times New Roman" w:hAnsi="Times New Roman"/>
          <w:color w:val="000000"/>
          <w:sz w:val="24"/>
          <w:szCs w:val="24"/>
        </w:rPr>
        <w:t>em prol da celeridade.</w:t>
      </w:r>
    </w:p>
    <w:p w:rsidR="00470DEF" w:rsidRDefault="00DD1F92">
      <w:pPr>
        <w:pStyle w:val="Textbody"/>
        <w:spacing w:line="360" w:lineRule="auto"/>
        <w:jc w:val="both"/>
      </w:pPr>
      <w:r>
        <w:rPr>
          <w:rFonts w:ascii="Times New Roman" w:hAnsi="Times New Roman"/>
          <w:color w:val="000000"/>
          <w:sz w:val="24"/>
          <w:szCs w:val="24"/>
        </w:rPr>
        <w:t xml:space="preserve">       Além disso,conforme assinala Parentoni (2011),  está previsto um procedimento único para fase de conhecimento do processo,  e com isso a própria noção de procedimento especial estaria esvaziada, pois uma das características ma</w:t>
      </w:r>
      <w:r>
        <w:rPr>
          <w:rFonts w:ascii="Times New Roman" w:hAnsi="Times New Roman"/>
          <w:color w:val="000000"/>
          <w:sz w:val="24"/>
          <w:szCs w:val="24"/>
        </w:rPr>
        <w:t>rcantes do procedimento especial seria sua executividade que propiciava a  imediata satisfação do direito por provimento judicial proferido ainda  no processo de conhecimento, dispensando o ajuizamento de um  processo de execução.  Agora, com a proposta de</w:t>
      </w:r>
      <w:r>
        <w:rPr>
          <w:rFonts w:ascii="Times New Roman" w:hAnsi="Times New Roman"/>
          <w:color w:val="000000"/>
          <w:sz w:val="24"/>
          <w:szCs w:val="24"/>
        </w:rPr>
        <w:t xml:space="preserve"> novo CPC, essa executoriedade será transferida a todo o procedimento comum (e em conseqüência, a múltiplas espécies de direito material indistintamente). Com isso, um dos principais traços distintivos dos procedimentos especiais deixa de ser algo peculiar</w:t>
      </w:r>
      <w:r>
        <w:rPr>
          <w:rFonts w:ascii="Times New Roman" w:hAnsi="Times New Roman"/>
          <w:color w:val="000000"/>
          <w:sz w:val="24"/>
          <w:szCs w:val="24"/>
        </w:rPr>
        <w:t xml:space="preserve"> a eles (e ao direito material por eles tutelado), para se tornar uma característica padrão do sistema.</w:t>
      </w:r>
    </w:p>
    <w:p w:rsidR="00470DEF" w:rsidRDefault="00DD1F92">
      <w:pPr>
        <w:pStyle w:val="Textbody"/>
        <w:spacing w:line="360" w:lineRule="auto"/>
        <w:jc w:val="both"/>
      </w:pPr>
      <w:r>
        <w:rPr>
          <w:rFonts w:ascii="Times New Roman" w:hAnsi="Times New Roman"/>
          <w:color w:val="000000"/>
          <w:sz w:val="24"/>
          <w:szCs w:val="24"/>
        </w:rPr>
        <w:t xml:space="preserve">      </w:t>
      </w:r>
      <w:r>
        <w:rPr>
          <w:rFonts w:ascii="Times New Roman" w:hAnsi="Times New Roman"/>
          <w:color w:val="000000"/>
          <w:sz w:val="24"/>
          <w:szCs w:val="24"/>
        </w:rPr>
        <w:t xml:space="preserve"> Outro ponto buscado pelo novo CPC é a redução da burocracia dentro dos procedimentos. De acordo com Wambier (2014), Os procedimentos, de</w:t>
      </w:r>
      <w:bookmarkStart w:id="1" w:name="m888h96_4"/>
      <w:bookmarkEnd w:id="1"/>
      <w:r>
        <w:rPr>
          <w:rFonts w:ascii="Times New Roman" w:hAnsi="Times New Roman"/>
          <w:color w:val="000000"/>
          <w:sz w:val="24"/>
          <w:szCs w:val="24"/>
        </w:rPr>
        <w:t xml:space="preserve"> acordo c</w:t>
      </w:r>
      <w:r>
        <w:rPr>
          <w:rFonts w:ascii="Times New Roman" w:hAnsi="Times New Roman"/>
          <w:color w:val="000000"/>
          <w:sz w:val="24"/>
          <w:szCs w:val="24"/>
        </w:rPr>
        <w:t>om o novo CPC, vão ser simplificados atualmente há um excesso de formalidade devido à preocupação com fraudes e, por isso, os processos precisam de tantos carimbos e</w:t>
      </w:r>
      <w:bookmarkStart w:id="2" w:name="m888h96_1"/>
      <w:bookmarkEnd w:id="2"/>
      <w:r>
        <w:rPr>
          <w:rFonts w:ascii="Times New Roman" w:hAnsi="Times New Roman"/>
          <w:color w:val="000000"/>
          <w:sz w:val="24"/>
          <w:szCs w:val="24"/>
        </w:rPr>
        <w:t>assinaturas. A autora aduz que: “Às vezes as coisas no Brasil são emperradas por excesso de</w:t>
      </w:r>
      <w:r>
        <w:rPr>
          <w:rFonts w:ascii="Times New Roman" w:hAnsi="Times New Roman"/>
          <w:color w:val="000000"/>
          <w:sz w:val="24"/>
          <w:szCs w:val="24"/>
        </w:rPr>
        <w:t xml:space="preserve"> formalismo e burocracia. O novo código significa um voto de confiança para os operadores do direito. Suprimem-se formalidades, complicações”. Além disso há uma atenção voltada para a ordem cronológica do processo, </w:t>
      </w:r>
      <w:r>
        <w:rPr>
          <w:rFonts w:ascii="Times New Roman" w:hAnsi="Times New Roman"/>
          <w:color w:val="000000"/>
          <w:sz w:val="24"/>
          <w:szCs w:val="24"/>
        </w:rPr>
        <w:t xml:space="preserve"> uma regra clara sobre a ordem em que os </w:t>
      </w:r>
      <w:r>
        <w:rPr>
          <w:rFonts w:ascii="Times New Roman" w:hAnsi="Times New Roman"/>
          <w:color w:val="000000"/>
          <w:sz w:val="24"/>
          <w:szCs w:val="24"/>
        </w:rPr>
        <w:t>processos devem ser julgados. No projeto do novo CPC, o legislador procurou criar um mecanismo para evitar que uma ação possa ser esquecida e outras furem a fila. “O texto prevê que os juízes sigam a ordem cronológica da conclusão para proferir uma sentenç</w:t>
      </w:r>
      <w:r>
        <w:rPr>
          <w:rFonts w:ascii="Times New Roman" w:hAnsi="Times New Roman"/>
          <w:color w:val="000000"/>
          <w:sz w:val="24"/>
          <w:szCs w:val="24"/>
        </w:rPr>
        <w:t>a ou acórdão.” (WAMBIER, 2014). Prioridades já previstas em lei, como para idosos e portadores de doenças graves, serão mantidas.</w:t>
      </w:r>
    </w:p>
    <w:p w:rsidR="00470DEF" w:rsidRDefault="00DD1F92">
      <w:pPr>
        <w:pStyle w:val="Textbody"/>
        <w:spacing w:line="360" w:lineRule="auto"/>
        <w:jc w:val="both"/>
      </w:pPr>
      <w:r>
        <w:rPr>
          <w:rFonts w:ascii="Times New Roman" w:hAnsi="Times New Roman"/>
          <w:color w:val="000000"/>
          <w:sz w:val="24"/>
          <w:szCs w:val="24"/>
        </w:rPr>
        <w:t xml:space="preserve">       Por</w:t>
      </w:r>
      <w:r>
        <w:rPr>
          <w:rFonts w:ascii="Times New Roman" w:hAnsi="Times New Roman"/>
          <w:color w:val="000000"/>
          <w:sz w:val="24"/>
          <w:szCs w:val="24"/>
        </w:rPr>
        <w:t xml:space="preserve"> mais que hajam várias mudanças visando contribuir para redução da lentidão nos processos, vários autores ainda acreditam que apenas uma mudança na legislação não soluciona o problema. Conforme afirma Medina (2014): “</w:t>
      </w:r>
      <w:r>
        <w:rPr>
          <w:rFonts w:ascii="Times New Roman" w:hAnsi="Times New Roman"/>
          <w:color w:val="000000"/>
          <w:sz w:val="24"/>
          <w:szCs w:val="24"/>
        </w:rPr>
        <w:t>a lei processual ajuda, mas não resolve</w:t>
      </w:r>
      <w:r>
        <w:rPr>
          <w:rFonts w:ascii="Times New Roman" w:hAnsi="Times New Roman"/>
          <w:color w:val="000000"/>
          <w:sz w:val="24"/>
          <w:szCs w:val="24"/>
        </w:rPr>
        <w:t xml:space="preserve"> problema de morosidade”; Fonseca (2014): “O problema está no carimbo, os processos passam muito tempo parados nos escaninhos dos cartórios</w:t>
      </w:r>
      <w:r>
        <w:rPr>
          <w:rFonts w:ascii="Times New Roman" w:hAnsi="Times New Roman"/>
          <w:sz w:val="24"/>
          <w:szCs w:val="24"/>
        </w:rPr>
        <w:t xml:space="preserve"> .”</w:t>
      </w:r>
    </w:p>
    <w:p w:rsidR="00470DEF" w:rsidRDefault="00DD1F92">
      <w:pPr>
        <w:pStyle w:val="Textbody"/>
        <w:spacing w:line="360" w:lineRule="auto"/>
        <w:jc w:val="both"/>
      </w:pPr>
      <w:r>
        <w:rPr>
          <w:rFonts w:ascii="Times New Roman" w:hAnsi="Times New Roman"/>
          <w:sz w:val="24"/>
          <w:szCs w:val="24"/>
        </w:rPr>
        <w:t xml:space="preserve">       Não obstante, são inúmeras as tentativas do novo CPC no sentido de otimizar a comunicação entre tribunais </w:t>
      </w:r>
      <w:r>
        <w:rPr>
          <w:rFonts w:ascii="Times New Roman" w:hAnsi="Times New Roman"/>
          <w:sz w:val="24"/>
          <w:szCs w:val="24"/>
        </w:rPr>
        <w:t>e juízes, como dispõe o seu art. 67, que prevê a figura da cooperação jurisdicional Nacional entre Tribunais Superiores e Juízes, seja prestando informações, inclusive sobre jurisprudência predominante, seja para a prática de qualquer ato processual. Utili</w:t>
      </w:r>
      <w:r>
        <w:rPr>
          <w:rFonts w:ascii="Times New Roman" w:hAnsi="Times New Roman"/>
          <w:sz w:val="24"/>
          <w:szCs w:val="24"/>
        </w:rPr>
        <w:t>zando-se dos meios tecnológicos de correspondência, crê-se que juízes, desembargadores e ministros terão um canal de comunicação para envio de informações quase em tempo real, o que pode acelerar o convencimento do julgador em relação à matéria debatida no</w:t>
      </w:r>
      <w:r>
        <w:rPr>
          <w:rFonts w:ascii="Times New Roman" w:hAnsi="Times New Roman"/>
          <w:sz w:val="24"/>
          <w:szCs w:val="24"/>
        </w:rPr>
        <w:t>s processos. Confome aduz MORAES; LOBO (2012):</w:t>
      </w:r>
    </w:p>
    <w:p w:rsidR="00470DEF" w:rsidRDefault="00DD1F92">
      <w:pPr>
        <w:pStyle w:val="Textbody"/>
        <w:tabs>
          <w:tab w:val="left" w:pos="2553"/>
        </w:tabs>
        <w:spacing w:line="240" w:lineRule="auto"/>
        <w:ind w:left="2268"/>
        <w:jc w:val="both"/>
        <w:rPr>
          <w:sz w:val="20"/>
          <w:szCs w:val="20"/>
        </w:rPr>
      </w:pPr>
      <w:r>
        <w:rPr>
          <w:rFonts w:ascii="Times New Roman" w:hAnsi="Times New Roman"/>
          <w:sz w:val="20"/>
          <w:szCs w:val="20"/>
        </w:rPr>
        <w:t>Há também previsão (art. 307, do Novo CPC) para que o juiz julgue o processo liminarmente improcedente quando, em se tratando de matéria exclusivamente de direito, o pedido contrariar súmula do Supremo Tribuna</w:t>
      </w:r>
      <w:r>
        <w:rPr>
          <w:rFonts w:ascii="Times New Roman" w:hAnsi="Times New Roman"/>
          <w:sz w:val="20"/>
          <w:szCs w:val="20"/>
        </w:rPr>
        <w:t>l Federal ou do Superior Tribunal de Justiça; contrariar acórdão proferido pelo Supremo Tribunal Federal ou pelo Superior Tribunal de Justiça em julgamento de recursos repetitivos; ou contrariar entendimento firmado em incidente de resoluçãode demandas rep</w:t>
      </w:r>
      <w:r>
        <w:rPr>
          <w:rFonts w:ascii="Times New Roman" w:hAnsi="Times New Roman"/>
          <w:sz w:val="20"/>
          <w:szCs w:val="20"/>
        </w:rPr>
        <w:t>etitivas ou de assunção de competência.</w:t>
      </w:r>
    </w:p>
    <w:p w:rsidR="00470DEF" w:rsidRDefault="00DD1F92">
      <w:pPr>
        <w:pStyle w:val="Textbody"/>
        <w:tabs>
          <w:tab w:val="left" w:pos="285"/>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Também são trazidas algumas alterações no que tange as respostas do réu. </w:t>
      </w:r>
      <w:r>
        <w:rPr>
          <w:rFonts w:ascii="Times New Roman" w:hAnsi="Times New Roman"/>
          <w:color w:val="000000"/>
          <w:sz w:val="24"/>
          <w:szCs w:val="24"/>
        </w:rPr>
        <w:t>Consta do projeto a concentração de todas as possíveis respostas do réu (contestação propriamente, reconvenção, exceções de incompetênci</w:t>
      </w:r>
      <w:r>
        <w:rPr>
          <w:rFonts w:ascii="Times New Roman" w:hAnsi="Times New Roman"/>
          <w:color w:val="000000"/>
          <w:sz w:val="24"/>
          <w:szCs w:val="24"/>
        </w:rPr>
        <w:t>a absoluta e relativa, impugnação ao valor da causa e justiça gratuita) em uma única petição, conforme previsão do art. 338. (RIBEIRO, 2014). Essas matérias no sistema do atual CPC, com exceção da alegação de incompetência absoluta, devem se processar em a</w:t>
      </w:r>
      <w:r>
        <w:rPr>
          <w:rFonts w:ascii="Times New Roman" w:hAnsi="Times New Roman"/>
          <w:color w:val="000000"/>
          <w:sz w:val="24"/>
          <w:szCs w:val="24"/>
        </w:rPr>
        <w:t>utos apartados, além de diversas alterações quanto à contagem do prazo para resposta, reconvenção e audiência de conciliação.</w:t>
      </w:r>
    </w:p>
    <w:p w:rsidR="00470DEF" w:rsidRDefault="00DD1F92">
      <w:pPr>
        <w:pStyle w:val="Textbody"/>
        <w:tabs>
          <w:tab w:val="left" w:pos="285"/>
          <w:tab w:val="left" w:pos="405"/>
        </w:tabs>
        <w:spacing w:after="0" w:line="360" w:lineRule="auto"/>
        <w:jc w:val="both"/>
      </w:pPr>
      <w:r>
        <w:rPr>
          <w:rFonts w:ascii="Times New Roman" w:hAnsi="Times New Roman"/>
          <w:color w:val="000000"/>
          <w:sz w:val="24"/>
          <w:szCs w:val="24"/>
        </w:rPr>
        <w:t xml:space="preserve">       Em relação ao prazo para a resposta, o projeto estabelece uma forma diferenciada de início de contagem do prazo para a resp</w:t>
      </w:r>
      <w:r>
        <w:rPr>
          <w:rFonts w:ascii="Times New Roman" w:hAnsi="Times New Roman"/>
          <w:color w:val="000000"/>
          <w:sz w:val="24"/>
          <w:szCs w:val="24"/>
        </w:rPr>
        <w:t>osta do réu. Conforme o art. 335 do projeto, se a petição inicial preencher os requisitos essenciais e não for o caso de improcedência liminar do pedido, o juiz designará audiência de conciliação com antecedência mínima de trinta dias, devendo ser citado o</w:t>
      </w:r>
      <w:r>
        <w:rPr>
          <w:rFonts w:ascii="Times New Roman" w:hAnsi="Times New Roman"/>
          <w:color w:val="000000"/>
          <w:sz w:val="24"/>
          <w:szCs w:val="24"/>
        </w:rPr>
        <w:t xml:space="preserve"> réu com pelo menos vinte dias de antecedência. (RIBEIRO, 2014)</w:t>
      </w:r>
    </w:p>
    <w:p w:rsidR="00470DEF" w:rsidRDefault="00DD1F92">
      <w:pPr>
        <w:pStyle w:val="Textbody"/>
        <w:tabs>
          <w:tab w:val="left" w:pos="285"/>
          <w:tab w:val="left" w:pos="405"/>
        </w:tabs>
        <w:spacing w:after="0" w:line="360" w:lineRule="auto"/>
        <w:jc w:val="both"/>
      </w:pPr>
      <w:r>
        <w:rPr>
          <w:rFonts w:ascii="Times New Roman" w:hAnsi="Times New Roman"/>
          <w:color w:val="000000"/>
          <w:sz w:val="24"/>
          <w:szCs w:val="24"/>
        </w:rPr>
        <w:t xml:space="preserve">       Uma leitura mais apressada desse dispositivo leva a pensar que a resposta do réu deverá ser apresentada na audiência de conciliação. Porém de acordo com o art. 335, §5º do projeto, a ci</w:t>
      </w:r>
      <w:r>
        <w:rPr>
          <w:rFonts w:ascii="Times New Roman" w:hAnsi="Times New Roman"/>
          <w:color w:val="000000"/>
          <w:sz w:val="24"/>
          <w:szCs w:val="24"/>
        </w:rPr>
        <w:t>tação do réu é para comparecimento à audiência de conciliação, podendo este manifestar seu desinteresse na autocomposição através de petição no prazo de dez dias de antecedência contados da data da audiência. Entretanto restou mantida a previsão de contage</w:t>
      </w:r>
      <w:r>
        <w:rPr>
          <w:rFonts w:ascii="Times New Roman" w:hAnsi="Times New Roman"/>
          <w:color w:val="000000"/>
          <w:sz w:val="24"/>
          <w:szCs w:val="24"/>
        </w:rPr>
        <w:t>m em dobro do prazo para litisconsortes com procuradores distintos no art. 229 do projeto, porém foi extinta a previsão de prazo computado em quádruplo para contestar (CPC atual, art. 188) para a Fazenda Pública e o Ministério Público, que junto com a Defe</w:t>
      </w:r>
      <w:r>
        <w:rPr>
          <w:rFonts w:ascii="Times New Roman" w:hAnsi="Times New Roman"/>
          <w:color w:val="000000"/>
          <w:sz w:val="24"/>
          <w:szCs w:val="24"/>
        </w:rPr>
        <w:t>nsoria Pública, gozarão do prazo em dobro para suas manifestações (artigos 181, 184 e 186 do projeto, respectivamente).</w:t>
      </w:r>
    </w:p>
    <w:p w:rsidR="00470DEF" w:rsidRDefault="00DD1F92">
      <w:pPr>
        <w:pStyle w:val="Textbody"/>
        <w:tabs>
          <w:tab w:val="left" w:pos="0"/>
        </w:tabs>
        <w:spacing w:after="0" w:line="360" w:lineRule="auto"/>
        <w:jc w:val="both"/>
      </w:pPr>
      <w:r>
        <w:rPr>
          <w:rFonts w:ascii="Times New Roman" w:hAnsi="Times New Roman"/>
          <w:color w:val="000000"/>
          <w:sz w:val="24"/>
          <w:szCs w:val="24"/>
        </w:rPr>
        <w:t xml:space="preserve">        No que diz respeito a reconvenção, esta poderá vir na própria contestação, não sendo mais necessário seu oferecimento em petição</w:t>
      </w:r>
      <w:r>
        <w:rPr>
          <w:rFonts w:ascii="Times New Roman" w:hAnsi="Times New Roman"/>
          <w:color w:val="000000"/>
          <w:sz w:val="24"/>
          <w:szCs w:val="24"/>
        </w:rPr>
        <w:t xml:space="preserve"> autônoma (art. 344). Mas restou mantida a possibilidade de que o réu proponha a reconvenção independente de oferecer a contestação, em razão de tratar-se a reconvenção de uma ação incidente do réu contra o autor da ação originária, em que se propõe uma de</w:t>
      </w:r>
      <w:r>
        <w:rPr>
          <w:rFonts w:ascii="Times New Roman" w:hAnsi="Times New Roman"/>
          <w:color w:val="000000"/>
          <w:sz w:val="24"/>
          <w:szCs w:val="24"/>
        </w:rPr>
        <w:t>manda conexa com a ação principal ou com o fundamento da defesa (art. 344, §7º). (RIBEIRO, 2014)</w:t>
      </w:r>
    </w:p>
    <w:p w:rsidR="00470DEF" w:rsidRDefault="00DD1F92">
      <w:pPr>
        <w:pStyle w:val="Textbody"/>
        <w:spacing w:after="135" w:line="360" w:lineRule="auto"/>
        <w:jc w:val="both"/>
        <w:rPr>
          <w:rFonts w:ascii="Times New Roman" w:hAnsi="Times New Roman"/>
          <w:color w:val="000000"/>
          <w:sz w:val="24"/>
          <w:szCs w:val="24"/>
        </w:rPr>
      </w:pPr>
      <w:r>
        <w:rPr>
          <w:rFonts w:ascii="Times New Roman" w:hAnsi="Times New Roman"/>
          <w:color w:val="000000"/>
          <w:sz w:val="24"/>
          <w:szCs w:val="24"/>
        </w:rPr>
        <w:t xml:space="preserve">       O autor na reconvenção é o réu do processo originário, sendo réu o autor daquele. Porém no projeto a legitimação ativa e passiva na reconvenção foi ampl</w:t>
      </w:r>
      <w:r>
        <w:rPr>
          <w:rFonts w:ascii="Times New Roman" w:hAnsi="Times New Roman"/>
          <w:color w:val="000000"/>
          <w:sz w:val="24"/>
          <w:szCs w:val="24"/>
        </w:rPr>
        <w:t>iada, na medida em que passa a admitir que o réu proponha a reconvenção em litisconsórcio ativo com terceiro, bem como que seja proposta a reconvenção em face do autor da ação originária em litisconsórcio passivo com um terceiro (art. 344, §§ 4º e 5º).</w:t>
      </w:r>
    </w:p>
    <w:p w:rsidR="00470DEF" w:rsidRDefault="00DD1F92">
      <w:pPr>
        <w:pStyle w:val="Textbody"/>
        <w:tabs>
          <w:tab w:val="left" w:pos="585"/>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Proposta a reconvenção, intima-se o autor na pessoa de seu advogado para responder no prazo de 15 dias (art. 344, §1º). A desistência da ação ou a ocorrência de causa extintiva que impeça o exame do mérito da ação não obsta o prosseguimento do proce</w:t>
      </w:r>
      <w:r>
        <w:rPr>
          <w:rFonts w:ascii="Times New Roman" w:hAnsi="Times New Roman"/>
          <w:color w:val="000000"/>
          <w:sz w:val="24"/>
          <w:szCs w:val="24"/>
        </w:rPr>
        <w:t>sso quanto à reconvenção (art. 344, §2º), uma vez que a reconvenção é uma ação autônoma incidental, não estando necessariamente seu desfecho vinculado ao destino da ação principal.</w:t>
      </w:r>
    </w:p>
    <w:p w:rsidR="00470DEF" w:rsidRDefault="00DD1F92">
      <w:pPr>
        <w:pStyle w:val="Textbody"/>
        <w:spacing w:after="135" w:line="360" w:lineRule="auto"/>
        <w:jc w:val="both"/>
        <w:rPr>
          <w:rFonts w:ascii="Times New Roman" w:hAnsi="Times New Roman"/>
          <w:color w:val="000000"/>
          <w:sz w:val="24"/>
          <w:szCs w:val="24"/>
        </w:rPr>
      </w:pPr>
      <w:r>
        <w:rPr>
          <w:rFonts w:ascii="Times New Roman" w:hAnsi="Times New Roman"/>
          <w:color w:val="000000"/>
          <w:sz w:val="24"/>
          <w:szCs w:val="24"/>
        </w:rPr>
        <w:t>Assim, poderá a reconvenção ser indeferida liminarmente ou julgada liminarm</w:t>
      </w:r>
      <w:r>
        <w:rPr>
          <w:rFonts w:ascii="Times New Roman" w:hAnsi="Times New Roman"/>
          <w:color w:val="000000"/>
          <w:sz w:val="24"/>
          <w:szCs w:val="24"/>
        </w:rPr>
        <w:t>ente improcedente, cabendo dessa decisão agravo de instrumento, por expressa disposição do art. 344, §3º, não sendo mais obrigatório o julgamento de ação e reconvenção na mesma sentença.</w:t>
      </w:r>
    </w:p>
    <w:p w:rsidR="00470DEF" w:rsidRDefault="00DD1F92">
      <w:pPr>
        <w:pStyle w:val="Textbody"/>
        <w:spacing w:after="135" w:line="360" w:lineRule="auto"/>
        <w:jc w:val="both"/>
        <w:rPr>
          <w:rFonts w:ascii="Times New Roman" w:hAnsi="Times New Roman"/>
          <w:color w:val="000000"/>
          <w:sz w:val="24"/>
          <w:szCs w:val="24"/>
        </w:rPr>
      </w:pPr>
      <w:r>
        <w:rPr>
          <w:rFonts w:ascii="Times New Roman" w:hAnsi="Times New Roman"/>
          <w:color w:val="000000"/>
          <w:sz w:val="24"/>
          <w:szCs w:val="24"/>
        </w:rPr>
        <w:t xml:space="preserve">       De acordo com o art. 344, §6º do projeto, se o autor for subst</w:t>
      </w:r>
      <w:r>
        <w:rPr>
          <w:rFonts w:ascii="Times New Roman" w:hAnsi="Times New Roman"/>
          <w:color w:val="000000"/>
          <w:sz w:val="24"/>
          <w:szCs w:val="24"/>
        </w:rPr>
        <w:t>ituto processual, o reconvinte deverá afirmar ser titular de direito em face do substituído e a reconvenção deverá ser proposta em face do autor, também na qualidade de substituto processual.</w:t>
      </w:r>
    </w:p>
    <w:p w:rsidR="00470DEF" w:rsidRDefault="00DD1F92">
      <w:pPr>
        <w:pStyle w:val="Textbody"/>
        <w:spacing w:after="135" w:line="360" w:lineRule="auto"/>
        <w:jc w:val="both"/>
      </w:pPr>
      <w:r>
        <w:rPr>
          <w:rFonts w:ascii="Times New Roman" w:hAnsi="Times New Roman"/>
          <w:color w:val="000000"/>
          <w:sz w:val="24"/>
          <w:szCs w:val="24"/>
        </w:rPr>
        <w:t xml:space="preserve">       Embora se notem importantes alterações, bem como as novas</w:t>
      </w:r>
      <w:r>
        <w:rPr>
          <w:rFonts w:ascii="Times New Roman" w:hAnsi="Times New Roman"/>
          <w:color w:val="000000"/>
          <w:sz w:val="24"/>
          <w:szCs w:val="24"/>
        </w:rPr>
        <w:t xml:space="preserve"> ferramentas a serem utilizadas pelo judiciário se faz necessário atentar para o fato de que isto pode ser um instrumento perigoso porque dá ao Judiciário ferramentas poderosas que, num cenário diferente, poderiam ser muito úteis à efetividade da prestação</w:t>
      </w:r>
      <w:r>
        <w:rPr>
          <w:rFonts w:ascii="Times New Roman" w:hAnsi="Times New Roman"/>
          <w:color w:val="000000"/>
          <w:sz w:val="24"/>
          <w:szCs w:val="24"/>
        </w:rPr>
        <w:t xml:space="preserve"> jurisdicional. Porém, na realidade brasileira, as condições de trabalho não permitirão ao Judiciário o exercício razoável de seus "novos" poderes. Um risco à segurança jurídica. (MESQUITA, 2011). Faz-se importante atentar que o novo CPC não resolverá os p</w:t>
      </w:r>
      <w:r>
        <w:rPr>
          <w:rFonts w:ascii="Times New Roman" w:hAnsi="Times New Roman"/>
          <w:color w:val="000000"/>
          <w:sz w:val="24"/>
          <w:szCs w:val="24"/>
        </w:rPr>
        <w:t>roblemas que hoje temos, dentre outras coisas, se a estrutura responsável pelo processo, por seu "impulso oficial" não for modernizada. Essa é uma constatação que Francesco Carnelutti já havia feito na metade do século XX:</w:t>
      </w:r>
    </w:p>
    <w:p w:rsidR="00470DEF" w:rsidRDefault="00DD1F92">
      <w:pPr>
        <w:pStyle w:val="Textbody"/>
        <w:tabs>
          <w:tab w:val="left" w:pos="2823"/>
        </w:tabs>
        <w:spacing w:after="0" w:line="240" w:lineRule="auto"/>
        <w:ind w:left="2268"/>
        <w:jc w:val="both"/>
        <w:rPr>
          <w:rFonts w:ascii="Times New Roman" w:hAnsi="Times New Roman"/>
          <w:color w:val="000000"/>
          <w:sz w:val="20"/>
          <w:szCs w:val="20"/>
        </w:rPr>
      </w:pPr>
      <w:r>
        <w:rPr>
          <w:rFonts w:ascii="Times New Roman" w:hAnsi="Times New Roman"/>
          <w:color w:val="000000"/>
          <w:sz w:val="20"/>
          <w:szCs w:val="20"/>
        </w:rPr>
        <w:t xml:space="preserve">Os interessados, ou seja, entre </w:t>
      </w:r>
      <w:r>
        <w:rPr>
          <w:rFonts w:ascii="Times New Roman" w:hAnsi="Times New Roman"/>
          <w:color w:val="000000"/>
          <w:sz w:val="20"/>
          <w:szCs w:val="20"/>
        </w:rPr>
        <w:t>os técnicos do processo, juízes, advogados e partes, têm a consciência de que o mecanismo funciona mal. Esta consciência aflora ocasionalmente nos ambientes legislativos, mas quase nunca parece que houve outra coisa a fazer a não ser modificar as leis proc</w:t>
      </w:r>
      <w:r>
        <w:rPr>
          <w:rFonts w:ascii="Times New Roman" w:hAnsi="Times New Roman"/>
          <w:color w:val="000000"/>
          <w:sz w:val="20"/>
          <w:szCs w:val="20"/>
        </w:rPr>
        <w:t>essuais, sobre as quais costuma-se colocar a responsabilidade do mau serviço judiciário, para empregar uma palavra que já entrou no uso corrente. Também ouvimos falar em reformas urgentes do Código de Procedimento Penal e do Código de Procedimento Civil, e</w:t>
      </w:r>
      <w:r>
        <w:rPr>
          <w:rFonts w:ascii="Times New Roman" w:hAnsi="Times New Roman"/>
          <w:color w:val="000000"/>
          <w:sz w:val="20"/>
          <w:szCs w:val="20"/>
        </w:rPr>
        <w:t xml:space="preserve"> todos parecem acreditar não apenas que com estas reformas o Estado tenha cumprido seu dever, como também que dessas reformas surgirão, Deus sabe como, melhorias na administração da justiça. Tenho o dever de desenganar o público a quem me dirijo, dissuadin</w:t>
      </w:r>
      <w:r>
        <w:rPr>
          <w:rFonts w:ascii="Times New Roman" w:hAnsi="Times New Roman"/>
          <w:color w:val="000000"/>
          <w:sz w:val="20"/>
          <w:szCs w:val="20"/>
        </w:rPr>
        <w:t>do-o de cultivar estas que não seriam esperanças, mas verdadeiras ilusões. Certamente, nossas leis processuais não são perfeitas, mas, em primeiro lugar, são bastante menos más do que se diz; em segundo lugar, se bem que fossem muito melhores, as coisas nã</w:t>
      </w:r>
      <w:r>
        <w:rPr>
          <w:rFonts w:ascii="Times New Roman" w:hAnsi="Times New Roman"/>
          <w:color w:val="000000"/>
          <w:sz w:val="20"/>
          <w:szCs w:val="20"/>
        </w:rPr>
        <w:t>o andariam melhor, pois o defeito está, muito mais do que nas leis, nos homens e nas coisas.</w:t>
      </w:r>
    </w:p>
    <w:p w:rsidR="00470DEF" w:rsidRDefault="00DD1F92">
      <w:pPr>
        <w:pStyle w:val="Textbody"/>
        <w:spacing w:line="360" w:lineRule="auto"/>
        <w:jc w:val="both"/>
      </w:pPr>
      <w:r>
        <w:rPr>
          <w:rFonts w:ascii="Helvetica Neue" w:hAnsi="Helvetica Neue"/>
          <w:color w:val="000000"/>
          <w:sz w:val="19"/>
        </w:rPr>
        <w:br/>
      </w:r>
      <w:r>
        <w:rPr>
          <w:rFonts w:ascii="Helvetica Neue" w:hAnsi="Helvetica Neue"/>
          <w:color w:val="000000"/>
          <w:sz w:val="19"/>
        </w:rPr>
        <w:br/>
      </w:r>
      <w:r>
        <w:rPr>
          <w:rFonts w:ascii="Times New Roman" w:hAnsi="Times New Roman"/>
          <w:b/>
          <w:bCs/>
          <w:sz w:val="24"/>
          <w:szCs w:val="24"/>
        </w:rPr>
        <w:t>CONCLUSÃO:</w:t>
      </w:r>
    </w:p>
    <w:p w:rsidR="00470DEF" w:rsidRDefault="00DD1F92">
      <w:pPr>
        <w:pStyle w:val="Textbody"/>
        <w:tabs>
          <w:tab w:val="left" w:pos="285"/>
        </w:tabs>
        <w:spacing w:after="0" w:line="360" w:lineRule="auto"/>
        <w:jc w:val="both"/>
      </w:pPr>
      <w:r>
        <w:rPr>
          <w:rFonts w:ascii="Times New Roman" w:hAnsi="Times New Roman"/>
          <w:b/>
          <w:bCs/>
          <w:color w:val="000000"/>
          <w:sz w:val="24"/>
          <w:szCs w:val="24"/>
        </w:rPr>
        <w:t xml:space="preserve">       As inovações trazidas pelo projeto buscam dar efetividade aos princípios da economia processual e da razoável duração do processo, concentrand</w:t>
      </w:r>
      <w:r>
        <w:rPr>
          <w:rFonts w:ascii="Times New Roman" w:hAnsi="Times New Roman"/>
          <w:b/>
          <w:bCs/>
          <w:color w:val="000000"/>
          <w:sz w:val="24"/>
          <w:szCs w:val="24"/>
        </w:rPr>
        <w:t>o um maior número de atos processuais, evitando a realização de atos inúteis e a repetição de demandas, quando possível solucionar diversas questões dentro do mesmo processo. Porém, todas essas inovações trazem sérios riscos à segurança jurídica, pois traz</w:t>
      </w:r>
      <w:r>
        <w:rPr>
          <w:rFonts w:ascii="Times New Roman" w:hAnsi="Times New Roman"/>
          <w:b/>
          <w:bCs/>
          <w:color w:val="000000"/>
          <w:sz w:val="24"/>
          <w:szCs w:val="24"/>
        </w:rPr>
        <w:t xml:space="preserve"> em seu bojo limitação </w:t>
      </w:r>
      <w:r>
        <w:rPr>
          <w:rFonts w:ascii="Times New Roman" w:hAnsi="Times New Roman"/>
          <w:color w:val="000000"/>
          <w:sz w:val="24"/>
          <w:szCs w:val="24"/>
        </w:rPr>
        <w:t>à ampla defesa, ao direito de prova e ao contraditório.</w:t>
      </w:r>
    </w:p>
    <w:p w:rsidR="00470DEF" w:rsidRDefault="00DD1F92">
      <w:pPr>
        <w:pStyle w:val="Textbody"/>
        <w:tabs>
          <w:tab w:val="left" w:pos="285"/>
        </w:tabs>
        <w:spacing w:after="0" w:line="360" w:lineRule="auto"/>
        <w:jc w:val="both"/>
      </w:pPr>
      <w:r>
        <w:rPr>
          <w:rFonts w:ascii="Times New Roman" w:hAnsi="Times New Roman"/>
          <w:b/>
          <w:bCs/>
          <w:color w:val="000000"/>
          <w:sz w:val="24"/>
          <w:szCs w:val="24"/>
        </w:rPr>
        <w:t xml:space="preserve">         O novo projeto simplesmente ignora a tendência de processo eletrônico presente no Brasil, o que demonstra um verdadeiro retrocesso. Além disso, a</w:t>
      </w:r>
      <w:r>
        <w:rPr>
          <w:rFonts w:ascii="Times New Roman" w:hAnsi="Times New Roman"/>
          <w:color w:val="000000"/>
          <w:sz w:val="24"/>
          <w:szCs w:val="24"/>
        </w:rPr>
        <w:t xml:space="preserve"> autorização para a flexibilização do procedimento, certamente, não permitirá a reabertura do prazo </w:t>
      </w:r>
      <w:r>
        <w:rPr>
          <w:rFonts w:ascii="Times New Roman" w:hAnsi="Times New Roman"/>
          <w:color w:val="000000"/>
          <w:sz w:val="24"/>
          <w:szCs w:val="24"/>
        </w:rPr>
        <w:t>após a sua consumação. Ademais, o art. 299 do projeto é desnecessário. A motivação das decisões judiciais é imperativo de ordem constitucional (art. 93, XI, da CF). Não será essa regra que eliminará do universo jurídico as condenáveis decisões padronizadas</w:t>
      </w:r>
      <w:r>
        <w:rPr>
          <w:rFonts w:ascii="Times New Roman" w:hAnsi="Times New Roman"/>
          <w:color w:val="000000"/>
          <w:sz w:val="24"/>
          <w:szCs w:val="24"/>
        </w:rPr>
        <w:t>. O que as eliminará é a censura das instâncias superiores (que, inclusive, também têm o dever de motivação de suas decisões liminares) e uma constante conscientização e valoração do papel do juiz no Estado Democrático de Direito.</w:t>
      </w:r>
    </w:p>
    <w:p w:rsidR="00470DEF" w:rsidRDefault="00DD1F92">
      <w:pPr>
        <w:pStyle w:val="Textbody"/>
        <w:tabs>
          <w:tab w:val="left" w:pos="285"/>
        </w:tabs>
        <w:spacing w:after="0" w:line="360" w:lineRule="auto"/>
        <w:jc w:val="both"/>
      </w:pPr>
      <w:r>
        <w:rPr>
          <w:rFonts w:ascii="Times New Roman" w:hAnsi="Times New Roman"/>
          <w:color w:val="000000"/>
          <w:sz w:val="24"/>
          <w:szCs w:val="24"/>
        </w:rPr>
        <w:t xml:space="preserve">       O regime da funda</w:t>
      </w:r>
      <w:r>
        <w:rPr>
          <w:rFonts w:ascii="Times New Roman" w:hAnsi="Times New Roman"/>
          <w:color w:val="000000"/>
          <w:sz w:val="24"/>
          <w:szCs w:val="24"/>
        </w:rPr>
        <w:t>mentação das decisões judiciais, ademais, está muito bem explicitado (</w:t>
      </w:r>
      <w:r>
        <w:rPr>
          <w:rFonts w:ascii="Times New Roman" w:hAnsi="Times New Roman"/>
          <w:i/>
          <w:color w:val="000000"/>
          <w:sz w:val="24"/>
          <w:szCs w:val="24"/>
        </w:rPr>
        <w:t xml:space="preserve">loas </w:t>
      </w:r>
      <w:r>
        <w:rPr>
          <w:rFonts w:ascii="Times New Roman" w:hAnsi="Times New Roman"/>
          <w:color w:val="000000"/>
          <w:sz w:val="24"/>
          <w:szCs w:val="24"/>
        </w:rPr>
        <w:t xml:space="preserve">ao projeto) no art. 499, não havendo necessidade do repetido </w:t>
      </w:r>
      <w:r>
        <w:rPr>
          <w:rFonts w:ascii="Times New Roman" w:hAnsi="Times New Roman"/>
          <w:color w:val="000000"/>
          <w:sz w:val="24"/>
          <w:szCs w:val="24"/>
        </w:rPr>
        <w:t>“lembrete</w:t>
      </w:r>
      <w:r>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constante do art. 299. O estéril dispositivo pode ser perfeitamente suprimido, mas se decidida pela sua manut</w:t>
      </w:r>
      <w:r>
        <w:rPr>
          <w:rFonts w:ascii="Times New Roman" w:hAnsi="Times New Roman"/>
          <w:color w:val="000000"/>
          <w:sz w:val="24"/>
          <w:szCs w:val="24"/>
        </w:rPr>
        <w:t>enção, de fato não haverá prejuízo ao projeto.</w:t>
      </w:r>
      <w:r>
        <w:rPr>
          <w:rFonts w:ascii="Times New Roman" w:hAnsi="Times New Roman"/>
          <w:color w:val="000000"/>
          <w:sz w:val="24"/>
          <w:szCs w:val="24"/>
        </w:rPr>
        <w:t xml:space="preserve"> I</w:t>
      </w:r>
      <w:r>
        <w:rPr>
          <w:rFonts w:ascii="Times New Roman" w:hAnsi="Times New Roman"/>
          <w:color w:val="000000"/>
          <w:sz w:val="24"/>
          <w:szCs w:val="24"/>
        </w:rPr>
        <w:t>nsuficiente, por outro lado, deixar para a doutrina e a jurisprudência disciplinarem a relação entre incidente de resolução de demandas repetitivas e ações coletivas que versem sobre a mesma questão, ainda ma</w:t>
      </w:r>
      <w:r>
        <w:rPr>
          <w:rFonts w:ascii="Times New Roman" w:hAnsi="Times New Roman"/>
          <w:color w:val="000000"/>
          <w:sz w:val="24"/>
          <w:szCs w:val="24"/>
        </w:rPr>
        <w:t>is sem estabelecer nenhum critério a ser observado, permitindo a mais absoluta insegurança jurídica até que a matéria seja algum dia, apreciada pelos tribunais superiores.</w:t>
      </w:r>
    </w:p>
    <w:p w:rsidR="00470DEF" w:rsidRDefault="00DD1F92">
      <w:pPr>
        <w:pStyle w:val="Textbody"/>
        <w:tabs>
          <w:tab w:val="left" w:pos="285"/>
        </w:tabs>
        <w:spacing w:after="0" w:line="360" w:lineRule="auto"/>
        <w:jc w:val="both"/>
      </w:pPr>
      <w:r>
        <w:rPr>
          <w:rFonts w:ascii="Times New Roman" w:hAnsi="Times New Roman"/>
          <w:color w:val="000000"/>
          <w:sz w:val="24"/>
          <w:szCs w:val="24"/>
        </w:rPr>
        <w:t xml:space="preserve">       Alguns autores inclusive acreditam que o novo CPC confere extrema autoridade </w:t>
      </w:r>
      <w:r>
        <w:rPr>
          <w:rFonts w:ascii="Times New Roman" w:hAnsi="Times New Roman"/>
          <w:color w:val="000000"/>
          <w:sz w:val="24"/>
          <w:szCs w:val="24"/>
        </w:rPr>
        <w:t>aos juízes, deixando advogados e demais operadores do direito a mercê de duas decisões.</w:t>
      </w:r>
    </w:p>
    <w:p w:rsidR="00470DEF" w:rsidRDefault="00DD1F92">
      <w:pPr>
        <w:pStyle w:val="Textbody"/>
        <w:tabs>
          <w:tab w:val="left" w:pos="285"/>
        </w:tabs>
        <w:spacing w:line="360" w:lineRule="auto"/>
        <w:jc w:val="both"/>
      </w:pPr>
      <w:r>
        <w:rPr>
          <w:rFonts w:ascii="Times New Roman" w:hAnsi="Times New Roman"/>
          <w:sz w:val="24"/>
          <w:szCs w:val="24"/>
        </w:rPr>
        <w:t xml:space="preserve"> </w:t>
      </w:r>
      <w:r>
        <w:rPr>
          <w:rFonts w:ascii="Times New Roman" w:hAnsi="Times New Roman"/>
          <w:b/>
          <w:bCs/>
          <w:color w:val="000000"/>
          <w:sz w:val="24"/>
          <w:szCs w:val="24"/>
        </w:rPr>
        <w:br/>
      </w:r>
      <w:r>
        <w:rPr>
          <w:rFonts w:ascii="Times New Roman" w:hAnsi="Times New Roman"/>
          <w:b/>
          <w:bCs/>
          <w:color w:val="000000"/>
          <w:sz w:val="24"/>
          <w:szCs w:val="24"/>
        </w:rPr>
        <w:t>REFERÊNCIAS</w:t>
      </w:r>
    </w:p>
    <w:p w:rsidR="00470DEF" w:rsidRDefault="00DD1F92">
      <w:pPr>
        <w:pStyle w:val="Textbody"/>
        <w:jc w:val="both"/>
      </w:pPr>
      <w:r>
        <w:rPr>
          <w:rFonts w:ascii="Times New Roman" w:hAnsi="Times New Roman"/>
          <w:color w:val="000000"/>
          <w:sz w:val="24"/>
          <w:szCs w:val="24"/>
        </w:rPr>
        <w:t xml:space="preserve">FONSECA, João Francisco da; MEDINA, José Miguel Garcia; WAMBIER, Teresa Alvim. </w:t>
      </w:r>
      <w:r>
        <w:rPr>
          <w:rFonts w:ascii="Times New Roman" w:hAnsi="Times New Roman"/>
          <w:b/>
          <w:bCs/>
          <w:color w:val="000000"/>
          <w:sz w:val="24"/>
          <w:szCs w:val="24"/>
        </w:rPr>
        <w:t>Novo CPC é menos burocrático, mas não promete celeridade</w:t>
      </w:r>
      <w:r>
        <w:rPr>
          <w:rFonts w:ascii="Times New Roman" w:hAnsi="Times New Roman"/>
          <w:color w:val="000000"/>
          <w:sz w:val="24"/>
          <w:szCs w:val="24"/>
        </w:rPr>
        <w:t>.</w:t>
      </w:r>
      <w:r>
        <w:rPr>
          <w:rFonts w:ascii="Times New Roman" w:hAnsi="Times New Roman"/>
          <w:color w:val="000000"/>
          <w:sz w:val="24"/>
          <w:szCs w:val="24"/>
        </w:rPr>
        <w:t>Disponível em: &lt;ht</w:t>
      </w:r>
      <w:r>
        <w:rPr>
          <w:rFonts w:ascii="Times New Roman" w:hAnsi="Times New Roman"/>
          <w:color w:val="000000"/>
          <w:sz w:val="24"/>
          <w:szCs w:val="24"/>
        </w:rPr>
        <w:t xml:space="preserve">tp://www.gazetadopovo.com.br/vidapublica/justica-direito/conteudo.phtml?id=146253&gt;. Acesso em: 29 out, 2014.  </w:t>
      </w:r>
    </w:p>
    <w:p w:rsidR="00470DEF" w:rsidRDefault="00DD1F92">
      <w:pPr>
        <w:pStyle w:val="Textbody"/>
        <w:jc w:val="both"/>
      </w:pPr>
      <w:r>
        <w:rPr>
          <w:rFonts w:ascii="Times New Roman" w:hAnsi="Times New Roman"/>
          <w:color w:val="000000"/>
          <w:sz w:val="24"/>
          <w:szCs w:val="24"/>
        </w:rPr>
        <w:t xml:space="preserve">LOBO, Mendes Arthur; MORAES, João Batista de. </w:t>
      </w:r>
      <w:r>
        <w:rPr>
          <w:rFonts w:ascii="Times New Roman" w:hAnsi="Times New Roman"/>
          <w:b/>
          <w:bCs/>
          <w:color w:val="000000"/>
          <w:sz w:val="24"/>
          <w:szCs w:val="24"/>
        </w:rPr>
        <w:t>D</w:t>
      </w:r>
      <w:r>
        <w:rPr>
          <w:rFonts w:ascii="Times New Roman" w:hAnsi="Times New Roman"/>
          <w:b/>
          <w:bCs/>
          <w:sz w:val="24"/>
          <w:szCs w:val="24"/>
        </w:rPr>
        <w:t>esafios e avanços do novo cpc diante da persistente insegurança jurídica: a urgente necessidade de</w:t>
      </w:r>
      <w:r>
        <w:rPr>
          <w:rFonts w:ascii="Times New Roman" w:hAnsi="Times New Roman"/>
          <w:b/>
          <w:bCs/>
          <w:sz w:val="24"/>
          <w:szCs w:val="24"/>
        </w:rPr>
        <w:t xml:space="preserve"> estabilização da jurisprudência. </w:t>
      </w:r>
      <w:r>
        <w:rPr>
          <w:rFonts w:ascii="Times New Roman" w:hAnsi="Times New Roman"/>
          <w:sz w:val="24"/>
          <w:szCs w:val="24"/>
        </w:rPr>
        <w:t>Revista Jurídica UNIARAXÁ, Araxá, v. 16, n. 15, p. 64-85, ago. 2012.</w:t>
      </w:r>
    </w:p>
    <w:p w:rsidR="00470DEF" w:rsidRDefault="00DD1F92">
      <w:pPr>
        <w:pStyle w:val="Standard"/>
        <w:jc w:val="both"/>
      </w:pPr>
      <w:r>
        <w:rPr>
          <w:rFonts w:ascii="Times New Roman" w:hAnsi="Times New Roman"/>
          <w:color w:val="000000"/>
          <w:sz w:val="24"/>
          <w:szCs w:val="24"/>
        </w:rPr>
        <w:t xml:space="preserve">MARINONI, Luiz Guilherme; ARENHART, Sérgio Cruz. </w:t>
      </w:r>
      <w:r>
        <w:rPr>
          <w:rFonts w:ascii="Times New Roman" w:hAnsi="Times New Roman"/>
          <w:b/>
          <w:bCs/>
          <w:color w:val="000000"/>
          <w:sz w:val="24"/>
          <w:szCs w:val="24"/>
        </w:rPr>
        <w:t>Manual do Processo de Conhecimento:</w:t>
      </w:r>
      <w:r>
        <w:rPr>
          <w:rFonts w:ascii="Times New Roman" w:hAnsi="Times New Roman"/>
          <w:color w:val="000000"/>
          <w:sz w:val="24"/>
          <w:szCs w:val="24"/>
        </w:rPr>
        <w:t xml:space="preserve"> A tutela jurisdicional através do processo de conhecimento. 2. ed. São Paulo: Revista dos Tribunais, 2003.</w:t>
      </w:r>
    </w:p>
    <w:p w:rsidR="00470DEF" w:rsidRDefault="00DD1F92">
      <w:pPr>
        <w:pStyle w:val="Textbody"/>
        <w:jc w:val="both"/>
      </w:pPr>
      <w:r>
        <w:rPr>
          <w:rFonts w:ascii="Times New Roman" w:hAnsi="Times New Roman"/>
          <w:sz w:val="24"/>
          <w:szCs w:val="24"/>
        </w:rPr>
        <w:t xml:space="preserve">MESQUITA. Gil Ferreira De. </w:t>
      </w:r>
      <w:r>
        <w:rPr>
          <w:rFonts w:ascii="Times New Roman" w:hAnsi="Times New Roman"/>
          <w:b/>
          <w:bCs/>
          <w:sz w:val="24"/>
          <w:szCs w:val="24"/>
        </w:rPr>
        <w:t xml:space="preserve">Críticas ao Projeto do novo CPC (ou o fim do conto de fadas!). </w:t>
      </w:r>
      <w:r>
        <w:rPr>
          <w:rFonts w:ascii="Times New Roman" w:hAnsi="Times New Roman"/>
          <w:sz w:val="24"/>
          <w:szCs w:val="24"/>
        </w:rPr>
        <w:t>Disponível em: &lt;http://www.gilmesquita.com/2011/06/critica</w:t>
      </w:r>
      <w:r>
        <w:rPr>
          <w:rFonts w:ascii="Times New Roman" w:hAnsi="Times New Roman"/>
          <w:sz w:val="24"/>
          <w:szCs w:val="24"/>
        </w:rPr>
        <w:t>s-ao-peojeto-do-novo-cpc-ou-o.html&gt;. Acesso em: 27 out, 2014.</w:t>
      </w:r>
    </w:p>
    <w:p w:rsidR="00470DEF" w:rsidRDefault="00DD1F92">
      <w:pPr>
        <w:pStyle w:val="Standard"/>
      </w:pPr>
      <w:r>
        <w:rPr>
          <w:rFonts w:ascii="Times New Roman" w:hAnsi="Times New Roman"/>
          <w:color w:val="000000"/>
          <w:sz w:val="24"/>
          <w:szCs w:val="24"/>
        </w:rPr>
        <w:t xml:space="preserve">NERY JUNIOR, Nelson. </w:t>
      </w:r>
      <w:r>
        <w:rPr>
          <w:rStyle w:val="StrongEmphasis"/>
          <w:rFonts w:ascii="Times New Roman" w:hAnsi="Times New Roman"/>
          <w:color w:val="000000"/>
          <w:sz w:val="24"/>
          <w:szCs w:val="24"/>
        </w:rPr>
        <w:t xml:space="preserve">Princípios do Processo na Constituição Federal: processo civil, penal e administrativo. </w:t>
      </w:r>
      <w:r>
        <w:rPr>
          <w:rFonts w:ascii="Times New Roman" w:hAnsi="Times New Roman"/>
          <w:color w:val="000000"/>
          <w:sz w:val="24"/>
          <w:szCs w:val="24"/>
        </w:rPr>
        <w:t>9ª ed. São Paulo: Revista dos Tribunais, 2009.</w:t>
      </w:r>
    </w:p>
    <w:p w:rsidR="00470DEF" w:rsidRDefault="00DD1F92">
      <w:pPr>
        <w:pStyle w:val="Textbody"/>
        <w:jc w:val="both"/>
      </w:pPr>
      <w:r>
        <w:rPr>
          <w:rFonts w:ascii="Times New Roman" w:hAnsi="Times New Roman"/>
          <w:color w:val="000000"/>
          <w:sz w:val="24"/>
          <w:szCs w:val="24"/>
        </w:rPr>
        <w:t xml:space="preserve">PARENTONI, Leonardo Netto. </w:t>
      </w:r>
      <w:r>
        <w:rPr>
          <w:rFonts w:ascii="Times New Roman" w:hAnsi="Times New Roman"/>
          <w:b/>
          <w:bCs/>
          <w:color w:val="000000"/>
          <w:sz w:val="24"/>
          <w:szCs w:val="24"/>
        </w:rPr>
        <w:t>A celeridad</w:t>
      </w:r>
      <w:r>
        <w:rPr>
          <w:rFonts w:ascii="Times New Roman" w:hAnsi="Times New Roman"/>
          <w:b/>
          <w:bCs/>
          <w:color w:val="000000"/>
          <w:sz w:val="24"/>
          <w:szCs w:val="24"/>
        </w:rPr>
        <w:t>e no projeto do novo CPC.</w:t>
      </w:r>
      <w:r>
        <w:rPr>
          <w:rFonts w:ascii="Times New Roman" w:hAnsi="Times New Roman"/>
          <w:color w:val="000000"/>
          <w:sz w:val="24"/>
          <w:szCs w:val="24"/>
        </w:rPr>
        <w:t xml:space="preserve"> Disponível em: &lt;</w:t>
      </w:r>
      <w:r>
        <w:rPr>
          <w:rFonts w:ascii="Times New Roman" w:hAnsi="Times New Roman"/>
          <w:color w:val="000000"/>
          <w:sz w:val="24"/>
          <w:szCs w:val="24"/>
        </w:rPr>
        <w:t xml:space="preserve"> https://www.google.com.br/urlsa=t&amp;rct=j&amp;q=&amp;esrc=s&amp;source=web&amp;cd=20&amp;cad=rja&amp;uact=8&amp;ved=0CFEQFjAJOAo&amp;url=http%3A%2F%2Fwww.direito.ufmg.br%2Frevista%2Findex.php%2Frevista%2Fart%2F152%2F141&amp;&gt;. Acesso em : 29 set, 2014</w:t>
      </w:r>
      <w:r>
        <w:rPr>
          <w:rFonts w:ascii="Times New Roman" w:hAnsi="Times New Roman"/>
          <w:color w:val="000000"/>
          <w:sz w:val="24"/>
          <w:szCs w:val="24"/>
        </w:rPr>
        <w:t>.</w:t>
      </w:r>
    </w:p>
    <w:p w:rsidR="00470DEF" w:rsidRDefault="00DD1F92">
      <w:pPr>
        <w:pStyle w:val="Standard"/>
        <w:spacing w:line="360" w:lineRule="auto"/>
        <w:jc w:val="both"/>
      </w:pPr>
      <w:r>
        <w:rPr>
          <w:rFonts w:ascii="Times New Roman" w:hAnsi="Times New Roman"/>
          <w:color w:val="000000"/>
          <w:sz w:val="24"/>
          <w:szCs w:val="24"/>
        </w:rPr>
        <w:t xml:space="preserve">RIBEIRO. Alexandre Lopes. </w:t>
      </w:r>
      <w:r>
        <w:rPr>
          <w:rFonts w:ascii="Times New Roman" w:hAnsi="Times New Roman"/>
          <w:b/>
          <w:bCs/>
          <w:color w:val="000000"/>
          <w:sz w:val="24"/>
          <w:szCs w:val="24"/>
        </w:rPr>
        <w:t>As inovações na resposta do réu no projeto do novo CPC</w:t>
      </w:r>
      <w:r>
        <w:rPr>
          <w:rFonts w:ascii="Times New Roman" w:hAnsi="Times New Roman"/>
          <w:color w:val="000000"/>
          <w:sz w:val="24"/>
          <w:szCs w:val="24"/>
        </w:rPr>
        <w:t>. Disponível em: &lt;http://jus.com.br/artigos/28472/as-inovacoes-na-resposta-do-reu-no-projeto-do-novo-cpc&gt;. Acesso em: 27 out, 2014.</w:t>
      </w:r>
      <w:r>
        <w:rPr>
          <w:rFonts w:ascii="Helvetica Neue" w:hAnsi="Helvetica Neue"/>
          <w:color w:val="000000"/>
          <w:sz w:val="19"/>
        </w:rPr>
        <w:br/>
      </w:r>
      <w:r>
        <w:rPr>
          <w:rFonts w:ascii="Times New Roman" w:hAnsi="Times New Roman"/>
          <w:color w:val="000000"/>
          <w:sz w:val="24"/>
          <w:szCs w:val="24"/>
        </w:rPr>
        <w:t>RIBEIRO, Rodrigo Pereira Martins.</w:t>
      </w:r>
      <w:r>
        <w:rPr>
          <w:rStyle w:val="StrongEmphasis"/>
          <w:rFonts w:ascii="Times New Roman" w:hAnsi="Times New Roman"/>
          <w:color w:val="000000"/>
          <w:sz w:val="24"/>
          <w:szCs w:val="24"/>
        </w:rPr>
        <w:t xml:space="preserve">O Futuro </w:t>
      </w:r>
      <w:r>
        <w:rPr>
          <w:rStyle w:val="StrongEmphasis"/>
          <w:rFonts w:ascii="Times New Roman" w:hAnsi="Times New Roman"/>
          <w:color w:val="000000"/>
          <w:sz w:val="24"/>
          <w:szCs w:val="24"/>
        </w:rPr>
        <w:t>do Processo Civil no Brasil – Uma Análise Crítica ao Projeto do Novo CPC</w:t>
      </w:r>
      <w:r>
        <w:rPr>
          <w:rFonts w:ascii="Times New Roman" w:hAnsi="Times New Roman"/>
          <w:color w:val="000000"/>
          <w:sz w:val="24"/>
          <w:szCs w:val="24"/>
        </w:rPr>
        <w:t>. Belo Horizonte: Fórum, 2011.</w:t>
      </w:r>
    </w:p>
    <w:p w:rsidR="00470DEF" w:rsidRDefault="00DD1F92">
      <w:pPr>
        <w:pStyle w:val="Standard"/>
        <w:spacing w:line="360" w:lineRule="auto"/>
        <w:jc w:val="both"/>
      </w:pPr>
      <w:bookmarkStart w:id="3" w:name="__DdeLink__329_427392951"/>
      <w:r>
        <w:rPr>
          <w:rFonts w:ascii="Times New Roman" w:hAnsi="Times New Roman"/>
          <w:color w:val="000000"/>
          <w:sz w:val="24"/>
          <w:szCs w:val="24"/>
        </w:rPr>
        <w:t xml:space="preserve">THEODORO JUNIOR, Humberto. </w:t>
      </w:r>
      <w:r>
        <w:rPr>
          <w:rStyle w:val="StrongEmphasis"/>
          <w:rFonts w:ascii="Times New Roman" w:hAnsi="Times New Roman"/>
          <w:color w:val="000000"/>
          <w:sz w:val="24"/>
          <w:szCs w:val="24"/>
        </w:rPr>
        <w:t>Celeridade e efetividade da prestação jurisdicional. Insuficiência da reforma das leis processuais.</w:t>
      </w:r>
      <w:bookmarkEnd w:id="3"/>
      <w:r>
        <w:rPr>
          <w:rStyle w:val="StrongEmphasis"/>
          <w:rFonts w:ascii="Times New Roman" w:hAnsi="Times New Roman"/>
          <w:color w:val="000000"/>
          <w:sz w:val="24"/>
          <w:szCs w:val="24"/>
        </w:rPr>
        <w:t xml:space="preserve"> </w:t>
      </w:r>
      <w:r>
        <w:rPr>
          <w:rFonts w:ascii="Times New Roman" w:hAnsi="Times New Roman"/>
          <w:color w:val="000000"/>
          <w:sz w:val="24"/>
          <w:szCs w:val="24"/>
        </w:rPr>
        <w:t>Revista de Processo, São Paulo, 2005.</w:t>
      </w:r>
      <w:r>
        <w:rPr>
          <w:rFonts w:ascii="Helvetica Neue" w:hAnsi="Helvetica Neue"/>
          <w:color w:val="000000"/>
          <w:sz w:val="19"/>
        </w:rPr>
        <w:br/>
      </w:r>
    </w:p>
    <w:p w:rsidR="00470DEF" w:rsidRDefault="00DD1F92">
      <w:pPr>
        <w:pStyle w:val="Standard"/>
        <w:spacing w:line="360" w:lineRule="auto"/>
        <w:jc w:val="both"/>
      </w:pPr>
      <w:r>
        <w:rPr>
          <w:rFonts w:ascii="Times New Roman" w:hAnsi="Times New Roman"/>
          <w:color w:val="000000"/>
          <w:sz w:val="24"/>
          <w:szCs w:val="24"/>
        </w:rPr>
        <w:br/>
      </w:r>
      <w:r>
        <w:rPr>
          <w:rFonts w:ascii="Helvetica Neue" w:hAnsi="Helvetica Neue"/>
          <w:color w:val="000000"/>
          <w:sz w:val="20"/>
        </w:rPr>
        <w:br/>
      </w:r>
      <w:r>
        <w:rPr>
          <w:rFonts w:ascii="Times New Roman" w:hAnsi="Times New Roman"/>
          <w:color w:val="000000"/>
          <w:sz w:val="24"/>
          <w:szCs w:val="24"/>
        </w:rPr>
        <w:br/>
      </w:r>
      <w:r>
        <w:rPr>
          <w:rFonts w:ascii="Helvetica Neue" w:hAnsi="Helvetica Neue"/>
          <w:color w:val="000000"/>
          <w:sz w:val="20"/>
        </w:rPr>
        <w:br/>
      </w:r>
      <w:r>
        <w:rPr>
          <w:rFonts w:ascii="Helvetica Neue" w:hAnsi="Helvetica Neue"/>
          <w:color w:val="000000"/>
          <w:sz w:val="20"/>
        </w:rPr>
        <w:br/>
      </w:r>
      <w:r>
        <w:rPr>
          <w:rFonts w:ascii="Helvetica Neue" w:hAnsi="Helvetica Neue"/>
          <w:color w:val="000000"/>
          <w:sz w:val="20"/>
        </w:rPr>
        <w:br/>
      </w:r>
      <w:r>
        <w:rPr>
          <w:rFonts w:ascii="Times New Roman" w:hAnsi="Times New Roman"/>
          <w:color w:val="000000"/>
          <w:sz w:val="24"/>
          <w:szCs w:val="24"/>
        </w:rPr>
        <w:br/>
      </w:r>
    </w:p>
    <w:p w:rsidR="00470DEF" w:rsidRDefault="00DD1F92">
      <w:pPr>
        <w:pStyle w:val="Standard"/>
        <w:jc w:val="both"/>
      </w:pPr>
      <w:r>
        <w:rPr>
          <w:rFonts w:ascii="Times New Roman" w:hAnsi="Times New Roman"/>
          <w:color w:val="000000"/>
          <w:sz w:val="24"/>
          <w:szCs w:val="24"/>
        </w:rPr>
        <w:br/>
      </w:r>
      <w:r>
        <w:rPr>
          <w:rFonts w:ascii="Helvetica Neue" w:hAnsi="Helvetica Neue"/>
          <w:color w:val="000000"/>
          <w:sz w:val="20"/>
        </w:rPr>
        <w:br/>
      </w:r>
    </w:p>
    <w:p w:rsidR="00470DEF" w:rsidRDefault="00470DEF">
      <w:pPr>
        <w:pStyle w:val="Standard"/>
        <w:jc w:val="both"/>
        <w:rPr>
          <w:rFonts w:ascii="Arial" w:hAnsi="Arial" w:cs="Arial"/>
          <w:sz w:val="24"/>
          <w:szCs w:val="24"/>
        </w:rPr>
      </w:pPr>
    </w:p>
    <w:p w:rsidR="00470DEF" w:rsidRDefault="00470DEF">
      <w:pPr>
        <w:pStyle w:val="Standard"/>
        <w:rPr>
          <w:rFonts w:ascii="Arial" w:hAnsi="Arial" w:cs="Arial"/>
          <w:sz w:val="24"/>
          <w:szCs w:val="24"/>
        </w:rP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p w:rsidR="00470DEF" w:rsidRDefault="00470DEF">
      <w:pPr>
        <w:pStyle w:val="Standard"/>
        <w:tabs>
          <w:tab w:val="left" w:pos="5325"/>
        </w:tabs>
        <w:spacing w:line="360" w:lineRule="auto"/>
        <w:jc w:val="center"/>
      </w:pPr>
    </w:p>
    <w:sectPr w:rsidR="00470DEF">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F92" w:rsidRDefault="00DD1F92">
      <w:pPr>
        <w:spacing w:line="240" w:lineRule="auto"/>
      </w:pPr>
      <w:r>
        <w:separator/>
      </w:r>
    </w:p>
  </w:endnote>
  <w:endnote w:type="continuationSeparator" w:id="0">
    <w:p w:rsidR="00DD1F92" w:rsidRDefault="00DD1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F">
    <w:altName w:val="Times New Roman"/>
    <w:charset w:val="00"/>
    <w:family w:val="auto"/>
    <w:pitch w:val="variable"/>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F92" w:rsidRDefault="00DD1F92">
      <w:pPr>
        <w:spacing w:line="240" w:lineRule="auto"/>
      </w:pPr>
      <w:r>
        <w:rPr>
          <w:color w:val="000000"/>
        </w:rPr>
        <w:separator/>
      </w:r>
    </w:p>
  </w:footnote>
  <w:footnote w:type="continuationSeparator" w:id="0">
    <w:p w:rsidR="00DD1F92" w:rsidRDefault="00DD1F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C6F33"/>
    <w:multiLevelType w:val="multilevel"/>
    <w:tmpl w:val="75663BE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470DEF"/>
    <w:rsid w:val="00272904"/>
    <w:rsid w:val="00470DEF"/>
    <w:rsid w:val="00DD1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DA475-C286-41A4-8FD7-6C6E60BD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kern w:val="3"/>
        <w:sz w:val="22"/>
        <w:szCs w:val="22"/>
        <w:lang w:val="pt-BR"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Standard"/>
    <w:pPr>
      <w:keepNext/>
      <w:keepLines/>
      <w:spacing w:before="480" w:after="0"/>
      <w:outlineLvl w:val="0"/>
    </w:pPr>
    <w:rPr>
      <w:rFonts w:ascii="Cambria" w:eastAsia="F" w:hAnsi="Cambria"/>
      <w:b/>
      <w:bCs/>
      <w:color w:val="365F91"/>
      <w:sz w:val="28"/>
      <w:szCs w:val="28"/>
    </w:rPr>
  </w:style>
  <w:style w:type="paragraph" w:styleId="Ttulo2">
    <w:name w:val="heading 2"/>
    <w:basedOn w:val="Standard"/>
    <w:next w:val="Standard"/>
    <w:pPr>
      <w:keepNext/>
      <w:keepLines/>
      <w:spacing w:before="200" w:after="0"/>
      <w:outlineLvl w:val="1"/>
    </w:pPr>
    <w:rPr>
      <w:rFonts w:ascii="Cambria" w:eastAsia="F" w:hAnsi="Cambria"/>
      <w:b/>
      <w:bCs/>
      <w:color w:val="4F81BD"/>
      <w:sz w:val="26"/>
      <w:szCs w:val="26"/>
    </w:rPr>
  </w:style>
  <w:style w:type="paragraph" w:styleId="Ttulo3">
    <w:name w:val="heading 3"/>
    <w:basedOn w:val="Standard"/>
    <w:next w:val="Standard"/>
    <w:pPr>
      <w:keepNext/>
      <w:keepLines/>
      <w:spacing w:before="200" w:after="0"/>
      <w:outlineLvl w:val="2"/>
    </w:pPr>
    <w:rPr>
      <w:rFonts w:ascii="Cambria" w:eastAsia="F" w:hAnsi="Cambria"/>
      <w:b/>
      <w:bCs/>
      <w:color w:val="4F81BD"/>
    </w:rPr>
  </w:style>
  <w:style w:type="paragraph" w:styleId="Ttulo4">
    <w:name w:val="heading 4"/>
    <w:basedOn w:val="Standard"/>
    <w:next w:val="Standard"/>
    <w:pPr>
      <w:keepNext/>
      <w:keepLines/>
      <w:spacing w:before="200" w:after="0"/>
      <w:outlineLvl w:val="3"/>
    </w:pPr>
    <w:rPr>
      <w:rFonts w:ascii="Cambria" w:eastAsia="F" w:hAnsi="Cambria"/>
      <w:b/>
      <w:bCs/>
      <w:i/>
      <w:iCs/>
      <w:color w:val="4F81BD"/>
    </w:rPr>
  </w:style>
  <w:style w:type="paragraph" w:styleId="Ttulo5">
    <w:name w:val="heading 5"/>
    <w:basedOn w:val="Standard"/>
    <w:next w:val="Standard"/>
    <w:pPr>
      <w:keepNext/>
      <w:keepLines/>
      <w:spacing w:before="200" w:after="0"/>
      <w:outlineLvl w:val="4"/>
    </w:pPr>
    <w:rPr>
      <w:rFonts w:ascii="Cambria" w:eastAsia="F" w:hAnsi="Cambria"/>
      <w:color w:val="243F60"/>
    </w:rPr>
  </w:style>
  <w:style w:type="paragraph" w:styleId="Ttulo6">
    <w:name w:val="heading 6"/>
    <w:basedOn w:val="Standard"/>
    <w:next w:val="Standard"/>
    <w:pPr>
      <w:keepNext/>
      <w:keepLines/>
      <w:spacing w:before="200" w:after="0"/>
      <w:outlineLvl w:val="5"/>
    </w:pPr>
    <w:rPr>
      <w:rFonts w:ascii="Cambria" w:eastAsia="F" w:hAnsi="Cambria"/>
      <w:i/>
      <w:iCs/>
      <w:color w:val="243F60"/>
    </w:rPr>
  </w:style>
  <w:style w:type="paragraph" w:styleId="Ttulo7">
    <w:name w:val="heading 7"/>
    <w:basedOn w:val="Standard"/>
    <w:next w:val="Standard"/>
    <w:pPr>
      <w:keepNext/>
      <w:keepLines/>
      <w:spacing w:before="200" w:after="0"/>
      <w:outlineLvl w:val="6"/>
    </w:pPr>
    <w:rPr>
      <w:rFonts w:ascii="Cambria" w:eastAsia="F" w:hAnsi="Cambria"/>
      <w:i/>
      <w:iCs/>
      <w:color w:val="404040"/>
    </w:rPr>
  </w:style>
  <w:style w:type="paragraph" w:styleId="Ttulo8">
    <w:name w:val="heading 8"/>
    <w:basedOn w:val="Standard"/>
    <w:next w:val="Standard"/>
    <w:pPr>
      <w:keepNext/>
      <w:keepLines/>
      <w:spacing w:before="200" w:after="0"/>
      <w:outlineLvl w:val="7"/>
    </w:pPr>
    <w:rPr>
      <w:rFonts w:ascii="Cambria" w:eastAsia="F" w:hAnsi="Cambria"/>
      <w:color w:val="404040"/>
      <w:sz w:val="20"/>
      <w:szCs w:val="20"/>
    </w:rPr>
  </w:style>
  <w:style w:type="paragraph" w:styleId="Ttulo9">
    <w:name w:val="heading 9"/>
    <w:basedOn w:val="Standard"/>
    <w:next w:val="Standard"/>
    <w:pPr>
      <w:keepNext/>
      <w:keepLines/>
      <w:spacing w:before="200" w:after="0"/>
      <w:outlineLvl w:val="8"/>
    </w:pPr>
    <w:rPr>
      <w:rFonts w:ascii="Cambria" w:eastAsia="F"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200"/>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Ttulo">
    <w:name w:val="Title"/>
    <w:basedOn w:val="Standard"/>
    <w:next w:val="Standard"/>
    <w:pPr>
      <w:pBdr>
        <w:bottom w:val="single" w:sz="8" w:space="4" w:color="4F81BD"/>
      </w:pBdr>
      <w:spacing w:after="300" w:line="240" w:lineRule="auto"/>
    </w:pPr>
    <w:rPr>
      <w:rFonts w:ascii="Cambria" w:eastAsia="F" w:hAnsi="Cambria"/>
      <w:color w:val="17365D"/>
      <w:spacing w:val="5"/>
      <w:sz w:val="52"/>
      <w:szCs w:val="52"/>
    </w:rPr>
  </w:style>
  <w:style w:type="paragraph" w:styleId="Subttulo">
    <w:name w:val="Subtitle"/>
    <w:basedOn w:val="Standard"/>
    <w:next w:val="Standard"/>
    <w:rPr>
      <w:rFonts w:ascii="Cambria" w:eastAsia="F" w:hAnsi="Cambria"/>
      <w:i/>
      <w:iCs/>
      <w:color w:val="4F81BD"/>
      <w:spacing w:val="15"/>
      <w:sz w:val="24"/>
      <w:szCs w:val="24"/>
    </w:rPr>
  </w:style>
  <w:style w:type="paragraph" w:styleId="Citao">
    <w:name w:val="Quote"/>
    <w:basedOn w:val="Standard"/>
    <w:next w:val="Standard"/>
    <w:rPr>
      <w:i/>
      <w:iCs/>
      <w:color w:val="000000"/>
    </w:rPr>
  </w:style>
  <w:style w:type="paragraph" w:styleId="CitaoIntensa">
    <w:name w:val="Intense Quote"/>
    <w:basedOn w:val="Standard"/>
    <w:next w:val="Standard"/>
    <w:pPr>
      <w:pBdr>
        <w:bottom w:val="single" w:sz="4" w:space="4" w:color="4F81BD"/>
      </w:pBdr>
      <w:spacing w:before="200" w:after="280"/>
      <w:ind w:left="936" w:right="936"/>
    </w:pPr>
    <w:rPr>
      <w:b/>
      <w:bCs/>
      <w:i/>
      <w:iCs/>
      <w:color w:val="4F81BD"/>
    </w:rPr>
  </w:style>
  <w:style w:type="paragraph" w:styleId="PargrafodaLista">
    <w:name w:val="List Paragraph"/>
    <w:basedOn w:val="Standard"/>
    <w:pPr>
      <w:ind w:left="720"/>
    </w:pPr>
  </w:style>
  <w:style w:type="paragraph" w:styleId="Textodebalo">
    <w:name w:val="Balloon Text"/>
    <w:basedOn w:val="Standard"/>
    <w:pPr>
      <w:spacing w:after="0" w:line="240" w:lineRule="auto"/>
    </w:pPr>
    <w:rPr>
      <w:rFonts w:ascii="Segoe UI" w:eastAsia="Segoe UI" w:hAnsi="Segoe UI" w:cs="Segoe UI"/>
      <w:sz w:val="18"/>
      <w:szCs w:val="18"/>
    </w:rPr>
  </w:style>
  <w:style w:type="paragraph" w:customStyle="1" w:styleId="Quotations">
    <w:name w:val="Quotations"/>
    <w:basedOn w:val="Standard"/>
  </w:style>
  <w:style w:type="character" w:customStyle="1" w:styleId="Ttulo1Char">
    <w:name w:val="Título 1 Char"/>
    <w:basedOn w:val="Fontepargpadro"/>
    <w:rPr>
      <w:rFonts w:ascii="Cambria" w:eastAsia="F" w:hAnsi="Cambria" w:cs="F"/>
      <w:b/>
      <w:bCs/>
      <w:color w:val="365F91"/>
      <w:sz w:val="28"/>
      <w:szCs w:val="28"/>
    </w:rPr>
  </w:style>
  <w:style w:type="character" w:customStyle="1" w:styleId="Ttulo2Char">
    <w:name w:val="Título 2 Char"/>
    <w:basedOn w:val="Fontepargpadro"/>
    <w:rPr>
      <w:rFonts w:ascii="Cambria" w:eastAsia="F" w:hAnsi="Cambria" w:cs="F"/>
      <w:b/>
      <w:bCs/>
      <w:color w:val="4F81BD"/>
      <w:sz w:val="26"/>
      <w:szCs w:val="26"/>
    </w:rPr>
  </w:style>
  <w:style w:type="character" w:customStyle="1" w:styleId="Ttulo3Char">
    <w:name w:val="Título 3 Char"/>
    <w:basedOn w:val="Fontepargpadro"/>
    <w:rPr>
      <w:rFonts w:ascii="Cambria" w:eastAsia="F" w:hAnsi="Cambria" w:cs="F"/>
      <w:b/>
      <w:bCs/>
      <w:color w:val="4F81BD"/>
    </w:rPr>
  </w:style>
  <w:style w:type="character" w:customStyle="1" w:styleId="Ttulo4Char">
    <w:name w:val="Título 4 Char"/>
    <w:basedOn w:val="Fontepargpadro"/>
    <w:rPr>
      <w:rFonts w:ascii="Cambria" w:eastAsia="F" w:hAnsi="Cambria" w:cs="F"/>
      <w:b/>
      <w:bCs/>
      <w:i/>
      <w:iCs/>
      <w:color w:val="4F81BD"/>
    </w:rPr>
  </w:style>
  <w:style w:type="character" w:customStyle="1" w:styleId="Ttulo5Char">
    <w:name w:val="Título 5 Char"/>
    <w:basedOn w:val="Fontepargpadro"/>
    <w:rPr>
      <w:rFonts w:ascii="Cambria" w:eastAsia="F" w:hAnsi="Cambria" w:cs="F"/>
      <w:color w:val="243F60"/>
    </w:rPr>
  </w:style>
  <w:style w:type="character" w:customStyle="1" w:styleId="Ttulo6Char">
    <w:name w:val="Título 6 Char"/>
    <w:basedOn w:val="Fontepargpadro"/>
    <w:rPr>
      <w:rFonts w:ascii="Cambria" w:eastAsia="F" w:hAnsi="Cambria" w:cs="F"/>
      <w:i/>
      <w:iCs/>
      <w:color w:val="243F60"/>
    </w:rPr>
  </w:style>
  <w:style w:type="character" w:customStyle="1" w:styleId="Ttulo7Char">
    <w:name w:val="Título 7 Char"/>
    <w:basedOn w:val="Fontepargpadro"/>
    <w:rPr>
      <w:rFonts w:ascii="Cambria" w:eastAsia="F" w:hAnsi="Cambria" w:cs="F"/>
      <w:i/>
      <w:iCs/>
      <w:color w:val="404040"/>
    </w:rPr>
  </w:style>
  <w:style w:type="character" w:customStyle="1" w:styleId="Ttulo8Char">
    <w:name w:val="Título 8 Char"/>
    <w:basedOn w:val="Fontepargpadro"/>
    <w:rPr>
      <w:rFonts w:ascii="Cambria" w:eastAsia="F" w:hAnsi="Cambria" w:cs="F"/>
      <w:color w:val="404040"/>
      <w:sz w:val="20"/>
      <w:szCs w:val="20"/>
    </w:rPr>
  </w:style>
  <w:style w:type="character" w:customStyle="1" w:styleId="Ttulo9Char">
    <w:name w:val="Título 9 Char"/>
    <w:basedOn w:val="Fontepargpadro"/>
    <w:rPr>
      <w:rFonts w:ascii="Cambria" w:eastAsia="F" w:hAnsi="Cambria" w:cs="F"/>
      <w:i/>
      <w:iCs/>
      <w:color w:val="404040"/>
      <w:sz w:val="20"/>
      <w:szCs w:val="20"/>
    </w:rPr>
  </w:style>
  <w:style w:type="character" w:customStyle="1" w:styleId="TtuloChar">
    <w:name w:val="Título Char"/>
    <w:basedOn w:val="Fontepargpadro"/>
    <w:rPr>
      <w:rFonts w:ascii="Cambria" w:eastAsia="F" w:hAnsi="Cambria" w:cs="F"/>
      <w:color w:val="17365D"/>
      <w:spacing w:val="5"/>
      <w:sz w:val="52"/>
      <w:szCs w:val="52"/>
    </w:rPr>
  </w:style>
  <w:style w:type="character" w:customStyle="1" w:styleId="SubttuloChar">
    <w:name w:val="Subtítulo Char"/>
    <w:basedOn w:val="Fontepargpadro"/>
    <w:rPr>
      <w:rFonts w:ascii="Cambria" w:eastAsia="F" w:hAnsi="Cambria" w:cs="F"/>
      <w:i/>
      <w:iCs/>
      <w:color w:val="4F81BD"/>
      <w:spacing w:val="15"/>
      <w:sz w:val="24"/>
      <w:szCs w:val="24"/>
    </w:rPr>
  </w:style>
  <w:style w:type="character" w:styleId="nfaseSutil">
    <w:name w:val="Subtle Emphasis"/>
    <w:basedOn w:val="Fontepargpadro"/>
    <w:rPr>
      <w:i/>
      <w:iCs/>
      <w:color w:val="808080"/>
    </w:rPr>
  </w:style>
  <w:style w:type="character" w:styleId="nfase">
    <w:name w:val="Emphasis"/>
    <w:basedOn w:val="Fontepargpadro"/>
    <w:rPr>
      <w:i/>
      <w:iCs/>
    </w:rPr>
  </w:style>
  <w:style w:type="character" w:styleId="nfaseIntensa">
    <w:name w:val="Intense Emphasis"/>
    <w:basedOn w:val="Fontepargpadro"/>
    <w:rPr>
      <w:b/>
      <w:bCs/>
      <w:i/>
      <w:iCs/>
      <w:color w:val="4F81BD"/>
    </w:rPr>
  </w:style>
  <w:style w:type="character" w:styleId="Forte">
    <w:name w:val="Strong"/>
    <w:basedOn w:val="Fontepargpadro"/>
    <w:rPr>
      <w:b/>
      <w:bCs/>
    </w:rPr>
  </w:style>
  <w:style w:type="character" w:customStyle="1" w:styleId="CitaoChar">
    <w:name w:val="Citação Char"/>
    <w:basedOn w:val="Fontepargpadro"/>
    <w:rPr>
      <w:i/>
      <w:iCs/>
      <w:color w:val="000000"/>
    </w:rPr>
  </w:style>
  <w:style w:type="character" w:customStyle="1" w:styleId="CitaoIntensaChar">
    <w:name w:val="Citação Intensa Char"/>
    <w:basedOn w:val="Fontepargpadro"/>
    <w:rPr>
      <w:b/>
      <w:bCs/>
      <w:i/>
      <w:iCs/>
      <w:color w:val="4F81BD"/>
    </w:rPr>
  </w:style>
  <w:style w:type="character" w:styleId="RefernciaSutil">
    <w:name w:val="Subtle Reference"/>
    <w:basedOn w:val="Fontepargpadro"/>
    <w:rPr>
      <w:smallCaps/>
      <w:color w:val="C0504D"/>
      <w:u w:val="single"/>
    </w:rPr>
  </w:style>
  <w:style w:type="character" w:styleId="RefernciaIntensa">
    <w:name w:val="Intense Reference"/>
    <w:basedOn w:val="Fontepargpadro"/>
    <w:rPr>
      <w:b/>
      <w:bCs/>
      <w:smallCaps/>
      <w:color w:val="C0504D"/>
      <w:spacing w:val="5"/>
      <w:u w:val="single"/>
    </w:rPr>
  </w:style>
  <w:style w:type="character" w:styleId="TtulodoLivro">
    <w:name w:val="Book Title"/>
    <w:basedOn w:val="Fontepargpadro"/>
    <w:rPr>
      <w:b/>
      <w:bCs/>
      <w:smallCaps/>
      <w:spacing w:val="5"/>
    </w:rPr>
  </w:style>
  <w:style w:type="character" w:customStyle="1" w:styleId="Internetlink">
    <w:name w:val="Internet link"/>
    <w:basedOn w:val="Fontepargpadro"/>
    <w:rPr>
      <w:color w:val="0000FF"/>
      <w:u w:val="single"/>
    </w:rPr>
  </w:style>
  <w:style w:type="character" w:styleId="HiperlinkVisitado">
    <w:name w:val="FollowedHyperlink"/>
    <w:basedOn w:val="Fontepargpadro"/>
    <w:rPr>
      <w:color w:val="800080"/>
      <w:u w:val="single"/>
    </w:rPr>
  </w:style>
  <w:style w:type="character" w:customStyle="1" w:styleId="apple-converted-space">
    <w:name w:val="apple-converted-space"/>
    <w:basedOn w:val="Fontepargpadro"/>
  </w:style>
  <w:style w:type="character" w:customStyle="1" w:styleId="TextodebaloChar">
    <w:name w:val="Texto de balão Char"/>
    <w:basedOn w:val="Fontepargpadro"/>
    <w:rPr>
      <w:rFonts w:ascii="Segoe UI" w:eastAsia="Segoe UI" w:hAnsi="Segoe UI" w:cs="Segoe UI"/>
      <w:sz w:val="18"/>
      <w:szCs w:val="18"/>
    </w:rPr>
  </w:style>
  <w:style w:type="character" w:customStyle="1" w:styleId="StrongEmphasis">
    <w:name w:val="Strong Emphasis"/>
    <w:rPr>
      <w:b/>
      <w:bCs/>
    </w:rPr>
  </w:style>
  <w:style w:type="numbering" w:customStyle="1" w:styleId="NoList">
    <w:name w:val="No List"/>
    <w:basedOn w:val="S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3537</Words>
  <Characters>19106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helma guimarães</dc:creator>
  <cp:lastModifiedBy>Defensoria</cp:lastModifiedBy>
  <cp:revision>2</cp:revision>
  <cp:lastPrinted>2013-10-16T21:13:00Z</cp:lastPrinted>
  <dcterms:created xsi:type="dcterms:W3CDTF">2016-08-17T12:31:00Z</dcterms:created>
  <dcterms:modified xsi:type="dcterms:W3CDTF">2016-08-17T12:31:00Z</dcterms:modified>
</cp:coreProperties>
</file>