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58" w:rsidRPr="00CE2FAA" w:rsidRDefault="00CE2FAA" w:rsidP="001C1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2FAA">
        <w:rPr>
          <w:rFonts w:ascii="Times New Roman" w:hAnsi="Times New Roman" w:cs="Times New Roman"/>
          <w:b/>
          <w:bCs/>
          <w:sz w:val="24"/>
          <w:szCs w:val="24"/>
        </w:rPr>
        <w:t>CONFLITOS APARENTES DE NORMAS REGULADORAS DAS INTERVENÇÕES DE TERCEIROS: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Interpretações sobre o Conflito </w:t>
      </w:r>
      <w:r>
        <w:rPr>
          <w:rFonts w:ascii="Times New Roman" w:hAnsi="Times New Roman" w:cs="Times New Roman"/>
          <w:bCs/>
          <w:i/>
          <w:sz w:val="24"/>
          <w:szCs w:val="24"/>
        </w:rPr>
        <w:t>Per Saltum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1C1E58" w:rsidRDefault="001C1E58" w:rsidP="00992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7B33" w:rsidRDefault="00992A86" w:rsidP="00992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Bruno Henrique Bernardo Fahd</w:t>
      </w:r>
    </w:p>
    <w:p w:rsidR="00992A86" w:rsidRDefault="000E7B33" w:rsidP="00992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Eric Abreu Caldas</w:t>
      </w:r>
      <w:r w:rsidR="00992A86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RESUMO</w:t>
      </w: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Mostra o que é o fenômeno da intervenção de terceiros, depois passando para uma abordagem a um de seus tipos, que é a denunciação da lide. Para depois, focar no conflito </w:t>
      </w:r>
      <w:r>
        <w:rPr>
          <w:rFonts w:ascii="Times New Roman" w:hAnsi="Times New Roman" w:cs="Times New Roman"/>
          <w:bCs/>
          <w:i/>
          <w:sz w:val="24"/>
          <w:szCs w:val="24"/>
        </w:rPr>
        <w:t>Per Saltum</w:t>
      </w:r>
      <w:r>
        <w:rPr>
          <w:rFonts w:ascii="Times New Roman" w:hAnsi="Times New Roman" w:cs="Times New Roman"/>
          <w:bCs/>
          <w:sz w:val="24"/>
          <w:szCs w:val="24"/>
        </w:rPr>
        <w:t>, que está presente nessa modalidade de intervenção e após a sua análise, procura mostrar soluções doutrinárias para a sua resolução, para a partir dessas chegar a uma conclusão de como solucioná-lo.</w:t>
      </w:r>
    </w:p>
    <w:p w:rsidR="00992A86" w:rsidRDefault="00992A86" w:rsidP="00992A86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836" w:rsidRDefault="00992A86" w:rsidP="00992A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Palavras-chave: </w:t>
      </w:r>
      <w:r w:rsidR="00FF2836">
        <w:rPr>
          <w:rFonts w:ascii="Times New Roman" w:hAnsi="Times New Roman" w:cs="Times New Roman"/>
          <w:bCs/>
          <w:sz w:val="24"/>
          <w:szCs w:val="24"/>
        </w:rPr>
        <w:t xml:space="preserve">Conflito. Processo. </w:t>
      </w:r>
      <w:r w:rsidR="00FF2836">
        <w:rPr>
          <w:rFonts w:ascii="Times New Roman" w:hAnsi="Times New Roman" w:cs="Times New Roman"/>
          <w:bCs/>
          <w:i/>
          <w:sz w:val="24"/>
          <w:szCs w:val="24"/>
        </w:rPr>
        <w:t>Per Saltum.</w:t>
      </w:r>
      <w:r w:rsidR="00FF2836">
        <w:rPr>
          <w:rFonts w:ascii="Times New Roman" w:hAnsi="Times New Roman" w:cs="Times New Roman"/>
          <w:bCs/>
          <w:sz w:val="24"/>
          <w:szCs w:val="24"/>
        </w:rPr>
        <w:t xml:space="preserve"> Intervenção de Terceiros. Denunciação da Lide.</w:t>
      </w:r>
    </w:p>
    <w:p w:rsidR="00FF2836" w:rsidRDefault="00FF2836" w:rsidP="00992A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836" w:rsidRPr="005B20AF" w:rsidRDefault="005B20AF" w:rsidP="005B2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F2836" w:rsidRPr="005B20AF">
        <w:rPr>
          <w:rFonts w:ascii="Times New Roman" w:hAnsi="Times New Roman" w:cs="Times New Roman"/>
          <w:b/>
          <w:bCs/>
          <w:sz w:val="24"/>
          <w:szCs w:val="24"/>
        </w:rPr>
        <w:t>INTRODUÇÃO.</w:t>
      </w:r>
    </w:p>
    <w:p w:rsidR="00FF2836" w:rsidRDefault="00FF2836" w:rsidP="00992A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86" w:rsidRDefault="00992A86" w:rsidP="00FF2836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836">
        <w:rPr>
          <w:rFonts w:ascii="Times New Roman" w:hAnsi="Times New Roman" w:cs="Times New Roman"/>
          <w:bCs/>
          <w:sz w:val="24"/>
          <w:szCs w:val="24"/>
        </w:rPr>
        <w:t xml:space="preserve">O presente trabalho busca estudar o conflito </w:t>
      </w:r>
      <w:r w:rsidR="00FF2836">
        <w:rPr>
          <w:rFonts w:ascii="Times New Roman" w:hAnsi="Times New Roman" w:cs="Times New Roman"/>
          <w:bCs/>
          <w:i/>
          <w:sz w:val="24"/>
          <w:szCs w:val="24"/>
        </w:rPr>
        <w:t>per saltum</w:t>
      </w:r>
      <w:r w:rsidR="00FF2836">
        <w:rPr>
          <w:rFonts w:ascii="Times New Roman" w:hAnsi="Times New Roman" w:cs="Times New Roman"/>
          <w:bCs/>
          <w:sz w:val="24"/>
          <w:szCs w:val="24"/>
        </w:rPr>
        <w:t xml:space="preserve"> e suas possíveis formas de resolvê-lo abordadas por vários doutrinadores. Porém, para que haja o devido entendimento do que consiste esse conflito, o trabalho faz breves considerações sobre a intervenção de terceiros, passando pela denunciação da lide, para chegar ao referido conflito e depois interpretar suas possíveis soluções.</w:t>
      </w:r>
    </w:p>
    <w:p w:rsidR="005B20AF" w:rsidRDefault="00FF2836" w:rsidP="00FF2836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Tal caminho faz-se necessário para que haja o correto entendimento do que consiste esse dispositivo,</w:t>
      </w:r>
      <w:r w:rsidR="005B20AF">
        <w:rPr>
          <w:rFonts w:ascii="Times New Roman" w:hAnsi="Times New Roman" w:cs="Times New Roman"/>
          <w:bCs/>
          <w:sz w:val="24"/>
          <w:szCs w:val="24"/>
        </w:rPr>
        <w:t xml:space="preserve"> em que há um conflito entre uma norma presente no Código Civil e outra regulada pelo Código de Processo Civil. Estando mais precisamente ligado com a denunciação da lide, tipo de intervenção de terceiro.</w:t>
      </w:r>
    </w:p>
    <w:p w:rsidR="00FF2836" w:rsidRPr="00FF2836" w:rsidRDefault="005B20AF" w:rsidP="00FF2836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025" w:rsidRDefault="005B20AF" w:rsidP="00995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CONSIDERAÇÕES SOBRE A INTERVENÇÃO DE TERCEIROS</w:t>
      </w:r>
      <w:r w:rsidR="009950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025" w:rsidRDefault="00995025" w:rsidP="00995025">
      <w:pPr>
        <w:widowControl w:val="0"/>
        <w:autoSpaceDE w:val="0"/>
        <w:autoSpaceDN w:val="0"/>
        <w:adjustRightInd w:val="0"/>
        <w:spacing w:after="0" w:line="240" w:lineRule="auto"/>
        <w:ind w:firstLine="1136"/>
        <w:rPr>
          <w:rFonts w:ascii="Times New Roman" w:hAnsi="Times New Roman" w:cs="Times New Roman"/>
          <w:sz w:val="24"/>
          <w:szCs w:val="24"/>
        </w:rPr>
      </w:pPr>
    </w:p>
    <w:p w:rsidR="00BF0B78" w:rsidRDefault="00BF0B78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5025" w:rsidRDefault="00995025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Afirma Alexandre Câmara (2007), que assim como o litisconsórcio a intervenção de terceiros é uma manifestação do fenômeno denomina</w:t>
      </w:r>
      <w:r w:rsidR="008F028F">
        <w:rPr>
          <w:rFonts w:ascii="Times New Roman" w:hAnsi="Times New Roman" w:cs="Times New Roman"/>
          <w:sz w:val="24"/>
          <w:szCs w:val="24"/>
        </w:rPr>
        <w:t>do como "pluralidade de partes".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lastRenderedPageBreak/>
        <w:t>partir disso deve-se conceituar parte. Para Fredie Didier Jr. (2012, p. 358) "O conceito de parte deve restringir-se àquele que participa (ao menos potencialmente) do processo com parcialidade, tendo interesse em dete</w:t>
      </w:r>
      <w:r w:rsidR="008F028F">
        <w:rPr>
          <w:rFonts w:ascii="Times New Roman" w:hAnsi="Times New Roman" w:cs="Times New Roman"/>
          <w:sz w:val="24"/>
          <w:szCs w:val="24"/>
        </w:rPr>
        <w:t>rminado julgamento do processo”.</w:t>
      </w:r>
    </w:p>
    <w:p w:rsidR="00995025" w:rsidRDefault="00995025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afirmações definem então que parte é somente aquele que participa do processo visando um julgamento. Portanto terceiro para Luiz Rodrigues Wambier e col. (2006, p. 242) "Num primeiro momento, poder-se-ia genericamente afirmar que </w:t>
      </w:r>
      <w:r>
        <w:rPr>
          <w:rFonts w:ascii="Times New Roman" w:hAnsi="Times New Roman" w:cs="Times New Roman"/>
          <w:i/>
          <w:iCs/>
          <w:sz w:val="24"/>
          <w:szCs w:val="24"/>
        </w:rPr>
        <w:t>terceiro</w:t>
      </w:r>
      <w:r>
        <w:rPr>
          <w:rFonts w:ascii="Times New Roman" w:hAnsi="Times New Roman" w:cs="Times New Roman"/>
          <w:sz w:val="24"/>
          <w:szCs w:val="24"/>
        </w:rPr>
        <w:t xml:space="preserve"> é um contra-conceito, isto é, é terceiro</w:t>
      </w:r>
      <w:r w:rsidR="008F028F">
        <w:rPr>
          <w:rFonts w:ascii="Times New Roman" w:hAnsi="Times New Roman" w:cs="Times New Roman"/>
          <w:sz w:val="24"/>
          <w:szCs w:val="24"/>
        </w:rPr>
        <w:t xml:space="preserve"> todo aquele que não for parte”.</w:t>
      </w:r>
      <w:r>
        <w:rPr>
          <w:rFonts w:ascii="Times New Roman" w:hAnsi="Times New Roman" w:cs="Times New Roman"/>
          <w:sz w:val="24"/>
          <w:szCs w:val="24"/>
        </w:rPr>
        <w:t xml:space="preserve"> Assim, podemos identificar que o elemento chamado de terceiro, é todo aquele que não está no processo, o que pode ser corroborado por Alexandre Câmara (2007, p. 189) "Assim, num processo em que são partes um Fulano e um Beltrano, serão terceiros todas as demais </w:t>
      </w:r>
      <w:r w:rsidR="008F028F">
        <w:rPr>
          <w:rFonts w:ascii="Times New Roman" w:hAnsi="Times New Roman" w:cs="Times New Roman"/>
          <w:sz w:val="24"/>
          <w:szCs w:val="24"/>
        </w:rPr>
        <w:t>pessoas que não são estes dois”.</w:t>
      </w:r>
    </w:p>
    <w:p w:rsidR="00995025" w:rsidRDefault="00995025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disso, para Fredie Didier Jr. (2012, p. 359) "A intervenção de terceiro é fato jurídico processual que implica modificação de relação jurídica processual já existente. Trata-se de ato jurídico processual pelo qual um terceiro autorizado por lei, ingressa em processo pendente, trans</w:t>
      </w:r>
      <w:r w:rsidR="008F028F">
        <w:rPr>
          <w:rFonts w:ascii="Times New Roman" w:hAnsi="Times New Roman" w:cs="Times New Roman"/>
          <w:sz w:val="24"/>
          <w:szCs w:val="24"/>
        </w:rPr>
        <w:t>formando-se em parte”.</w:t>
      </w:r>
      <w:r>
        <w:rPr>
          <w:rFonts w:ascii="Times New Roman" w:hAnsi="Times New Roman" w:cs="Times New Roman"/>
          <w:sz w:val="24"/>
          <w:szCs w:val="24"/>
        </w:rPr>
        <w:t xml:space="preserve"> Assim, vislumbra-se que a Intervenção de Terceiros é o momento em que o terceiro torna-se parte do proce</w:t>
      </w:r>
      <w:r w:rsidR="00AE3911">
        <w:rPr>
          <w:rFonts w:ascii="Times New Roman" w:hAnsi="Times New Roman" w:cs="Times New Roman"/>
          <w:sz w:val="24"/>
          <w:szCs w:val="24"/>
        </w:rPr>
        <w:t>sso, o que ainda segundo Fredie</w:t>
      </w:r>
      <w:r>
        <w:rPr>
          <w:rFonts w:ascii="Times New Roman" w:hAnsi="Times New Roman" w:cs="Times New Roman"/>
          <w:sz w:val="24"/>
          <w:szCs w:val="24"/>
        </w:rPr>
        <w:t xml:space="preserve"> Didier Jr. (2012) faz com que haja a existência de uma nova relação processual.</w:t>
      </w:r>
    </w:p>
    <w:p w:rsidR="00995025" w:rsidRDefault="00995025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ressalta-se que a entrada do terceiro no processo deve-se dar apenas por aquele com real interesse na disputa analisada, como pode ser abordado por Luiz Rodrigues Wambier e col. (2006, p. 242) "Na intervenção de terceiros ocorre como que a intromissão de terceiro, voluntária ou coativamente, havendo de existir interesse jurídico que justifiqu</w:t>
      </w:r>
      <w:r w:rsidR="008F028F">
        <w:rPr>
          <w:rFonts w:ascii="Times New Roman" w:hAnsi="Times New Roman" w:cs="Times New Roman"/>
          <w:sz w:val="24"/>
          <w:szCs w:val="24"/>
        </w:rPr>
        <w:t>e tal intervenção”.</w:t>
      </w:r>
    </w:p>
    <w:p w:rsidR="00842AB3" w:rsidRDefault="003C16D3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Humberto Theodoro Júnior (2007), existem cinco tipos de intervenções de terceiros, são elas: assistência, oposição, nomeação à autoria, denunciação da lide e </w:t>
      </w:r>
      <w:r w:rsidR="00F02969">
        <w:rPr>
          <w:rFonts w:ascii="Times New Roman" w:hAnsi="Times New Roman" w:cs="Times New Roman"/>
          <w:sz w:val="24"/>
          <w:szCs w:val="24"/>
        </w:rPr>
        <w:t>chamamento ao processo. A existência de v</w:t>
      </w:r>
      <w:r w:rsidR="00AE3911">
        <w:rPr>
          <w:rFonts w:ascii="Times New Roman" w:hAnsi="Times New Roman" w:cs="Times New Roman"/>
          <w:sz w:val="24"/>
          <w:szCs w:val="24"/>
        </w:rPr>
        <w:t>árias formas de intervenção de t</w:t>
      </w:r>
      <w:r w:rsidR="00F02969">
        <w:rPr>
          <w:rFonts w:ascii="Times New Roman" w:hAnsi="Times New Roman" w:cs="Times New Roman"/>
          <w:sz w:val="24"/>
          <w:szCs w:val="24"/>
        </w:rPr>
        <w:t xml:space="preserve">erceiros para </w:t>
      </w:r>
      <w:r>
        <w:rPr>
          <w:rFonts w:ascii="Times New Roman" w:hAnsi="Times New Roman" w:cs="Times New Roman"/>
          <w:sz w:val="24"/>
          <w:szCs w:val="24"/>
        </w:rPr>
        <w:t>Alexandr</w:t>
      </w:r>
      <w:r w:rsidR="00842AB3">
        <w:rPr>
          <w:rFonts w:ascii="Times New Roman" w:hAnsi="Times New Roman" w:cs="Times New Roman"/>
          <w:sz w:val="24"/>
          <w:szCs w:val="24"/>
        </w:rPr>
        <w:t>e Câmara (2007, p. 189) “Justifica-se a existência das diversas modalidades de intervenção de terceiros pelo fato de o processo poder produzir efeitos sobre a esfera jurídica de interesses de pessoas</w:t>
      </w:r>
      <w:r w:rsidR="008F028F">
        <w:rPr>
          <w:rFonts w:ascii="Times New Roman" w:hAnsi="Times New Roman" w:cs="Times New Roman"/>
          <w:sz w:val="24"/>
          <w:szCs w:val="24"/>
        </w:rPr>
        <w:t xml:space="preserve"> estranhas a relação processual”.</w:t>
      </w:r>
    </w:p>
    <w:p w:rsidR="00F02969" w:rsidRDefault="00842AB3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sobre a </w:t>
      </w:r>
      <w:r w:rsidR="00F02969">
        <w:rPr>
          <w:rFonts w:ascii="Times New Roman" w:hAnsi="Times New Roman" w:cs="Times New Roman"/>
          <w:sz w:val="24"/>
          <w:szCs w:val="24"/>
        </w:rPr>
        <w:t xml:space="preserve">voluntariedade da intervenção de terceiros conceitua Humberto Theodoro Júnior (2007, p. 130) “A intervenção de terceiros é sempre </w:t>
      </w:r>
      <w:r w:rsidR="00F02969">
        <w:rPr>
          <w:rFonts w:ascii="Times New Roman" w:hAnsi="Times New Roman" w:cs="Times New Roman"/>
          <w:i/>
          <w:sz w:val="24"/>
          <w:szCs w:val="24"/>
        </w:rPr>
        <w:t>voluntária</w:t>
      </w:r>
      <w:r w:rsidR="00F02969">
        <w:rPr>
          <w:rFonts w:ascii="Times New Roman" w:hAnsi="Times New Roman" w:cs="Times New Roman"/>
          <w:sz w:val="24"/>
          <w:szCs w:val="24"/>
        </w:rPr>
        <w:t>, sendo injurídico pensar que a lei possa obrigar o estranho a entrar no processo. O que ocorre, muitas vezes, é a provocação de uma das partes do processo pendente para que o terceiro venh</w:t>
      </w:r>
      <w:r w:rsidR="008F028F">
        <w:rPr>
          <w:rFonts w:ascii="Times New Roman" w:hAnsi="Times New Roman" w:cs="Times New Roman"/>
          <w:sz w:val="24"/>
          <w:szCs w:val="24"/>
        </w:rPr>
        <w:t>a integrar a relação processual”.</w:t>
      </w:r>
    </w:p>
    <w:p w:rsidR="00AE3911" w:rsidRDefault="00AE3911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após os conceitos supracitados</w:t>
      </w:r>
      <w:r w:rsidR="0022095C">
        <w:rPr>
          <w:rFonts w:ascii="Times New Roman" w:hAnsi="Times New Roman" w:cs="Times New Roman"/>
          <w:sz w:val="24"/>
          <w:szCs w:val="24"/>
        </w:rPr>
        <w:t xml:space="preserve"> de grandes doutrinadores,</w:t>
      </w:r>
      <w:r>
        <w:rPr>
          <w:rFonts w:ascii="Times New Roman" w:hAnsi="Times New Roman" w:cs="Times New Roman"/>
          <w:sz w:val="24"/>
          <w:szCs w:val="24"/>
        </w:rPr>
        <w:t xml:space="preserve"> verifica-se que a intervenção de terceiros é uma modalidade que permite o acesso de um estranho ao processo </w:t>
      </w:r>
      <w:r>
        <w:rPr>
          <w:rFonts w:ascii="Times New Roman" w:hAnsi="Times New Roman" w:cs="Times New Roman"/>
          <w:sz w:val="24"/>
          <w:szCs w:val="24"/>
        </w:rPr>
        <w:lastRenderedPageBreak/>
        <w:t>com o real interesse no seu conflito, tornando-o parte integrante do mesmo, fazendo com o que o processo tenha uma quantidade maior de partes.</w:t>
      </w:r>
    </w:p>
    <w:p w:rsidR="00AE3911" w:rsidRDefault="00AE3911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3911" w:rsidRDefault="005B20AF" w:rsidP="00AE3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391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CONSIDERAÇÕES SOBRE A DENUNCIAÇÃO DA</w:t>
      </w:r>
      <w:r w:rsidR="00AE3911" w:rsidRPr="005B20AF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IDE.</w:t>
      </w:r>
    </w:p>
    <w:p w:rsidR="00D818D0" w:rsidRDefault="00D818D0" w:rsidP="0022095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0997" w:rsidRDefault="008F028F" w:rsidP="0022095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Fredie Didier Jr. (2012, p. 380), “A denunciação da lide é uma intervenção de terceiro provocada: o terceiro é demandando a integrar o processo, porque uma demanda lhe é dirigida”.</w:t>
      </w:r>
      <w:r w:rsidR="00BB689A">
        <w:rPr>
          <w:rFonts w:ascii="Times New Roman" w:hAnsi="Times New Roman" w:cs="Times New Roman"/>
          <w:sz w:val="24"/>
          <w:szCs w:val="24"/>
        </w:rPr>
        <w:t xml:space="preserve"> Com tal afirmação, verifica-se que na denunciação da lide o terceiro junta-se ao processo pelo fato de um dos integrantes originários terem demandado pedindo a sua integração a ele.</w:t>
      </w:r>
    </w:p>
    <w:p w:rsidR="0022095C" w:rsidRDefault="00390997" w:rsidP="0022095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Assinala Ernane Fidélis dos Santos (2009, p. 99) “A denunciação à lide tem por fundamento o direito de regresso, nas hipóteses em que entre o que denuncia e o denunciado não haja solidariedad</w:t>
      </w:r>
      <w:r w:rsidR="008F028F">
        <w:rPr>
          <w:rFonts w:ascii="Times New Roman" w:hAnsi="Times New Roman" w:cs="Times New Roman"/>
          <w:sz w:val="24"/>
          <w:szCs w:val="24"/>
        </w:rPr>
        <w:t>e na dívida”.</w:t>
      </w:r>
      <w:r>
        <w:rPr>
          <w:rFonts w:ascii="Times New Roman" w:hAnsi="Times New Roman" w:cs="Times New Roman"/>
          <w:sz w:val="24"/>
          <w:szCs w:val="24"/>
        </w:rPr>
        <w:t xml:space="preserve"> A afirmação do doutrinador deixa clara a relação da denunciação da lide com o direito de regresso.</w:t>
      </w:r>
    </w:p>
    <w:p w:rsidR="00390997" w:rsidRDefault="00181EC8" w:rsidP="0022095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partir disso observa-se, que a denunciação da lide é feita por um dos integrantes do processo, visando integrar o terceiro ao processo e que há uma relação íntima entre o dispositivo e o direito de regresso, que seria quando quem demanda a denunciação acredita que merece receber o ressarcimento do terceiro responsável, caso perda a disputa, o fato pode ser melhor assinalado por Fredie Didier Jr:</w:t>
      </w:r>
    </w:p>
    <w:p w:rsidR="00181EC8" w:rsidRDefault="00181EC8" w:rsidP="0022095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1EC8" w:rsidRDefault="00BD78EE" w:rsidP="00BD78E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“Do ponto de vista substancial, a denunciação da lide é demanda que veicula pretensão regressiva. O denunciante visa ao ressarcimento pelo denunciado de eventuais prejuízos que porventura venha a sofrer em razão do processo pendente. Não há, portanto, qualquer afirmação da existência de relação jurídica material entre o denunciado e o adversário do denunciante. Afirma-se a existência de uma relação jurídica entre o adversário do denunciante e o denunciante e entre o denunciante e o denunciado. É fundamental a percepção do fenômeno sob esta perspectiva, pois a correta compreensão das modalidades de intervenção de terceiro, como já afirmado, não prescinde de uma investigação do vínculo que mantém o terceiro com a relação jurídica discutida em juízo”. (DIDIER JÚNIOR, Fredie. </w:t>
      </w:r>
      <w:r>
        <w:rPr>
          <w:rFonts w:ascii="Times New Roman" w:hAnsi="Times New Roman" w:cs="Times New Roman"/>
          <w:b/>
          <w:sz w:val="20"/>
          <w:szCs w:val="20"/>
        </w:rPr>
        <w:t>Curso de Direito Processual Civil</w:t>
      </w:r>
      <w:r>
        <w:rPr>
          <w:rFonts w:ascii="Times New Roman" w:hAnsi="Times New Roman" w:cs="Times New Roman"/>
          <w:sz w:val="20"/>
          <w:szCs w:val="20"/>
        </w:rPr>
        <w:t>. Vol. 1. 14° Ed. Salvador: JusPodivm, 2012. p. 380.)</w:t>
      </w:r>
    </w:p>
    <w:p w:rsidR="00BD78EE" w:rsidRDefault="00BD78EE" w:rsidP="00BD78EE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A7400" w:rsidRDefault="00EA7400" w:rsidP="005C7B1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B17" w:rsidRDefault="00BD78EE" w:rsidP="005C7B1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assim então, que a denunciação da lide é um meio que </w:t>
      </w:r>
      <w:r w:rsidR="005C7B17">
        <w:rPr>
          <w:rFonts w:ascii="Times New Roman" w:hAnsi="Times New Roman" w:cs="Times New Roman"/>
          <w:sz w:val="24"/>
          <w:szCs w:val="24"/>
        </w:rPr>
        <w:t>se vale</w:t>
      </w:r>
      <w:r>
        <w:rPr>
          <w:rFonts w:ascii="Times New Roman" w:hAnsi="Times New Roman" w:cs="Times New Roman"/>
          <w:sz w:val="24"/>
          <w:szCs w:val="24"/>
        </w:rPr>
        <w:t xml:space="preserve"> uma das partes para </w:t>
      </w:r>
      <w:r w:rsidR="005C7B17">
        <w:rPr>
          <w:rFonts w:ascii="Times New Roman" w:hAnsi="Times New Roman" w:cs="Times New Roman"/>
          <w:sz w:val="24"/>
          <w:szCs w:val="24"/>
        </w:rPr>
        <w:t xml:space="preserve">conseguir a sua pretensão regressiva diante do terceiro. Pontua ainda Wambier e col. (2006, p. 250), “O que se quer, com a denunciação da lide, como regra geral, é ‘embutir’ no mesmo procedimento a solução de um segundo conflito, em que, sendo sucumbente o réu, nasce simultaneamente à sua condenação do terceiro denunciado”. Assim, também observa o mesmo doutrinador que há uma relação entre o dispositivo da denunciação da lide com o </w:t>
      </w:r>
      <w:r w:rsidR="005C7B17">
        <w:rPr>
          <w:rFonts w:ascii="Times New Roman" w:hAnsi="Times New Roman" w:cs="Times New Roman"/>
          <w:sz w:val="24"/>
          <w:szCs w:val="24"/>
        </w:rPr>
        <w:lastRenderedPageBreak/>
        <w:t>princípio da economia processual, como relata:</w:t>
      </w:r>
    </w:p>
    <w:p w:rsidR="005C7B17" w:rsidRDefault="005C7B17" w:rsidP="005C7B1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B17" w:rsidRDefault="005C7B17" w:rsidP="005C7B17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“A denunciação da lide é instituto criado com o objetivo de, levando a efeito o princípio da economia processual, inserir num só procedimento duas lides, interligadas, uma de que se diz principal e outra de que se diz eventual, porque, na verdade, o potencial conflituoso da lide levada a conhecimento do juiz através da denunciação só se realiza concretamente em função de um determinado resultado, que será obtido com a solução da lide principal. Não sendo vencido o denunciante na ação originária, a lide eventual não deve ser examinada, já que a denunciação como que ‘perderá’ o seu objeto.” (</w:t>
      </w:r>
      <w:r w:rsidR="00EA7400">
        <w:rPr>
          <w:rFonts w:ascii="Times New Roman" w:hAnsi="Times New Roman" w:cs="Times New Roman"/>
          <w:sz w:val="20"/>
          <w:szCs w:val="20"/>
        </w:rPr>
        <w:t xml:space="preserve">WAMBIER, Luiz Rodrigues; ALMEIDA, Flávio Renato Correia de; TALAMINI, Eduardo. </w:t>
      </w:r>
      <w:r w:rsidR="00EA7400">
        <w:rPr>
          <w:rFonts w:ascii="Times New Roman" w:hAnsi="Times New Roman" w:cs="Times New Roman"/>
          <w:b/>
          <w:sz w:val="20"/>
          <w:szCs w:val="20"/>
        </w:rPr>
        <w:t>Curso Avançado de Processo Civil</w:t>
      </w:r>
      <w:r w:rsidR="00EA7400">
        <w:rPr>
          <w:rFonts w:ascii="Times New Roman" w:hAnsi="Times New Roman" w:cs="Times New Roman"/>
          <w:sz w:val="20"/>
          <w:szCs w:val="20"/>
        </w:rPr>
        <w:t>. Vol. 1, 8° ed. São Paulo: Revista dos Tribunais, 2006. p. 249).</w:t>
      </w:r>
    </w:p>
    <w:p w:rsidR="00EA7400" w:rsidRDefault="00EA7400" w:rsidP="005C7B17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A7400" w:rsidRDefault="00EA7400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A7400" w:rsidRDefault="00EA7400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denunciação da lide é importante para que haja uma economia de processos, pois caso o demandante dela perda a disputa, não haver a necessidade de que ele entre com outro processo visando o recebimento do que perdeu. Porém, como assinalado, a denunciação perde efeito caso quem a demandou seja o vencedor da disputa, pois como dito não há mais o “objeto” da denunciação.</w:t>
      </w:r>
    </w:p>
    <w:p w:rsidR="00EA7400" w:rsidRDefault="00EA7400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Vale-se lembrar também, que o fato de não haver existido a prática da denunciação da lide, não impede que haja a abertura de outro processo visando o ressarcimento perante o indivíduo que seria o terceiro no processo. Apenas estaria perdida a faculdade de agir da denunciação.</w:t>
      </w:r>
    </w:p>
    <w:p w:rsidR="00EA7400" w:rsidRDefault="00171621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hipóteses em que pode haver a denunciação da lide estão elencadas no art. 70 do código de processo civil e são elas de três tipos: em casos de garantia da evicção, para a garantia da posse indireta e para a garantia de direito regressivo de indenização. Além disso o código traz uma redação interessante, pois apesar de falar em “obrigatoriedade” da denunciação da lide, na verdade a interpretação não é bem essa.</w:t>
      </w:r>
    </w:p>
    <w:p w:rsidR="00171621" w:rsidRDefault="00171621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Fredie Didier (2012), essa “obrigatoriedade” foi um equívoco redacional do código, pois na verdade o único caso em que a denunciação da lide é obrigatória é no caso da garantia de evicção, que é o inciso I do art. 70 do CPC, nos demais casos esse dispositivo é facultativo, não acarretando prejuízos para o processo. Portanto pode-se interpretar a denunciação da lide como facultativa em geral e obrigatória apenas nos casos que versem sobre a evicção.</w:t>
      </w:r>
    </w:p>
    <w:p w:rsidR="00171621" w:rsidRDefault="00171621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denunciação da lide acatada pelo juiz</w:t>
      </w:r>
      <w:r w:rsidR="004B0A4F">
        <w:rPr>
          <w:rFonts w:ascii="Times New Roman" w:hAnsi="Times New Roman" w:cs="Times New Roman"/>
          <w:sz w:val="24"/>
          <w:szCs w:val="24"/>
        </w:rPr>
        <w:t xml:space="preserve"> configura-se algumas conseqüências processuais, como abordado por Luiz Rodrigues Wambier e col.:</w:t>
      </w:r>
    </w:p>
    <w:p w:rsidR="004B0A4F" w:rsidRDefault="004B0A4F" w:rsidP="00EA7400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0A4F" w:rsidRDefault="004B0A4F" w:rsidP="004B0A4F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B0A4F">
        <w:rPr>
          <w:rFonts w:ascii="Times New Roman" w:hAnsi="Times New Roman" w:cs="Times New Roman"/>
          <w:sz w:val="20"/>
          <w:szCs w:val="20"/>
        </w:rPr>
        <w:t xml:space="preserve">“A decisão da lide originária e da lide secundária é normalmente conjunta. Onde o legislador diz declarará, deve se entender condenará, e esse entendimento decorre da mera leitura do art. 76, que diz que a sentença que julgar procedente a ação entre </w:t>
      </w:r>
      <w:r w:rsidRPr="004B0A4F">
        <w:rPr>
          <w:rFonts w:ascii="Times New Roman" w:hAnsi="Times New Roman" w:cs="Times New Roman"/>
          <w:sz w:val="20"/>
          <w:szCs w:val="20"/>
        </w:rPr>
        <w:lastRenderedPageBreak/>
        <w:t xml:space="preserve">autor e réu originários deve declarar o direito do réu em relação ao denunciado e vale como título executivo. Evidentemente, se a sentença consiste num título executivo, não há de ter conteúdo exclusivamente declaratório, mas condenatório”. (WAMBIER, Luiz Rodrigues; ALMEIDA, Flávio Renato Correia de; TALAMINI, Eduardo. </w:t>
      </w:r>
      <w:r w:rsidRPr="004B0A4F">
        <w:rPr>
          <w:rFonts w:ascii="Times New Roman" w:hAnsi="Times New Roman" w:cs="Times New Roman"/>
          <w:b/>
          <w:sz w:val="20"/>
          <w:szCs w:val="20"/>
        </w:rPr>
        <w:t>Curso Avançado de Processo Civil</w:t>
      </w:r>
      <w:r w:rsidRPr="004B0A4F">
        <w:rPr>
          <w:rFonts w:ascii="Times New Roman" w:hAnsi="Times New Roman" w:cs="Times New Roman"/>
          <w:sz w:val="20"/>
          <w:szCs w:val="20"/>
        </w:rPr>
        <w:t>. Vol. 1, 8° ed. São Paulo: Revista dos Tribunais, 2006. p. 253)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0A4F" w:rsidRPr="004B0A4F" w:rsidRDefault="004B0A4F" w:rsidP="004B0A4F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E3911" w:rsidRDefault="004B0A4F" w:rsidP="004B0A4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a partir da afirmação do doutrinador, podemos observar que a denunciação da lide acarreta em condenações conjuntas, seguindo a ideia do princípio da </w:t>
      </w:r>
      <w:r w:rsidR="00E2236D">
        <w:rPr>
          <w:rFonts w:ascii="Times New Roman" w:hAnsi="Times New Roman" w:cs="Times New Roman"/>
          <w:sz w:val="24"/>
          <w:szCs w:val="24"/>
        </w:rPr>
        <w:t>economia processual, já citado, fazendo com que o processo tenha ao mesmo tempo a sentença para os integrantes da lide primária e da lide secundária.</w:t>
      </w:r>
    </w:p>
    <w:p w:rsidR="00E2236D" w:rsidRDefault="00E2236D" w:rsidP="004B0A4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2236D" w:rsidRPr="005B20AF" w:rsidRDefault="005B20AF" w:rsidP="00E22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236D">
        <w:rPr>
          <w:rFonts w:ascii="Times New Roman" w:hAnsi="Times New Roman" w:cs="Times New Roman"/>
          <w:b/>
          <w:sz w:val="24"/>
          <w:szCs w:val="24"/>
        </w:rPr>
        <w:t xml:space="preserve">. O </w:t>
      </w:r>
      <w:r>
        <w:rPr>
          <w:rFonts w:ascii="Times New Roman" w:hAnsi="Times New Roman" w:cs="Times New Roman"/>
          <w:b/>
          <w:sz w:val="24"/>
          <w:szCs w:val="24"/>
        </w:rPr>
        <w:t xml:space="preserve">CONFLITO </w:t>
      </w:r>
      <w:r>
        <w:rPr>
          <w:rFonts w:ascii="Times New Roman" w:hAnsi="Times New Roman" w:cs="Times New Roman"/>
          <w:b/>
          <w:i/>
          <w:sz w:val="24"/>
          <w:szCs w:val="24"/>
        </w:rPr>
        <w:t>PER SALTUM.</w:t>
      </w:r>
    </w:p>
    <w:p w:rsidR="00E2236D" w:rsidRDefault="00E2236D" w:rsidP="00E22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E83" w:rsidRDefault="00E2236D" w:rsidP="00E2236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conflito </w:t>
      </w:r>
      <w:r>
        <w:rPr>
          <w:rFonts w:ascii="Times New Roman" w:hAnsi="Times New Roman" w:cs="Times New Roman"/>
          <w:i/>
          <w:sz w:val="24"/>
          <w:szCs w:val="24"/>
        </w:rPr>
        <w:t xml:space="preserve">Per Saltum </w:t>
      </w:r>
      <w:r>
        <w:rPr>
          <w:rFonts w:ascii="Times New Roman" w:hAnsi="Times New Roman" w:cs="Times New Roman"/>
          <w:sz w:val="24"/>
          <w:szCs w:val="24"/>
        </w:rPr>
        <w:t>reside no confronto da redação do art. 73 do Código de Processo Civil com a redação do art. 456 do Código Civil. O primeiro artigo, que foi redigido anteriormente, datado o fato de o CPC ser mais antigo que o CC, prevê</w:t>
      </w:r>
      <w:r w:rsidR="0002575C">
        <w:rPr>
          <w:rFonts w:ascii="Times New Roman" w:hAnsi="Times New Roman" w:cs="Times New Roman"/>
          <w:sz w:val="24"/>
          <w:szCs w:val="24"/>
        </w:rPr>
        <w:t xml:space="preserve"> que “o denunciado</w:t>
      </w:r>
      <w:r w:rsidR="00DB4E83">
        <w:rPr>
          <w:rFonts w:ascii="Times New Roman" w:hAnsi="Times New Roman" w:cs="Times New Roman"/>
          <w:sz w:val="24"/>
          <w:szCs w:val="24"/>
        </w:rPr>
        <w:t>, por sua vez, intimará o alienante, o proprietário, o possuidor direto ou o responsável pela indenização e, assim, sucessivamente, quanto aos prazos, o disposto no artigo antecedente”.</w:t>
      </w:r>
    </w:p>
    <w:p w:rsidR="00BF0B78" w:rsidRDefault="00DB4E83" w:rsidP="00E2236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 art. 456 do Código Civil prevê que “Para poder exercitar o direito que da evicção lhe resulta, o adquirente</w:t>
      </w:r>
      <w:r w:rsidR="00BF0B78">
        <w:rPr>
          <w:rFonts w:ascii="Times New Roman" w:hAnsi="Times New Roman" w:cs="Times New Roman"/>
          <w:sz w:val="24"/>
          <w:szCs w:val="24"/>
        </w:rPr>
        <w:t xml:space="preserve"> notificará do litígio o alienante imediato, ou qualquer dos anteriores, quando e como lhe determinarem as leis do processo”. Tendo em vista tais considerações observa-se que o conflito consiste no fato de o CPC autorizar a chamada denunciação sucessiva, enquanto o CC também autoriza, além dessa, a denunciação de qualquer um dos anteriores. Isso pode ser afirmado melhor por Fredie Didier Jr.:</w:t>
      </w:r>
    </w:p>
    <w:p w:rsidR="00BF0B78" w:rsidRDefault="00BF0B78" w:rsidP="00E2236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B632D" w:rsidRDefault="00BF0B78" w:rsidP="00CB632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“O </w:t>
      </w:r>
      <w:r>
        <w:rPr>
          <w:rFonts w:ascii="Times New Roman" w:hAnsi="Times New Roman" w:cs="Times New Roman"/>
          <w:i/>
          <w:sz w:val="20"/>
          <w:szCs w:val="20"/>
        </w:rPr>
        <w:t>caput</w:t>
      </w:r>
      <w:r>
        <w:rPr>
          <w:rFonts w:ascii="Times New Roman" w:hAnsi="Times New Roman" w:cs="Times New Roman"/>
          <w:sz w:val="20"/>
          <w:szCs w:val="20"/>
        </w:rPr>
        <w:t xml:space="preserve"> do art. 456 do CC-2002 trouxe uma inovação ao regramento da denunciação da lide em caso de evicção: permite-se ao adquirente denunciar a lide ao alienante imediato ou a ‘qualquer dos anteriores’. Ou seja, pode o adquirente denunciar a lide a quem lhe vendeu ou a quem vendeu a quem lhe vendeu etc. O tema é novo e polêmico.”</w:t>
      </w:r>
      <w:r w:rsidR="00CB632D">
        <w:rPr>
          <w:rFonts w:ascii="Times New Roman" w:hAnsi="Times New Roman" w:cs="Times New Roman"/>
          <w:sz w:val="20"/>
          <w:szCs w:val="20"/>
        </w:rPr>
        <w:t xml:space="preserve"> (DIDIER JÚNIOR, Fredie. </w:t>
      </w:r>
      <w:r w:rsidR="00CB632D">
        <w:rPr>
          <w:rFonts w:ascii="Times New Roman" w:hAnsi="Times New Roman" w:cs="Times New Roman"/>
          <w:b/>
          <w:sz w:val="20"/>
          <w:szCs w:val="20"/>
        </w:rPr>
        <w:t>Curso de Direito Processual Civil</w:t>
      </w:r>
      <w:r w:rsidR="00CB632D">
        <w:rPr>
          <w:rFonts w:ascii="Times New Roman" w:hAnsi="Times New Roman" w:cs="Times New Roman"/>
          <w:sz w:val="20"/>
          <w:szCs w:val="20"/>
        </w:rPr>
        <w:t>. Vol. 1. 14° Ed. Salvador: JusPodivm, 2012. p. 386.)</w:t>
      </w:r>
    </w:p>
    <w:p w:rsidR="00BF0B78" w:rsidRDefault="00BF0B78" w:rsidP="00BF0B78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F0B78" w:rsidRDefault="00BF0B78" w:rsidP="00BF0B78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B632D" w:rsidRDefault="00CB632D" w:rsidP="00BF0B78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mesmo afirma o doutrinador, é uma disposição polêmica a que trouxe a redação do artigo no novo código civil. Pois prevê uma hipótese que vai de encontro com uma regulada pelo CPC, levando ao conflito entre essas duas normas e uma imensa discussão doutrinária a respeito dessas disposições. Alexandre Câmara também fala um pouco sobre ela:</w:t>
      </w:r>
    </w:p>
    <w:p w:rsidR="00CB632D" w:rsidRDefault="00CB632D" w:rsidP="00CB632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D5DE9" w:rsidRDefault="007D5DE9" w:rsidP="00CB632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B632D" w:rsidRDefault="00CB632D" w:rsidP="00CB632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“É de se observar, aliás, que o art. 456 do Código Civil de 2002 afirma que, nos casos de evicção (a que se aplica, pois, o art. 70, I, do CPC), é possível fazer a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denunciação da lide ao alienante imediato do bem ou a qualquer um dos alienantes anteriores, Isto permitiria, se isoladamente interpretado, uma denunciação da lide </w:t>
      </w:r>
      <w:r>
        <w:rPr>
          <w:rFonts w:ascii="Times New Roman" w:hAnsi="Times New Roman" w:cs="Times New Roman"/>
          <w:i/>
          <w:sz w:val="20"/>
          <w:szCs w:val="20"/>
        </w:rPr>
        <w:t>per saltum</w:t>
      </w:r>
      <w:r>
        <w:rPr>
          <w:rFonts w:ascii="Times New Roman" w:hAnsi="Times New Roman" w:cs="Times New Roman"/>
          <w:sz w:val="20"/>
          <w:szCs w:val="20"/>
        </w:rPr>
        <w:t xml:space="preserve">, ou seja, a lei civil estaria permitindo que o denunciante demandasse não em face daquele com quem estabeleceu relação jurídica de direito material, mas em face de sujeito de relação jurídica distinta, anterior a sua”. (CÂMARA, Alexandre Freitas. </w:t>
      </w:r>
      <w:r>
        <w:rPr>
          <w:rFonts w:ascii="Times New Roman" w:hAnsi="Times New Roman" w:cs="Times New Roman"/>
          <w:b/>
          <w:sz w:val="20"/>
          <w:szCs w:val="20"/>
        </w:rPr>
        <w:t>Lições de Direito Processual Civil.</w:t>
      </w:r>
      <w:r>
        <w:rPr>
          <w:rFonts w:ascii="Times New Roman" w:hAnsi="Times New Roman" w:cs="Times New Roman"/>
          <w:sz w:val="20"/>
          <w:szCs w:val="20"/>
        </w:rPr>
        <w:t xml:space="preserve"> Vol. 1. 16º ed. Rio de Janeiro: Lumen Juris, 2007. p. 214).</w:t>
      </w:r>
    </w:p>
    <w:p w:rsidR="00CB632D" w:rsidRDefault="00CB632D" w:rsidP="00CB632D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2236D" w:rsidRPr="00E2236D" w:rsidRDefault="00BF0B78" w:rsidP="00CB63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E83">
        <w:rPr>
          <w:rFonts w:ascii="Times New Roman" w:hAnsi="Times New Roman" w:cs="Times New Roman"/>
          <w:sz w:val="24"/>
          <w:szCs w:val="24"/>
        </w:rPr>
        <w:t xml:space="preserve"> </w:t>
      </w:r>
      <w:r w:rsidR="00025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69" w:rsidRDefault="006960F1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seguinte também pode ser defendido por Cassio Scarpinella Bueno:</w:t>
      </w:r>
    </w:p>
    <w:p w:rsidR="006960F1" w:rsidRDefault="006960F1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60F1" w:rsidRDefault="006960F1" w:rsidP="009E3943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6960F1">
        <w:rPr>
          <w:rFonts w:ascii="Times New Roman" w:hAnsi="Times New Roman" w:cs="Times New Roman"/>
          <w:sz w:val="20"/>
          <w:szCs w:val="20"/>
        </w:rPr>
        <w:t xml:space="preserve">Passa-se a ser admitida, pois, uma verdadeira “denunciação da lide </w:t>
      </w:r>
      <w:r w:rsidRPr="006960F1">
        <w:rPr>
          <w:rFonts w:ascii="Times New Roman" w:hAnsi="Times New Roman" w:cs="Times New Roman"/>
          <w:i/>
          <w:sz w:val="20"/>
          <w:szCs w:val="20"/>
        </w:rPr>
        <w:t>per saltum</w:t>
      </w:r>
      <w:r w:rsidRPr="006960F1">
        <w:rPr>
          <w:rFonts w:ascii="Times New Roman" w:hAnsi="Times New Roman" w:cs="Times New Roman"/>
          <w:sz w:val="20"/>
          <w:szCs w:val="20"/>
        </w:rPr>
        <w:t>”, criando, a lei material, a possibilidade de o adquirente litigar em juízo diretamente com pessoas com quem não teve ou não tem qualquer relação jurídica mas que s</w:t>
      </w:r>
      <w:r>
        <w:rPr>
          <w:rFonts w:ascii="Times New Roman" w:hAnsi="Times New Roman" w:cs="Times New Roman"/>
          <w:sz w:val="20"/>
          <w:szCs w:val="20"/>
        </w:rPr>
        <w:t xml:space="preserve">ejam, de uma forma ou de outra, ‘responsáveis pela indenização’ </w:t>
      </w:r>
      <w:r w:rsidRPr="006960F1">
        <w:rPr>
          <w:rFonts w:ascii="Times New Roman" w:hAnsi="Times New Roman" w:cs="Times New Roman"/>
          <w:sz w:val="20"/>
          <w:szCs w:val="20"/>
        </w:rPr>
        <w:t>(ou, mais rigorosamente, pela evicção), nos termos do art. 73 do Código de Processo Civil.</w:t>
      </w:r>
      <w:r>
        <w:rPr>
          <w:rFonts w:ascii="Times New Roman" w:hAnsi="Times New Roman" w:cs="Times New Roman"/>
          <w:sz w:val="20"/>
          <w:szCs w:val="20"/>
        </w:rPr>
        <w:t xml:space="preserve">” (BUENO, Cassio Scarpinella. </w:t>
      </w:r>
      <w:r>
        <w:rPr>
          <w:rFonts w:ascii="Times New Roman" w:hAnsi="Times New Roman" w:cs="Times New Roman"/>
          <w:b/>
          <w:sz w:val="20"/>
          <w:szCs w:val="20"/>
        </w:rPr>
        <w:t>A Denunciação da Lide e o art. 456 do Novo Código Civil.</w:t>
      </w:r>
      <w:r w:rsidR="009E3943">
        <w:rPr>
          <w:rFonts w:ascii="Times New Roman" w:hAnsi="Times New Roman" w:cs="Times New Roman"/>
          <w:sz w:val="20"/>
          <w:szCs w:val="20"/>
        </w:rPr>
        <w:t xml:space="preserve"> Disponível em: 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6960F1">
        <w:rPr>
          <w:rFonts w:ascii="Times New Roman" w:hAnsi="Times New Roman" w:cs="Times New Roman"/>
          <w:sz w:val="20"/>
          <w:szCs w:val="20"/>
        </w:rPr>
        <w:t>http://www.scarpinellabueno.com.br/Textos/Denunciação%20da%20lide%20_Arruda%20Alvim_.pdf</w:t>
      </w:r>
      <w:r>
        <w:rPr>
          <w:rFonts w:ascii="Times New Roman" w:hAnsi="Times New Roman" w:cs="Times New Roman"/>
          <w:sz w:val="20"/>
          <w:szCs w:val="20"/>
        </w:rPr>
        <w:t>.&gt;. Acesso em: 29/04/2012. p.7).</w:t>
      </w: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também pode ser exposto por Humberto Theodoro Júnior:</w:t>
      </w: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“Entendia-se que a denunciação sucessiva nos termos do art. 73, não se podia fazer </w:t>
      </w:r>
      <w:r>
        <w:rPr>
          <w:rFonts w:ascii="Times New Roman" w:hAnsi="Times New Roman" w:cs="Times New Roman"/>
          <w:i/>
          <w:sz w:val="20"/>
          <w:szCs w:val="20"/>
        </w:rPr>
        <w:t>per saltum</w:t>
      </w:r>
      <w:r>
        <w:rPr>
          <w:rFonts w:ascii="Times New Roman" w:hAnsi="Times New Roman" w:cs="Times New Roman"/>
          <w:sz w:val="20"/>
          <w:szCs w:val="20"/>
        </w:rPr>
        <w:t>, de sorte que cada denunciado teria que promovê-la regressivamente, em face do transmitente imediato. O tema foi enfocado de maneira diferente pelo Novo Código Civil, ao tratar, no art. 456, da garantia da evicção. Com esta inovação, o direito de reclamar os efeitos da referida garantia poderá ser exercido mediante notificação do litígio, ao alienante imediato, ou a qualquer dos anteriores. Não há que se observar, portanto, a ordem rigorosa das alienações do bem evicto”. (THEODORO JÚNIOR, Humberto</w:t>
      </w:r>
      <w:r w:rsidR="007D5DE9">
        <w:rPr>
          <w:rFonts w:ascii="Times New Roman" w:hAnsi="Times New Roman" w:cs="Times New Roman"/>
          <w:sz w:val="20"/>
          <w:szCs w:val="20"/>
        </w:rPr>
        <w:t xml:space="preserve">. </w:t>
      </w:r>
      <w:r w:rsidR="007D5DE9">
        <w:rPr>
          <w:rFonts w:ascii="Times New Roman" w:hAnsi="Times New Roman" w:cs="Times New Roman"/>
          <w:b/>
          <w:sz w:val="20"/>
          <w:szCs w:val="20"/>
        </w:rPr>
        <w:t>Curso de Direito Processual Civil.</w:t>
      </w:r>
      <w:r w:rsidR="007D5DE9">
        <w:rPr>
          <w:rFonts w:ascii="Times New Roman" w:hAnsi="Times New Roman" w:cs="Times New Roman"/>
          <w:sz w:val="20"/>
          <w:szCs w:val="20"/>
        </w:rPr>
        <w:t xml:space="preserve"> Vol. 1. 46° ed. Rio de Janeiro: Forense, 2007. p. 151).</w:t>
      </w:r>
    </w:p>
    <w:p w:rsidR="007D5DE9" w:rsidRDefault="007D5DE9" w:rsidP="009E3943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D5DE9" w:rsidRDefault="007D5DE9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5DE9" w:rsidRDefault="007D5DE9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ao observar as posições dos ilustríssimos doutrinadores citados, pode-se entender como se configura o conflito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 xml:space="preserve"> e como ele se dá no nosso ordenamento jurídico, que é especificamente no tocante aos casos de evicção com a denunciação da lide, fazendo com que ocorra o conflito entre os dispostos nos dois códigos. Como já foi possível vislumbrar, há algumas divergências sobre esse conflito, já que alguns doutrinadores admitem o disposto no CPC, enquanto outros admitem o que veio expresso no Código Civil, o que será abordado a seguir.</w:t>
      </w:r>
    </w:p>
    <w:p w:rsidR="007D5DE9" w:rsidRPr="005B20AF" w:rsidRDefault="005B20AF" w:rsidP="007D5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F">
        <w:rPr>
          <w:rFonts w:ascii="Times New Roman" w:hAnsi="Times New Roman" w:cs="Times New Roman"/>
          <w:sz w:val="24"/>
          <w:szCs w:val="24"/>
        </w:rPr>
        <w:t>4</w:t>
      </w:r>
      <w:r w:rsidR="007D5DE9" w:rsidRPr="005B20AF">
        <w:rPr>
          <w:rFonts w:ascii="Times New Roman" w:hAnsi="Times New Roman" w:cs="Times New Roman"/>
          <w:sz w:val="24"/>
          <w:szCs w:val="24"/>
        </w:rPr>
        <w:t>.</w:t>
      </w:r>
      <w:r w:rsidRPr="005B20AF">
        <w:rPr>
          <w:rFonts w:ascii="Times New Roman" w:hAnsi="Times New Roman" w:cs="Times New Roman"/>
          <w:sz w:val="24"/>
          <w:szCs w:val="24"/>
        </w:rPr>
        <w:t>2</w:t>
      </w:r>
      <w:r w:rsidR="007D5DE9" w:rsidRPr="005B20AF">
        <w:rPr>
          <w:rFonts w:ascii="Times New Roman" w:hAnsi="Times New Roman" w:cs="Times New Roman"/>
          <w:sz w:val="24"/>
          <w:szCs w:val="24"/>
        </w:rPr>
        <w:t xml:space="preserve"> Solucionando o Conflito Per Saltum.</w:t>
      </w:r>
    </w:p>
    <w:p w:rsidR="007D5DE9" w:rsidRDefault="007D5DE9" w:rsidP="007D5D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E9" w:rsidRDefault="007A655D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exposto na obra de Fredie Didier Jr. (2012), consagra-se cinco posições doutrinárias sobre o tema do conflito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 xml:space="preserve">. Essas cinco posições são frutos de </w:t>
      </w:r>
      <w:r>
        <w:rPr>
          <w:rFonts w:ascii="Times New Roman" w:hAnsi="Times New Roman" w:cs="Times New Roman"/>
          <w:sz w:val="24"/>
          <w:szCs w:val="24"/>
        </w:rPr>
        <w:lastRenderedPageBreak/>
        <w:t>um polêmico e longo debate sobre o tema e consagram as várias interpretações que esse conflito gerou.</w:t>
      </w:r>
    </w:p>
    <w:p w:rsidR="007A655D" w:rsidRDefault="007A655D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exposto por Fredie Didier Jr. (2012), a primeira consistiria no fato de o Código Civil ter admitido a denunciação da lide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 xml:space="preserve">. O que permitiria que uma parte demandasse contra alguém que não mantém uma relação jurídica, o que faria com o que o Código Civil consagrasse uma forma de litisconsórcio facultativo passivo. Essa idéia segundo o autor é defendida pelos doutrinadores Nelson Ney Jr. e Rosa Nery, que segundo Fredie Didier Jr. (2012) admitem a denunciação da lide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>, mas a consideram sub-rogação legal.</w:t>
      </w:r>
    </w:p>
    <w:p w:rsidR="007A655D" w:rsidRDefault="007A655D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Interpreta-se assim, a primeira posição doutrinária como uma posição que admite o </w:t>
      </w:r>
      <w:r>
        <w:rPr>
          <w:rFonts w:ascii="Times New Roman" w:hAnsi="Times New Roman" w:cs="Times New Roman"/>
          <w:i/>
          <w:sz w:val="24"/>
          <w:szCs w:val="24"/>
        </w:rPr>
        <w:t xml:space="preserve">per saltum </w:t>
      </w:r>
      <w:r>
        <w:rPr>
          <w:rFonts w:ascii="Times New Roman" w:hAnsi="Times New Roman" w:cs="Times New Roman"/>
          <w:sz w:val="24"/>
          <w:szCs w:val="24"/>
        </w:rPr>
        <w:t>como uma denunciação da lide imposta pelo Código Civil, porém estipula que o mesmo tenha também a considerado uma espécie de litisconsórcio facultativo passivo, além de o considerarem sub-rogação legal.</w:t>
      </w:r>
    </w:p>
    <w:p w:rsidR="007A655D" w:rsidRDefault="007B27F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Fredie Didier Jr. (2012),</w:t>
      </w:r>
      <w:r w:rsidR="007A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655D">
        <w:rPr>
          <w:rFonts w:ascii="Times New Roman" w:hAnsi="Times New Roman" w:cs="Times New Roman"/>
          <w:sz w:val="24"/>
          <w:szCs w:val="24"/>
        </w:rPr>
        <w:t xml:space="preserve"> segunda correte doutrinária, consistiria no fato </w:t>
      </w:r>
      <w:r w:rsidR="005F7E14">
        <w:rPr>
          <w:rFonts w:ascii="Times New Roman" w:hAnsi="Times New Roman" w:cs="Times New Roman"/>
          <w:sz w:val="24"/>
          <w:szCs w:val="24"/>
        </w:rPr>
        <w:t>que a redação do Código Civil teria consagrado uma denunciação coletiva. Ideia essa para o autor exposta por Moniz Aragão. Segundo o autor, essa idéia vale-se das dificuldades impostas pela denunciação sucessiva, fazendo com que houvesse a denunciação da lide de uma única vez. Enquanto para o autor, Rodrigo Salazar interpreta que a o Código Civil dispõe autorização para a denunciação coletiva, evitando assim denunciações sucessivas desnecessárias, porém não</w:t>
      </w:r>
      <w:r>
        <w:rPr>
          <w:rFonts w:ascii="Times New Roman" w:hAnsi="Times New Roman" w:cs="Times New Roman"/>
          <w:sz w:val="24"/>
          <w:szCs w:val="24"/>
        </w:rPr>
        <w:t xml:space="preserve"> permite licença para 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7FE" w:rsidRDefault="007B27F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dessa segunda corrente, interpreta-se que há a permissão da chamada denunciação coletiva, que seria um instrumento para evitar um retardamento do processo por meio de denunciações sucessivas inúteis. Assim, para essa corrente essa foi a intenção do Código Civil, porém não há a existência do </w:t>
      </w:r>
      <w:r>
        <w:rPr>
          <w:rFonts w:ascii="Times New Roman" w:hAnsi="Times New Roman" w:cs="Times New Roman"/>
          <w:i/>
          <w:sz w:val="24"/>
          <w:szCs w:val="24"/>
        </w:rPr>
        <w:t>per saltum.</w:t>
      </w:r>
    </w:p>
    <w:p w:rsidR="007B27FE" w:rsidRDefault="007B27F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Expõe Fredie Didier Jr. (2012), a terceira corrente doutrinária a respeito do conflito. Para essa corrente, defendida segundo o autor por Flávio Yarshell, também haveria a determinação na legislação civil das denunciações sucessivas, dispostas no CPC, não sendo considerado 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>, já que esse permitiria que o alienante com maior condição financeira pudesse responder por diversas indenizações.</w:t>
      </w:r>
    </w:p>
    <w:p w:rsidR="005D7D1E" w:rsidRDefault="007B27F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corrente pode ser vista então como uma interpretação extensiva do que já era disposto no Código de Processo Civil e foi </w:t>
      </w:r>
      <w:r w:rsidR="005D7D1E">
        <w:rPr>
          <w:rFonts w:ascii="Times New Roman" w:hAnsi="Times New Roman" w:cs="Times New Roman"/>
          <w:sz w:val="24"/>
          <w:szCs w:val="24"/>
        </w:rPr>
        <w:t xml:space="preserve">apenas colocado também no Código Civil. </w:t>
      </w:r>
      <w:r w:rsidR="000E0B1C">
        <w:rPr>
          <w:rFonts w:ascii="Times New Roman" w:hAnsi="Times New Roman" w:cs="Times New Roman"/>
          <w:sz w:val="24"/>
          <w:szCs w:val="24"/>
        </w:rPr>
        <w:t>Além disso,</w:t>
      </w:r>
      <w:r w:rsidR="005D7D1E">
        <w:rPr>
          <w:rFonts w:ascii="Times New Roman" w:hAnsi="Times New Roman" w:cs="Times New Roman"/>
          <w:sz w:val="24"/>
          <w:szCs w:val="24"/>
        </w:rPr>
        <w:t xml:space="preserve"> prega a não existência do </w:t>
      </w:r>
      <w:r w:rsidR="005D7D1E">
        <w:rPr>
          <w:rFonts w:ascii="Times New Roman" w:hAnsi="Times New Roman" w:cs="Times New Roman"/>
          <w:i/>
          <w:sz w:val="24"/>
          <w:szCs w:val="24"/>
        </w:rPr>
        <w:t>per saltum</w:t>
      </w:r>
      <w:r w:rsidR="005D7D1E">
        <w:rPr>
          <w:rFonts w:ascii="Times New Roman" w:hAnsi="Times New Roman" w:cs="Times New Roman"/>
          <w:sz w:val="24"/>
          <w:szCs w:val="24"/>
        </w:rPr>
        <w:t>, pois ele poderia provocar uma injustiça com aquele alienante com maiores condições financeiras, que iria acabar sendo o maior prejudicado.</w:t>
      </w:r>
    </w:p>
    <w:p w:rsidR="000E0B1C" w:rsidRDefault="005D7D1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Continuando o relatado por Fredie Didier Jr. (2012), a quarta corrente doutrinária que versa sobre o conflito haveria a permissão do </w:t>
      </w:r>
      <w:r>
        <w:rPr>
          <w:rFonts w:ascii="Times New Roman" w:hAnsi="Times New Roman" w:cs="Times New Roman"/>
          <w:i/>
          <w:sz w:val="24"/>
          <w:szCs w:val="24"/>
        </w:rPr>
        <w:t>per saltum.</w:t>
      </w:r>
      <w:r>
        <w:rPr>
          <w:rFonts w:ascii="Times New Roman" w:hAnsi="Times New Roman" w:cs="Times New Roman"/>
          <w:sz w:val="24"/>
          <w:szCs w:val="24"/>
        </w:rPr>
        <w:t xml:space="preserve"> Essa corrente é defendida segundo o autor por Marcelo Abelha Rodrigues e Humberto Theodoro Júnior. Para essa corrente a existência desse meio existe, pois o art.456 do CC</w:t>
      </w:r>
      <w:r w:rsidR="000E0B1C">
        <w:rPr>
          <w:rFonts w:ascii="Times New Roman" w:hAnsi="Times New Roman" w:cs="Times New Roman"/>
          <w:sz w:val="24"/>
          <w:szCs w:val="24"/>
        </w:rPr>
        <w:t xml:space="preserve"> permitiu</w:t>
      </w:r>
      <w:r>
        <w:rPr>
          <w:rFonts w:ascii="Times New Roman" w:hAnsi="Times New Roman" w:cs="Times New Roman"/>
          <w:sz w:val="24"/>
          <w:szCs w:val="24"/>
        </w:rPr>
        <w:t xml:space="preserve"> que houvesse uma solidariedade legal </w:t>
      </w:r>
      <w:r w:rsidR="000E0B1C">
        <w:rPr>
          <w:rFonts w:ascii="Times New Roman" w:hAnsi="Times New Roman" w:cs="Times New Roman"/>
          <w:sz w:val="24"/>
          <w:szCs w:val="24"/>
        </w:rPr>
        <w:t xml:space="preserve">entre todos os alienantes que compõe a cadeia sucessória em relação ao último adquirente. Assim o </w:t>
      </w:r>
      <w:r w:rsidR="000E0B1C">
        <w:rPr>
          <w:rFonts w:ascii="Times New Roman" w:hAnsi="Times New Roman" w:cs="Times New Roman"/>
          <w:i/>
          <w:sz w:val="24"/>
          <w:szCs w:val="24"/>
        </w:rPr>
        <w:t>per saltum</w:t>
      </w:r>
      <w:r w:rsidR="000E0B1C">
        <w:rPr>
          <w:rFonts w:ascii="Times New Roman" w:hAnsi="Times New Roman" w:cs="Times New Roman"/>
          <w:sz w:val="24"/>
          <w:szCs w:val="24"/>
        </w:rPr>
        <w:t xml:space="preserve"> sendo admitido para que ocorresse uma solidariedade passiva com o último adquirente.</w:t>
      </w:r>
    </w:p>
    <w:p w:rsidR="000E0B1C" w:rsidRDefault="000E0B1C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Podendo interpretar assim a corrente doutrinária como aquela que permite o </w:t>
      </w:r>
      <w:r>
        <w:rPr>
          <w:rFonts w:ascii="Times New Roman" w:hAnsi="Times New Roman" w:cs="Times New Roman"/>
          <w:i/>
          <w:sz w:val="24"/>
          <w:szCs w:val="24"/>
        </w:rPr>
        <w:t>per saltum.</w:t>
      </w:r>
      <w:r>
        <w:rPr>
          <w:rFonts w:ascii="Times New Roman" w:hAnsi="Times New Roman" w:cs="Times New Roman"/>
          <w:sz w:val="24"/>
          <w:szCs w:val="24"/>
        </w:rPr>
        <w:t xml:space="preserve"> A intenção desse posicionamento é a de que o Código Civil, fez garantir uma solidariedade passiva entre os adquirentes objetivando assim equilibrar as indenizações nos casos relativos à evicção.</w:t>
      </w:r>
    </w:p>
    <w:p w:rsidR="000E0B1C" w:rsidRDefault="000E0B1C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Chegando, portanto, para a quinta e última corrente relatada por Fredie Didier Jr. (2012). Essa corrente considera a mudança inócua e é defendida segundo o autor por Alexandre Câmara. Pois segundo ele, o dispositivo relatado no Código Civil, prevê obediência as leis processuais, o que faria com que as regras do CPC fossem utilizadas e não haveria a existência do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7FE" w:rsidRDefault="007B27FE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B1C">
        <w:rPr>
          <w:rFonts w:ascii="Times New Roman" w:hAnsi="Times New Roman" w:cs="Times New Roman"/>
          <w:sz w:val="24"/>
          <w:szCs w:val="24"/>
        </w:rPr>
        <w:t xml:space="preserve">Assim, pode-se interpretar tal corrente como aquela que desacredita na hipótese do </w:t>
      </w:r>
      <w:r w:rsidR="000E0B1C">
        <w:rPr>
          <w:rFonts w:ascii="Times New Roman" w:hAnsi="Times New Roman" w:cs="Times New Roman"/>
          <w:i/>
          <w:sz w:val="24"/>
          <w:szCs w:val="24"/>
        </w:rPr>
        <w:t>per saltum</w:t>
      </w:r>
      <w:r w:rsidR="000E0B1C">
        <w:rPr>
          <w:rFonts w:ascii="Times New Roman" w:hAnsi="Times New Roman" w:cs="Times New Roman"/>
          <w:sz w:val="24"/>
          <w:szCs w:val="24"/>
        </w:rPr>
        <w:t>, sendo que essa possibilidade nunca existiu. Pois segundo ela o próprio dispositivo civil foi bem claro ao mencionar que as regras do Código de Processo Civil seriam respeitadas nos casos de evicção.</w:t>
      </w:r>
    </w:p>
    <w:p w:rsidR="001C1E58" w:rsidRDefault="000E0B1C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todas as considerações brilhantemente levantadas pelos doutrinadores e presentes na obra do grande Fredie Didier (2012), vejo que me parece mais correta a segunda corrente doutrinária, que não prevê uma autorização ao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>, mas sim uma autorização a</w:t>
      </w:r>
      <w:r w:rsidR="001C1E58">
        <w:rPr>
          <w:rFonts w:ascii="Times New Roman" w:hAnsi="Times New Roman" w:cs="Times New Roman"/>
          <w:sz w:val="24"/>
          <w:szCs w:val="24"/>
        </w:rPr>
        <w:t xml:space="preserve"> denunciações sucessivas.</w:t>
      </w:r>
    </w:p>
    <w:p w:rsidR="001C1E58" w:rsidRDefault="001C1E58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idéia também é defendida por Fredie Didier (2012, p. 387), “Parece-nos a melhor solução, tendo em vista que a hipótese de denunciação </w:t>
      </w:r>
      <w:r>
        <w:rPr>
          <w:rFonts w:ascii="Times New Roman" w:hAnsi="Times New Roman" w:cs="Times New Roman"/>
          <w:i/>
          <w:sz w:val="24"/>
          <w:szCs w:val="24"/>
        </w:rPr>
        <w:t>per saltum</w:t>
      </w:r>
      <w:r>
        <w:rPr>
          <w:rFonts w:ascii="Times New Roman" w:hAnsi="Times New Roman" w:cs="Times New Roman"/>
          <w:sz w:val="24"/>
          <w:szCs w:val="24"/>
        </w:rPr>
        <w:t xml:space="preserve"> permite que o </w:t>
      </w:r>
      <w:r>
        <w:rPr>
          <w:rFonts w:ascii="Times New Roman" w:hAnsi="Times New Roman" w:cs="Times New Roman"/>
          <w:i/>
          <w:sz w:val="24"/>
          <w:szCs w:val="24"/>
        </w:rPr>
        <w:t>adquirente</w:t>
      </w:r>
      <w:r>
        <w:rPr>
          <w:rFonts w:ascii="Times New Roman" w:hAnsi="Times New Roman" w:cs="Times New Roman"/>
          <w:sz w:val="24"/>
          <w:szCs w:val="24"/>
        </w:rPr>
        <w:t xml:space="preserve"> demande contra quem não mantém qualquer relação jurídica, criando nesse caso de </w:t>
      </w:r>
      <w:r>
        <w:rPr>
          <w:rFonts w:ascii="Times New Roman" w:hAnsi="Times New Roman" w:cs="Times New Roman"/>
          <w:i/>
          <w:sz w:val="24"/>
          <w:szCs w:val="24"/>
        </w:rPr>
        <w:t>legitimação extraordinária</w:t>
      </w:r>
      <w:r>
        <w:rPr>
          <w:rFonts w:ascii="Times New Roman" w:hAnsi="Times New Roman" w:cs="Times New Roman"/>
          <w:sz w:val="24"/>
          <w:szCs w:val="24"/>
        </w:rPr>
        <w:t xml:space="preserve"> sem qualquer fundamento razoável”.</w:t>
      </w:r>
    </w:p>
    <w:p w:rsidR="001C1E58" w:rsidRDefault="001C1E58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realmente, essa parece ser a decisão mais acertada quanto ao conflito, pois permitir que o adquirente demande contra alguém que não mantém relações jurídicas é como brilhantemente elencado pelo doutrinador algo sem um fundamento razoável, podendo acarretar em sérios prejuízos para as relações processuais.</w:t>
      </w:r>
    </w:p>
    <w:p w:rsidR="001C1E58" w:rsidRDefault="001C1E58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1E58" w:rsidRDefault="005B20AF" w:rsidP="001C1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C1E58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C1E58" w:rsidRDefault="001C1E58" w:rsidP="001C1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E58" w:rsidRDefault="001C1E58" w:rsidP="001C1E58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o relatado sobre o trabalho, foi possível identificar sobre a ótica de vários doutrinadores os conhecimentos referentes à intervenção de terceiros, denunciação da lide, sobre o conflito </w:t>
      </w:r>
      <w:r>
        <w:rPr>
          <w:rFonts w:ascii="Times New Roman" w:hAnsi="Times New Roman" w:cs="Times New Roman"/>
          <w:i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saltum</w:t>
      </w:r>
      <w:r w:rsidR="005B20AF">
        <w:rPr>
          <w:rFonts w:ascii="Times New Roman" w:hAnsi="Times New Roman" w:cs="Times New Roman"/>
          <w:sz w:val="24"/>
          <w:szCs w:val="24"/>
        </w:rPr>
        <w:t>. E sobre as diversas formas de tentativa de solução desse conflito, sendo abordadas várias hipóteses.</w:t>
      </w:r>
    </w:p>
    <w:p w:rsidR="005B20AF" w:rsidRPr="005B20AF" w:rsidRDefault="005B20AF" w:rsidP="001C1E58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Observa-se, portanto, que uma mais coerente foi escolhida. Sendo a mesma abordada pelo grande doutrinador Fredie Didier (2012), cabendo assim pela escolha da interpretação de que o Código Civil dispôs sobre a denunciação coletiva, sendo ela uma forma de evitar as denunciações sucessivas desnecessárias, mas não havendo a existência do </w:t>
      </w:r>
      <w:r>
        <w:rPr>
          <w:rFonts w:ascii="Times New Roman" w:hAnsi="Times New Roman" w:cs="Times New Roman"/>
          <w:i/>
          <w:sz w:val="24"/>
          <w:szCs w:val="24"/>
        </w:rPr>
        <w:t>Per Saltum.</w:t>
      </w:r>
    </w:p>
    <w:p w:rsidR="001C1E58" w:rsidRDefault="001C1E58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1E58" w:rsidRDefault="001C1E58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B1C" w:rsidRPr="000E0B1C" w:rsidRDefault="000E0B1C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E9" w:rsidRPr="007D5DE9" w:rsidRDefault="007D5DE9" w:rsidP="007D5DE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3943" w:rsidRDefault="009E3943" w:rsidP="009E3943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E3943" w:rsidRPr="006960F1" w:rsidRDefault="009E3943" w:rsidP="009E39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5025" w:rsidRDefault="003C16D3" w:rsidP="00995025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DAE" w:rsidRDefault="002A2DAE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/>
    <w:p w:rsidR="005B20AF" w:rsidRDefault="005B20AF" w:rsidP="00A13C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A13CB7" w:rsidRDefault="00A13CB7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20E4"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ascii="Times New Roman" w:hAnsi="Times New Roman" w:cs="Times New Roman"/>
          <w:b/>
          <w:sz w:val="24"/>
          <w:szCs w:val="24"/>
        </w:rPr>
        <w:t xml:space="preserve"> Código C</w:t>
      </w:r>
      <w:r w:rsidRPr="000220E4">
        <w:rPr>
          <w:rFonts w:ascii="Times New Roman" w:hAnsi="Times New Roman" w:cs="Times New Roman"/>
          <w:b/>
          <w:sz w:val="24"/>
          <w:szCs w:val="24"/>
        </w:rPr>
        <w:t>ivil</w:t>
      </w:r>
      <w:r w:rsidRPr="000220E4">
        <w:rPr>
          <w:rFonts w:ascii="Times New Roman" w:hAnsi="Times New Roman" w:cs="Times New Roman"/>
          <w:sz w:val="24"/>
          <w:szCs w:val="24"/>
        </w:rPr>
        <w:t>. Brasília: Câmara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0E4">
        <w:rPr>
          <w:rFonts w:ascii="Times New Roman" w:hAnsi="Times New Roman" w:cs="Times New Roman"/>
          <w:sz w:val="24"/>
          <w:szCs w:val="24"/>
        </w:rPr>
        <w:t>Deputados, Coordenação de Publicações, 2002.</w:t>
      </w:r>
    </w:p>
    <w:p w:rsidR="00A13CB7" w:rsidRDefault="00A13CB7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Código de Processo Civil.</w:t>
      </w:r>
      <w:r>
        <w:rPr>
          <w:rFonts w:ascii="Times New Roman" w:hAnsi="Times New Roman" w:cs="Times New Roman"/>
          <w:sz w:val="24"/>
          <w:szCs w:val="24"/>
        </w:rPr>
        <w:t xml:space="preserve"> São Paulo: Saraiva, 2007.</w:t>
      </w:r>
    </w:p>
    <w:p w:rsidR="00A13CB7" w:rsidRDefault="00A13CB7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CB7">
        <w:rPr>
          <w:rFonts w:ascii="Times New Roman" w:hAnsi="Times New Roman" w:cs="Times New Roman"/>
          <w:sz w:val="24"/>
          <w:szCs w:val="24"/>
        </w:rPr>
        <w:t xml:space="preserve">BUENO, Cassio Scarpinella. </w:t>
      </w:r>
      <w:r w:rsidRPr="00A13CB7">
        <w:rPr>
          <w:rFonts w:ascii="Times New Roman" w:hAnsi="Times New Roman" w:cs="Times New Roman"/>
          <w:b/>
          <w:sz w:val="24"/>
          <w:szCs w:val="24"/>
        </w:rPr>
        <w:t>A Denunciação da Lide e o art. 456 do Novo Código Civil.</w:t>
      </w:r>
      <w:r w:rsidRPr="00A13CB7">
        <w:rPr>
          <w:rFonts w:ascii="Times New Roman" w:hAnsi="Times New Roman" w:cs="Times New Roman"/>
          <w:sz w:val="24"/>
          <w:szCs w:val="24"/>
        </w:rPr>
        <w:t xml:space="preserve"> Disponível em: &lt;http://www.scarpinellabueno.com.br/Textos/Denunciação%20da%20lide%20_Arruda%20Alvim_.pdf.&gt;. Acesso em: 29/04/2012.</w:t>
      </w:r>
    </w:p>
    <w:p w:rsidR="00A13CB7" w:rsidRDefault="00A13CB7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CB7">
        <w:rPr>
          <w:rFonts w:ascii="Times New Roman" w:hAnsi="Times New Roman" w:cs="Times New Roman"/>
          <w:sz w:val="24"/>
          <w:szCs w:val="24"/>
        </w:rPr>
        <w:t xml:space="preserve">CÂMARA, Alexandre Freitas. </w:t>
      </w:r>
      <w:r w:rsidRPr="00A13CB7">
        <w:rPr>
          <w:rFonts w:ascii="Times New Roman" w:hAnsi="Times New Roman" w:cs="Times New Roman"/>
          <w:b/>
          <w:sz w:val="24"/>
          <w:szCs w:val="24"/>
        </w:rPr>
        <w:t>Lições de Direito Processual Civil.</w:t>
      </w:r>
      <w:r w:rsidRPr="00A13CB7">
        <w:rPr>
          <w:rFonts w:ascii="Times New Roman" w:hAnsi="Times New Roman" w:cs="Times New Roman"/>
          <w:sz w:val="24"/>
          <w:szCs w:val="24"/>
        </w:rPr>
        <w:t xml:space="preserve"> Vol. 1. 16º ed. Rio de Janeiro: Lumen Juris, 2007.</w:t>
      </w:r>
    </w:p>
    <w:p w:rsidR="00A13CB7" w:rsidRDefault="00A13CB7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CB7">
        <w:rPr>
          <w:rFonts w:ascii="Times New Roman" w:hAnsi="Times New Roman" w:cs="Times New Roman"/>
          <w:sz w:val="24"/>
          <w:szCs w:val="24"/>
        </w:rPr>
        <w:t xml:space="preserve">DIDIER JÚNIOR, Fredie. </w:t>
      </w:r>
      <w:r w:rsidRPr="00A13CB7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 w:rsidRPr="00A13CB7">
        <w:rPr>
          <w:rFonts w:ascii="Times New Roman" w:hAnsi="Times New Roman" w:cs="Times New Roman"/>
          <w:sz w:val="24"/>
          <w:szCs w:val="24"/>
        </w:rPr>
        <w:t>. Vol. 1. 14° Ed. Salvador: JusPodivm, 2012.</w:t>
      </w:r>
    </w:p>
    <w:p w:rsidR="00A13CB7" w:rsidRDefault="005D6D6A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Ernane Fidélis dos. </w:t>
      </w:r>
      <w:r>
        <w:rPr>
          <w:rFonts w:ascii="Times New Roman" w:hAnsi="Times New Roman" w:cs="Times New Roman"/>
          <w:b/>
          <w:sz w:val="24"/>
          <w:szCs w:val="24"/>
        </w:rPr>
        <w:t>Manual de Direito Processual Civil.</w:t>
      </w:r>
      <w:r>
        <w:rPr>
          <w:rFonts w:ascii="Times New Roman" w:hAnsi="Times New Roman" w:cs="Times New Roman"/>
          <w:sz w:val="24"/>
          <w:szCs w:val="24"/>
        </w:rPr>
        <w:t xml:space="preserve"> Vol. 1. 13° ed. São Paulo: Saraiva, 2009.</w:t>
      </w:r>
    </w:p>
    <w:p w:rsidR="005D6D6A" w:rsidRDefault="005D6D6A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D6A">
        <w:rPr>
          <w:rFonts w:ascii="Times New Roman" w:hAnsi="Times New Roman" w:cs="Times New Roman"/>
          <w:sz w:val="24"/>
          <w:szCs w:val="24"/>
        </w:rPr>
        <w:t xml:space="preserve">THEODORO JÚNIOR, Humberto. </w:t>
      </w:r>
      <w:r w:rsidRPr="005D6D6A">
        <w:rPr>
          <w:rFonts w:ascii="Times New Roman" w:hAnsi="Times New Roman" w:cs="Times New Roman"/>
          <w:b/>
          <w:sz w:val="24"/>
          <w:szCs w:val="24"/>
        </w:rPr>
        <w:t>Curso de Direito Processual Civil.</w:t>
      </w:r>
      <w:r w:rsidRPr="005D6D6A">
        <w:rPr>
          <w:rFonts w:ascii="Times New Roman" w:hAnsi="Times New Roman" w:cs="Times New Roman"/>
          <w:sz w:val="24"/>
          <w:szCs w:val="24"/>
        </w:rPr>
        <w:t xml:space="preserve"> Vol. 1. 46° ed. Rio de Janeiro: Forense,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D6A" w:rsidRPr="005D6D6A" w:rsidRDefault="005D6D6A" w:rsidP="005D6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D6A">
        <w:rPr>
          <w:rFonts w:ascii="Times New Roman" w:hAnsi="Times New Roman" w:cs="Times New Roman"/>
          <w:sz w:val="24"/>
          <w:szCs w:val="24"/>
        </w:rPr>
        <w:t xml:space="preserve">WAMBIER, Luiz Rodrigues; ALMEIDA, Flávio Renato Correia de; TALAMINI, Eduardo. </w:t>
      </w:r>
      <w:r w:rsidRPr="005D6D6A">
        <w:rPr>
          <w:rFonts w:ascii="Times New Roman" w:hAnsi="Times New Roman" w:cs="Times New Roman"/>
          <w:b/>
          <w:sz w:val="24"/>
          <w:szCs w:val="24"/>
        </w:rPr>
        <w:t>Curso Avançado de Processo Civil</w:t>
      </w:r>
      <w:r w:rsidRPr="005D6D6A">
        <w:rPr>
          <w:rFonts w:ascii="Times New Roman" w:hAnsi="Times New Roman" w:cs="Times New Roman"/>
          <w:sz w:val="24"/>
          <w:szCs w:val="24"/>
        </w:rPr>
        <w:t>. Vol. 1, 8° ed. São Paulo: Revista dos Tribunais, 2006.</w:t>
      </w:r>
    </w:p>
    <w:p w:rsidR="005D6D6A" w:rsidRPr="005D6D6A" w:rsidRDefault="005D6D6A" w:rsidP="00A13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CB7" w:rsidRPr="00A13CB7" w:rsidRDefault="00A13CB7" w:rsidP="00A13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CB7" w:rsidRDefault="00A13CB7" w:rsidP="00A13CB7">
      <w:pPr>
        <w:rPr>
          <w:rFonts w:ascii="Times New Roman" w:hAnsi="Times New Roman" w:cs="Times New Roman"/>
          <w:sz w:val="24"/>
          <w:szCs w:val="24"/>
        </w:rPr>
      </w:pPr>
    </w:p>
    <w:p w:rsidR="005B20AF" w:rsidRDefault="005B20AF" w:rsidP="005B2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0AF" w:rsidRPr="005B20AF" w:rsidRDefault="005B20AF" w:rsidP="005B2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20AF" w:rsidRPr="005B20AF" w:rsidSect="0099502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7A" w:rsidRDefault="00B77F7A" w:rsidP="00F02969">
      <w:pPr>
        <w:spacing w:after="0" w:line="240" w:lineRule="auto"/>
      </w:pPr>
      <w:r>
        <w:separator/>
      </w:r>
    </w:p>
  </w:endnote>
  <w:endnote w:type="continuationSeparator" w:id="1">
    <w:p w:rsidR="00B77F7A" w:rsidRDefault="00B77F7A" w:rsidP="00F0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7A" w:rsidRDefault="00B77F7A" w:rsidP="00F02969">
      <w:pPr>
        <w:spacing w:after="0" w:line="240" w:lineRule="auto"/>
      </w:pPr>
      <w:r>
        <w:separator/>
      </w:r>
    </w:p>
  </w:footnote>
  <w:footnote w:type="continuationSeparator" w:id="1">
    <w:p w:rsidR="00B77F7A" w:rsidRDefault="00B77F7A" w:rsidP="00F02969">
      <w:pPr>
        <w:spacing w:after="0" w:line="240" w:lineRule="auto"/>
      </w:pPr>
      <w:r>
        <w:continuationSeparator/>
      </w:r>
    </w:p>
  </w:footnote>
  <w:footnote w:id="2">
    <w:p w:rsidR="00CE2FAA" w:rsidRPr="00CE2FAA" w:rsidRDefault="00CE2F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Paper apresentado à disciplina Processo de Conhecimento, da Unidade de Ensino Superior Dom Bosco – UNDB.</w:t>
      </w:r>
    </w:p>
  </w:footnote>
  <w:footnote w:id="3">
    <w:p w:rsidR="00992A86" w:rsidRPr="00992A86" w:rsidRDefault="00992A8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Aluno</w:t>
      </w:r>
      <w:r w:rsidR="000E7B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do 4° período do Curso de Direito, da UNDB.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63C"/>
    <w:multiLevelType w:val="hybridMultilevel"/>
    <w:tmpl w:val="099E6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5EBD"/>
    <w:multiLevelType w:val="hybridMultilevel"/>
    <w:tmpl w:val="8A345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025"/>
    <w:rsid w:val="0002575C"/>
    <w:rsid w:val="000E0B1C"/>
    <w:rsid w:val="000E7B33"/>
    <w:rsid w:val="00171621"/>
    <w:rsid w:val="00181EC8"/>
    <w:rsid w:val="001C1E58"/>
    <w:rsid w:val="001E2FDA"/>
    <w:rsid w:val="0022095C"/>
    <w:rsid w:val="002A2DAE"/>
    <w:rsid w:val="00390997"/>
    <w:rsid w:val="003C16D3"/>
    <w:rsid w:val="004B0A4F"/>
    <w:rsid w:val="005B20AF"/>
    <w:rsid w:val="005C7B17"/>
    <w:rsid w:val="005D6D6A"/>
    <w:rsid w:val="005D7D1E"/>
    <w:rsid w:val="005F7E14"/>
    <w:rsid w:val="006960F1"/>
    <w:rsid w:val="007A655D"/>
    <w:rsid w:val="007B27FE"/>
    <w:rsid w:val="007D5DE9"/>
    <w:rsid w:val="00842AB3"/>
    <w:rsid w:val="008A04F8"/>
    <w:rsid w:val="008F028F"/>
    <w:rsid w:val="00950491"/>
    <w:rsid w:val="00992A86"/>
    <w:rsid w:val="00995025"/>
    <w:rsid w:val="009E3943"/>
    <w:rsid w:val="00A13CB7"/>
    <w:rsid w:val="00AE3911"/>
    <w:rsid w:val="00B77F7A"/>
    <w:rsid w:val="00BB689A"/>
    <w:rsid w:val="00BD78EE"/>
    <w:rsid w:val="00BF0B78"/>
    <w:rsid w:val="00CB632D"/>
    <w:rsid w:val="00CE2FAA"/>
    <w:rsid w:val="00D818D0"/>
    <w:rsid w:val="00DB4E83"/>
    <w:rsid w:val="00E2236D"/>
    <w:rsid w:val="00E56415"/>
    <w:rsid w:val="00E86B28"/>
    <w:rsid w:val="00EA7400"/>
    <w:rsid w:val="00F02969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96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0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296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6960F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2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2FA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E2FA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F2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RFahad</dc:creator>
  <cp:lastModifiedBy>WILMA</cp:lastModifiedBy>
  <cp:revision>2</cp:revision>
  <dcterms:created xsi:type="dcterms:W3CDTF">2016-06-28T02:36:00Z</dcterms:created>
  <dcterms:modified xsi:type="dcterms:W3CDTF">2016-06-28T02:36:00Z</dcterms:modified>
</cp:coreProperties>
</file>