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9A" w:rsidRPr="00C353DF" w:rsidRDefault="00F442DF" w:rsidP="00C353DF">
      <w:pPr>
        <w:spacing w:after="0" w:line="360" w:lineRule="auto"/>
        <w:jc w:val="both"/>
        <w:rPr>
          <w:rFonts w:ascii="Arial" w:hAnsi="Arial" w:cs="Arial"/>
          <w:sz w:val="24"/>
          <w:szCs w:val="24"/>
        </w:rPr>
      </w:pPr>
      <w:r w:rsidRPr="00C353DF">
        <w:rPr>
          <w:rFonts w:ascii="Arial" w:hAnsi="Arial" w:cs="Arial"/>
          <w:sz w:val="24"/>
          <w:szCs w:val="24"/>
        </w:rPr>
        <w:t>Ativo circulante – operações de crédito</w:t>
      </w:r>
    </w:p>
    <w:p w:rsidR="00F442DF" w:rsidRPr="00C353DF" w:rsidRDefault="00F442DF" w:rsidP="00A22619">
      <w:pPr>
        <w:spacing w:after="0" w:line="360" w:lineRule="auto"/>
        <w:ind w:firstLine="708"/>
        <w:jc w:val="both"/>
        <w:rPr>
          <w:rFonts w:ascii="Arial" w:hAnsi="Arial" w:cs="Arial"/>
          <w:sz w:val="24"/>
          <w:szCs w:val="24"/>
        </w:rPr>
      </w:pPr>
      <w:r w:rsidRPr="00C353DF">
        <w:rPr>
          <w:rFonts w:ascii="Arial" w:hAnsi="Arial" w:cs="Arial"/>
          <w:sz w:val="24"/>
          <w:szCs w:val="24"/>
        </w:rPr>
        <w:t>C</w:t>
      </w:r>
      <w:r w:rsidR="00A22619">
        <w:rPr>
          <w:rFonts w:ascii="Arial" w:hAnsi="Arial" w:cs="Arial"/>
          <w:sz w:val="24"/>
          <w:szCs w:val="24"/>
        </w:rPr>
        <w:t xml:space="preserve">omo conceito geral, temos que </w:t>
      </w:r>
      <w:r w:rsidRPr="00C353DF">
        <w:rPr>
          <w:rFonts w:ascii="Arial" w:hAnsi="Arial" w:cs="Arial"/>
          <w:sz w:val="24"/>
          <w:szCs w:val="24"/>
        </w:rPr>
        <w:t>neste tipo de conta deve-se levar em consideração qual a aplicação dada aos recursos, por qual tipo seja o mesmo como também a modalidade de operação. Deve ser destacado também qual é a atividade predominante do tomador de crédito.</w:t>
      </w:r>
    </w:p>
    <w:p w:rsidR="00F442DF" w:rsidRPr="00C353DF" w:rsidRDefault="00F442DF" w:rsidP="00A22619">
      <w:pPr>
        <w:spacing w:after="0" w:line="360" w:lineRule="auto"/>
        <w:ind w:firstLine="708"/>
        <w:jc w:val="both"/>
        <w:rPr>
          <w:rFonts w:ascii="Arial" w:hAnsi="Arial" w:cs="Arial"/>
          <w:sz w:val="24"/>
          <w:szCs w:val="24"/>
        </w:rPr>
      </w:pPr>
      <w:r w:rsidRPr="00C353DF">
        <w:rPr>
          <w:rFonts w:ascii="Arial" w:hAnsi="Arial" w:cs="Arial"/>
          <w:sz w:val="24"/>
          <w:szCs w:val="24"/>
        </w:rPr>
        <w:t>As operações de crédito são de forma geral, todo compromisso financeiro na distribuição de crédito e para as instituições financeiras, são compostos pelos empréstimos sem destinação específica ou vínculo à comprovação da aplicação dos recursos, de títulos descontados onde são operações de desconto de títulos e por financiamentos</w:t>
      </w:r>
      <w:r w:rsidR="00E35BCE" w:rsidRPr="00C353DF">
        <w:rPr>
          <w:rFonts w:ascii="Arial" w:hAnsi="Arial" w:cs="Arial"/>
          <w:sz w:val="24"/>
          <w:szCs w:val="24"/>
        </w:rPr>
        <w:t>.</w:t>
      </w:r>
    </w:p>
    <w:p w:rsidR="00E35BCE" w:rsidRPr="00C353DF" w:rsidRDefault="00E35BCE" w:rsidP="00A22619">
      <w:pPr>
        <w:spacing w:after="0" w:line="360" w:lineRule="auto"/>
        <w:ind w:firstLine="708"/>
        <w:jc w:val="both"/>
        <w:rPr>
          <w:rFonts w:ascii="Arial" w:hAnsi="Arial" w:cs="Arial"/>
          <w:sz w:val="24"/>
          <w:szCs w:val="24"/>
        </w:rPr>
      </w:pPr>
      <w:r w:rsidRPr="00C353DF">
        <w:rPr>
          <w:rFonts w:ascii="Arial" w:hAnsi="Arial" w:cs="Arial"/>
          <w:sz w:val="24"/>
          <w:szCs w:val="24"/>
        </w:rPr>
        <w:t>Quanto ao recebimento, os valores serão registrados pelos valores correspondentes ao da parcela a ser amortizada e conforme o COSIF</w:t>
      </w:r>
      <w:proofErr w:type="gramStart"/>
      <w:r w:rsidRPr="00C353DF">
        <w:rPr>
          <w:rFonts w:ascii="Arial" w:hAnsi="Arial" w:cs="Arial"/>
          <w:sz w:val="24"/>
          <w:szCs w:val="24"/>
        </w:rPr>
        <w:t>, será</w:t>
      </w:r>
      <w:proofErr w:type="gramEnd"/>
      <w:r w:rsidRPr="00C353DF">
        <w:rPr>
          <w:rFonts w:ascii="Arial" w:hAnsi="Arial" w:cs="Arial"/>
          <w:sz w:val="24"/>
          <w:szCs w:val="24"/>
        </w:rPr>
        <w:t xml:space="preserve"> da seguinte maneira:</w:t>
      </w:r>
    </w:p>
    <w:p w:rsidR="00E35BCE" w:rsidRPr="00C353DF" w:rsidRDefault="00E35BCE" w:rsidP="00C353DF">
      <w:pPr>
        <w:spacing w:after="0" w:line="360" w:lineRule="auto"/>
        <w:jc w:val="both"/>
        <w:rPr>
          <w:rFonts w:ascii="Arial" w:hAnsi="Arial" w:cs="Arial"/>
          <w:sz w:val="24"/>
          <w:szCs w:val="24"/>
        </w:rPr>
      </w:pPr>
      <w:r w:rsidRPr="00C353DF">
        <w:rPr>
          <w:rFonts w:ascii="Arial" w:hAnsi="Arial" w:cs="Arial"/>
          <w:sz w:val="24"/>
          <w:szCs w:val="24"/>
        </w:rPr>
        <w:t>D – depositários de valores em custódia;</w:t>
      </w:r>
    </w:p>
    <w:p w:rsidR="00E35BCE" w:rsidRPr="00C353DF" w:rsidRDefault="00E35BCE" w:rsidP="00C353DF">
      <w:pPr>
        <w:spacing w:after="0" w:line="360" w:lineRule="auto"/>
        <w:jc w:val="both"/>
        <w:rPr>
          <w:rFonts w:ascii="Arial" w:hAnsi="Arial" w:cs="Arial"/>
          <w:sz w:val="24"/>
          <w:szCs w:val="24"/>
        </w:rPr>
      </w:pPr>
      <w:r w:rsidRPr="00C353DF">
        <w:rPr>
          <w:rFonts w:ascii="Arial" w:hAnsi="Arial" w:cs="Arial"/>
          <w:sz w:val="24"/>
          <w:szCs w:val="24"/>
        </w:rPr>
        <w:t>C – depositantes de valores em custódia.</w:t>
      </w:r>
    </w:p>
    <w:p w:rsidR="00A22619" w:rsidRDefault="00A22619" w:rsidP="00A22619">
      <w:pPr>
        <w:spacing w:after="0" w:line="360" w:lineRule="auto"/>
        <w:jc w:val="both"/>
        <w:rPr>
          <w:rFonts w:ascii="Arial" w:hAnsi="Arial" w:cs="Arial"/>
          <w:sz w:val="24"/>
          <w:szCs w:val="24"/>
        </w:rPr>
      </w:pPr>
    </w:p>
    <w:tbl>
      <w:tblPr>
        <w:tblW w:w="7352" w:type="dxa"/>
        <w:tblInd w:w="55" w:type="dxa"/>
        <w:tblCellMar>
          <w:left w:w="70" w:type="dxa"/>
          <w:right w:w="70" w:type="dxa"/>
        </w:tblCellMar>
        <w:tblLook w:val="04A0"/>
      </w:tblPr>
      <w:tblGrid>
        <w:gridCol w:w="1787"/>
        <w:gridCol w:w="2351"/>
        <w:gridCol w:w="1113"/>
        <w:gridCol w:w="1113"/>
        <w:gridCol w:w="988"/>
      </w:tblGrid>
      <w:tr w:rsidR="00B23AB1" w:rsidRPr="00B23AB1" w:rsidTr="00CC3D5F">
        <w:trPr>
          <w:trHeight w:val="315"/>
        </w:trPr>
        <w:tc>
          <w:tcPr>
            <w:tcW w:w="1787" w:type="dxa"/>
            <w:tcBorders>
              <w:top w:val="single" w:sz="4" w:space="0" w:color="auto"/>
              <w:left w:val="single" w:sz="4" w:space="0" w:color="auto"/>
              <w:bottom w:val="single" w:sz="4" w:space="0" w:color="auto"/>
              <w:right w:val="single" w:sz="4" w:space="0" w:color="FFFFFF"/>
            </w:tcBorders>
            <w:shd w:val="clear" w:color="000000" w:fill="000000"/>
            <w:noWrap/>
            <w:vAlign w:val="center"/>
            <w:hideMark/>
          </w:tcPr>
          <w:p w:rsidR="00B23AB1" w:rsidRPr="00B23AB1" w:rsidRDefault="00B23AB1" w:rsidP="00B23AB1">
            <w:pPr>
              <w:spacing w:after="0" w:line="240" w:lineRule="auto"/>
              <w:jc w:val="center"/>
              <w:rPr>
                <w:rFonts w:ascii="Calibri" w:eastAsia="Times New Roman" w:hAnsi="Calibri" w:cs="Times New Roman"/>
                <w:color w:val="FFFFFF"/>
                <w:sz w:val="24"/>
                <w:szCs w:val="24"/>
                <w:lang w:eastAsia="pt-BR"/>
              </w:rPr>
            </w:pPr>
            <w:r w:rsidRPr="00B23AB1">
              <w:rPr>
                <w:rFonts w:ascii="Calibri" w:eastAsia="Times New Roman" w:hAnsi="Calibri" w:cs="Times New Roman"/>
                <w:color w:val="FFFFFF"/>
                <w:sz w:val="24"/>
                <w:szCs w:val="24"/>
                <w:lang w:eastAsia="pt-BR"/>
              </w:rPr>
              <w:t>Grupo</w:t>
            </w:r>
          </w:p>
        </w:tc>
        <w:tc>
          <w:tcPr>
            <w:tcW w:w="2351" w:type="dxa"/>
            <w:tcBorders>
              <w:top w:val="single" w:sz="4" w:space="0" w:color="auto"/>
              <w:left w:val="nil"/>
              <w:bottom w:val="single" w:sz="4" w:space="0" w:color="auto"/>
              <w:right w:val="single" w:sz="4" w:space="0" w:color="FFFFFF"/>
            </w:tcBorders>
            <w:shd w:val="clear" w:color="000000" w:fill="000000"/>
            <w:noWrap/>
            <w:vAlign w:val="center"/>
            <w:hideMark/>
          </w:tcPr>
          <w:p w:rsidR="00B23AB1" w:rsidRPr="00B23AB1" w:rsidRDefault="00B23AB1" w:rsidP="00B23AB1">
            <w:pPr>
              <w:spacing w:after="0" w:line="240" w:lineRule="auto"/>
              <w:jc w:val="center"/>
              <w:rPr>
                <w:rFonts w:ascii="Calibri" w:eastAsia="Times New Roman" w:hAnsi="Calibri" w:cs="Times New Roman"/>
                <w:color w:val="FFFFFF"/>
                <w:sz w:val="24"/>
                <w:szCs w:val="24"/>
                <w:lang w:eastAsia="pt-BR"/>
              </w:rPr>
            </w:pPr>
            <w:r w:rsidRPr="00B23AB1">
              <w:rPr>
                <w:rFonts w:ascii="Calibri" w:eastAsia="Times New Roman" w:hAnsi="Calibri" w:cs="Times New Roman"/>
                <w:color w:val="FFFFFF"/>
                <w:sz w:val="24"/>
                <w:szCs w:val="24"/>
                <w:lang w:eastAsia="pt-BR"/>
              </w:rPr>
              <w:t>Nome da Conta</w:t>
            </w:r>
          </w:p>
        </w:tc>
        <w:tc>
          <w:tcPr>
            <w:tcW w:w="1113" w:type="dxa"/>
            <w:tcBorders>
              <w:top w:val="single" w:sz="4" w:space="0" w:color="auto"/>
              <w:left w:val="nil"/>
              <w:bottom w:val="single" w:sz="4" w:space="0" w:color="auto"/>
              <w:right w:val="single" w:sz="4" w:space="0" w:color="FFFFFF"/>
            </w:tcBorders>
            <w:shd w:val="clear" w:color="000000" w:fill="000000"/>
            <w:noWrap/>
            <w:vAlign w:val="center"/>
            <w:hideMark/>
          </w:tcPr>
          <w:p w:rsidR="00B23AB1" w:rsidRPr="00B23AB1" w:rsidRDefault="00B23AB1" w:rsidP="00B23AB1">
            <w:pPr>
              <w:spacing w:after="0" w:line="240" w:lineRule="auto"/>
              <w:jc w:val="center"/>
              <w:rPr>
                <w:rFonts w:ascii="Calibri" w:eastAsia="Times New Roman" w:hAnsi="Calibri" w:cs="Times New Roman"/>
                <w:color w:val="FFFFFF"/>
                <w:sz w:val="24"/>
                <w:szCs w:val="24"/>
                <w:lang w:eastAsia="pt-BR"/>
              </w:rPr>
            </w:pPr>
            <w:r w:rsidRPr="00B23AB1">
              <w:rPr>
                <w:rFonts w:ascii="Calibri" w:eastAsia="Times New Roman" w:hAnsi="Calibri" w:cs="Times New Roman"/>
                <w:color w:val="FFFFFF"/>
                <w:sz w:val="24"/>
                <w:szCs w:val="24"/>
                <w:lang w:eastAsia="pt-BR"/>
              </w:rPr>
              <w:t>2014</w:t>
            </w:r>
          </w:p>
        </w:tc>
        <w:tc>
          <w:tcPr>
            <w:tcW w:w="1113" w:type="dxa"/>
            <w:tcBorders>
              <w:top w:val="single" w:sz="4" w:space="0" w:color="auto"/>
              <w:left w:val="nil"/>
              <w:bottom w:val="single" w:sz="4" w:space="0" w:color="auto"/>
              <w:right w:val="single" w:sz="4" w:space="0" w:color="FFFFFF"/>
            </w:tcBorders>
            <w:shd w:val="clear" w:color="000000" w:fill="000000"/>
            <w:noWrap/>
            <w:vAlign w:val="center"/>
            <w:hideMark/>
          </w:tcPr>
          <w:p w:rsidR="00B23AB1" w:rsidRPr="00B23AB1" w:rsidRDefault="00B23AB1" w:rsidP="00B23AB1">
            <w:pPr>
              <w:spacing w:after="0" w:line="240" w:lineRule="auto"/>
              <w:jc w:val="center"/>
              <w:rPr>
                <w:rFonts w:ascii="Calibri" w:eastAsia="Times New Roman" w:hAnsi="Calibri" w:cs="Times New Roman"/>
                <w:color w:val="FFFFFF"/>
                <w:sz w:val="24"/>
                <w:szCs w:val="24"/>
                <w:lang w:eastAsia="pt-BR"/>
              </w:rPr>
            </w:pPr>
            <w:r w:rsidRPr="00B23AB1">
              <w:rPr>
                <w:rFonts w:ascii="Calibri" w:eastAsia="Times New Roman" w:hAnsi="Calibri" w:cs="Times New Roman"/>
                <w:color w:val="FFFFFF"/>
                <w:sz w:val="24"/>
                <w:szCs w:val="24"/>
                <w:lang w:eastAsia="pt-BR"/>
              </w:rPr>
              <w:t>2013</w:t>
            </w:r>
          </w:p>
        </w:tc>
        <w:tc>
          <w:tcPr>
            <w:tcW w:w="988" w:type="dxa"/>
            <w:tcBorders>
              <w:top w:val="single" w:sz="4" w:space="0" w:color="auto"/>
              <w:left w:val="nil"/>
              <w:bottom w:val="single" w:sz="4" w:space="0" w:color="auto"/>
              <w:right w:val="single" w:sz="4" w:space="0" w:color="auto"/>
            </w:tcBorders>
            <w:shd w:val="clear" w:color="000000" w:fill="000000"/>
            <w:noWrap/>
            <w:vAlign w:val="center"/>
            <w:hideMark/>
          </w:tcPr>
          <w:p w:rsidR="00B23AB1" w:rsidRPr="00B23AB1" w:rsidRDefault="00B23AB1" w:rsidP="00B23AB1">
            <w:pPr>
              <w:spacing w:after="0" w:line="240" w:lineRule="auto"/>
              <w:jc w:val="center"/>
              <w:rPr>
                <w:rFonts w:ascii="Calibri" w:eastAsia="Times New Roman" w:hAnsi="Calibri" w:cs="Times New Roman"/>
                <w:color w:val="FFFFFF"/>
                <w:sz w:val="24"/>
                <w:szCs w:val="24"/>
                <w:lang w:eastAsia="pt-BR"/>
              </w:rPr>
            </w:pPr>
            <w:r w:rsidRPr="00B23AB1">
              <w:rPr>
                <w:rFonts w:ascii="Calibri" w:eastAsia="Times New Roman" w:hAnsi="Calibri" w:cs="Times New Roman"/>
                <w:color w:val="FFFFFF"/>
                <w:sz w:val="24"/>
                <w:szCs w:val="24"/>
                <w:lang w:eastAsia="pt-BR"/>
              </w:rPr>
              <w:t>Variação</w:t>
            </w:r>
          </w:p>
        </w:tc>
      </w:tr>
      <w:tr w:rsidR="00B23AB1" w:rsidRPr="00B23AB1" w:rsidTr="00CC3D5F">
        <w:trPr>
          <w:trHeight w:val="315"/>
        </w:trPr>
        <w:tc>
          <w:tcPr>
            <w:tcW w:w="1787" w:type="dxa"/>
            <w:tcBorders>
              <w:top w:val="nil"/>
              <w:left w:val="single" w:sz="4" w:space="0" w:color="auto"/>
              <w:bottom w:val="single" w:sz="4" w:space="0" w:color="auto"/>
              <w:right w:val="single" w:sz="4" w:space="0" w:color="auto"/>
            </w:tcBorders>
            <w:shd w:val="clear" w:color="auto" w:fill="auto"/>
            <w:noWrap/>
            <w:vAlign w:val="center"/>
            <w:hideMark/>
          </w:tcPr>
          <w:p w:rsidR="00B23AB1" w:rsidRPr="00B23AB1" w:rsidRDefault="00B23AB1" w:rsidP="00B23AB1">
            <w:pPr>
              <w:spacing w:after="0" w:line="240" w:lineRule="auto"/>
              <w:jc w:val="center"/>
              <w:rPr>
                <w:rFonts w:ascii="Calibri" w:eastAsia="Times New Roman" w:hAnsi="Calibri" w:cs="Times New Roman"/>
                <w:color w:val="000000"/>
                <w:sz w:val="24"/>
                <w:szCs w:val="24"/>
                <w:lang w:eastAsia="pt-BR"/>
              </w:rPr>
            </w:pPr>
            <w:r>
              <w:rPr>
                <w:rFonts w:ascii="Calibri" w:eastAsia="Times New Roman" w:hAnsi="Calibri" w:cs="Times New Roman"/>
                <w:color w:val="000000"/>
                <w:sz w:val="24"/>
                <w:szCs w:val="24"/>
                <w:lang w:eastAsia="pt-BR"/>
              </w:rPr>
              <w:t>A</w:t>
            </w:r>
            <w:r w:rsidRPr="00B23AB1">
              <w:rPr>
                <w:rFonts w:ascii="Calibri" w:eastAsia="Times New Roman" w:hAnsi="Calibri" w:cs="Times New Roman"/>
                <w:color w:val="000000"/>
                <w:sz w:val="24"/>
                <w:szCs w:val="24"/>
                <w:lang w:eastAsia="pt-BR"/>
              </w:rPr>
              <w:t>tivo circulante</w:t>
            </w:r>
          </w:p>
        </w:tc>
        <w:tc>
          <w:tcPr>
            <w:tcW w:w="2351" w:type="dxa"/>
            <w:tcBorders>
              <w:top w:val="nil"/>
              <w:left w:val="nil"/>
              <w:bottom w:val="single" w:sz="4" w:space="0" w:color="auto"/>
              <w:right w:val="single" w:sz="4" w:space="0" w:color="auto"/>
            </w:tcBorders>
            <w:shd w:val="clear" w:color="auto" w:fill="auto"/>
            <w:noWrap/>
            <w:vAlign w:val="center"/>
            <w:hideMark/>
          </w:tcPr>
          <w:p w:rsidR="00B23AB1" w:rsidRPr="00B23AB1" w:rsidRDefault="00B23AB1" w:rsidP="00B23AB1">
            <w:pPr>
              <w:spacing w:after="0" w:line="240" w:lineRule="auto"/>
              <w:jc w:val="center"/>
              <w:rPr>
                <w:rFonts w:ascii="Calibri" w:eastAsia="Times New Roman" w:hAnsi="Calibri" w:cs="Times New Roman"/>
                <w:color w:val="000000"/>
                <w:sz w:val="24"/>
                <w:szCs w:val="24"/>
                <w:lang w:eastAsia="pt-BR"/>
              </w:rPr>
            </w:pPr>
            <w:r>
              <w:rPr>
                <w:rFonts w:ascii="Calibri" w:eastAsia="Times New Roman" w:hAnsi="Calibri" w:cs="Times New Roman"/>
                <w:color w:val="000000"/>
                <w:sz w:val="24"/>
                <w:szCs w:val="24"/>
                <w:lang w:eastAsia="pt-BR"/>
              </w:rPr>
              <w:t>O</w:t>
            </w:r>
            <w:r w:rsidRPr="00B23AB1">
              <w:rPr>
                <w:rFonts w:ascii="Calibri" w:eastAsia="Times New Roman" w:hAnsi="Calibri" w:cs="Times New Roman"/>
                <w:color w:val="000000"/>
                <w:sz w:val="24"/>
                <w:szCs w:val="24"/>
                <w:lang w:eastAsia="pt-BR"/>
              </w:rPr>
              <w:t>perações de crédito</w:t>
            </w:r>
          </w:p>
        </w:tc>
        <w:tc>
          <w:tcPr>
            <w:tcW w:w="1113" w:type="dxa"/>
            <w:tcBorders>
              <w:top w:val="nil"/>
              <w:left w:val="nil"/>
              <w:bottom w:val="single" w:sz="4" w:space="0" w:color="auto"/>
              <w:right w:val="single" w:sz="4" w:space="0" w:color="auto"/>
            </w:tcBorders>
            <w:shd w:val="clear" w:color="auto" w:fill="auto"/>
            <w:noWrap/>
            <w:vAlign w:val="center"/>
            <w:hideMark/>
          </w:tcPr>
          <w:p w:rsidR="00B23AB1" w:rsidRPr="00B23AB1" w:rsidRDefault="00B23AB1" w:rsidP="00B23AB1">
            <w:pPr>
              <w:spacing w:after="0" w:line="240" w:lineRule="auto"/>
              <w:jc w:val="center"/>
              <w:rPr>
                <w:rFonts w:ascii="Calibri" w:eastAsia="Times New Roman" w:hAnsi="Calibri" w:cs="Times New Roman"/>
                <w:color w:val="000000"/>
                <w:sz w:val="24"/>
                <w:szCs w:val="24"/>
                <w:lang w:eastAsia="pt-BR"/>
              </w:rPr>
            </w:pPr>
            <w:r w:rsidRPr="00B23AB1">
              <w:rPr>
                <w:rFonts w:ascii="Calibri" w:eastAsia="Times New Roman" w:hAnsi="Calibri" w:cs="Times New Roman"/>
                <w:color w:val="000000"/>
                <w:sz w:val="24"/>
                <w:szCs w:val="24"/>
                <w:lang w:eastAsia="pt-BR"/>
              </w:rPr>
              <w:t>4.286.517</w:t>
            </w:r>
          </w:p>
        </w:tc>
        <w:tc>
          <w:tcPr>
            <w:tcW w:w="1113" w:type="dxa"/>
            <w:tcBorders>
              <w:top w:val="nil"/>
              <w:left w:val="nil"/>
              <w:bottom w:val="single" w:sz="4" w:space="0" w:color="auto"/>
              <w:right w:val="single" w:sz="4" w:space="0" w:color="auto"/>
            </w:tcBorders>
            <w:shd w:val="clear" w:color="auto" w:fill="auto"/>
            <w:noWrap/>
            <w:vAlign w:val="center"/>
            <w:hideMark/>
          </w:tcPr>
          <w:p w:rsidR="00B23AB1" w:rsidRPr="00B23AB1" w:rsidRDefault="00B23AB1" w:rsidP="00B23AB1">
            <w:pPr>
              <w:spacing w:after="0" w:line="240" w:lineRule="auto"/>
              <w:jc w:val="center"/>
              <w:rPr>
                <w:rFonts w:ascii="Calibri" w:eastAsia="Times New Roman" w:hAnsi="Calibri" w:cs="Times New Roman"/>
                <w:color w:val="000000"/>
                <w:sz w:val="24"/>
                <w:szCs w:val="24"/>
                <w:lang w:eastAsia="pt-BR"/>
              </w:rPr>
            </w:pPr>
            <w:r w:rsidRPr="00B23AB1">
              <w:rPr>
                <w:rFonts w:ascii="Calibri" w:eastAsia="Times New Roman" w:hAnsi="Calibri" w:cs="Times New Roman"/>
                <w:color w:val="000000"/>
                <w:sz w:val="24"/>
                <w:szCs w:val="24"/>
                <w:lang w:eastAsia="pt-BR"/>
              </w:rPr>
              <w:t>4.512.279</w:t>
            </w:r>
          </w:p>
        </w:tc>
        <w:tc>
          <w:tcPr>
            <w:tcW w:w="988" w:type="dxa"/>
            <w:tcBorders>
              <w:top w:val="nil"/>
              <w:left w:val="nil"/>
              <w:bottom w:val="single" w:sz="4" w:space="0" w:color="auto"/>
              <w:right w:val="single" w:sz="4" w:space="0" w:color="auto"/>
            </w:tcBorders>
            <w:shd w:val="clear" w:color="auto" w:fill="auto"/>
            <w:noWrap/>
            <w:vAlign w:val="center"/>
            <w:hideMark/>
          </w:tcPr>
          <w:p w:rsidR="00B23AB1" w:rsidRPr="00B23AB1" w:rsidRDefault="00B23AB1" w:rsidP="00B23AB1">
            <w:pPr>
              <w:spacing w:after="0" w:line="240" w:lineRule="auto"/>
              <w:jc w:val="center"/>
              <w:rPr>
                <w:rFonts w:ascii="Calibri" w:eastAsia="Times New Roman" w:hAnsi="Calibri" w:cs="Times New Roman"/>
                <w:color w:val="000000"/>
                <w:sz w:val="24"/>
                <w:szCs w:val="24"/>
                <w:lang w:eastAsia="pt-BR"/>
              </w:rPr>
            </w:pPr>
            <w:r w:rsidRPr="00B23AB1">
              <w:rPr>
                <w:rFonts w:ascii="Calibri" w:eastAsia="Times New Roman" w:hAnsi="Calibri" w:cs="Times New Roman"/>
                <w:color w:val="000000"/>
                <w:sz w:val="24"/>
                <w:szCs w:val="24"/>
                <w:lang w:eastAsia="pt-BR"/>
              </w:rPr>
              <w:t>-5%</w:t>
            </w:r>
          </w:p>
        </w:tc>
      </w:tr>
    </w:tbl>
    <w:p w:rsidR="00B23AB1" w:rsidRDefault="00B23AB1" w:rsidP="00A22619">
      <w:pPr>
        <w:spacing w:after="0" w:line="360" w:lineRule="auto"/>
        <w:jc w:val="both"/>
        <w:rPr>
          <w:rFonts w:ascii="Arial" w:hAnsi="Arial" w:cs="Arial"/>
          <w:sz w:val="24"/>
          <w:szCs w:val="24"/>
        </w:rPr>
      </w:pPr>
    </w:p>
    <w:p w:rsidR="00650AC5" w:rsidRPr="00C353DF" w:rsidRDefault="00650AC5" w:rsidP="00A22619">
      <w:pPr>
        <w:spacing w:after="0" w:line="360" w:lineRule="auto"/>
        <w:ind w:firstLine="708"/>
        <w:jc w:val="both"/>
        <w:rPr>
          <w:rFonts w:ascii="Arial" w:hAnsi="Arial" w:cs="Arial"/>
          <w:sz w:val="24"/>
          <w:szCs w:val="24"/>
        </w:rPr>
      </w:pPr>
      <w:r w:rsidRPr="00C353DF">
        <w:rPr>
          <w:rFonts w:ascii="Arial" w:hAnsi="Arial" w:cs="Arial"/>
          <w:sz w:val="24"/>
          <w:szCs w:val="24"/>
        </w:rPr>
        <w:t>No Mercantil do Brasil podemos observar que dentre os períodos analisados a conta em questão sofreu uma variação negativa de 5% e conforme as notas explicativas</w:t>
      </w:r>
      <w:proofErr w:type="gramStart"/>
      <w:r w:rsidRPr="00C353DF">
        <w:rPr>
          <w:rFonts w:ascii="Arial" w:hAnsi="Arial" w:cs="Arial"/>
          <w:sz w:val="24"/>
          <w:szCs w:val="24"/>
        </w:rPr>
        <w:t>, refere-se</w:t>
      </w:r>
      <w:proofErr w:type="gramEnd"/>
      <w:r w:rsidRPr="00C353DF">
        <w:rPr>
          <w:rFonts w:ascii="Arial" w:hAnsi="Arial" w:cs="Arial"/>
          <w:sz w:val="24"/>
          <w:szCs w:val="24"/>
        </w:rPr>
        <w:t xml:space="preserve"> à reclassificação de provisão de bens de uso próprio para </w:t>
      </w:r>
      <w:proofErr w:type="gramStart"/>
      <w:r w:rsidRPr="00C353DF">
        <w:rPr>
          <w:rFonts w:ascii="Arial" w:hAnsi="Arial" w:cs="Arial"/>
          <w:sz w:val="24"/>
          <w:szCs w:val="24"/>
        </w:rPr>
        <w:t>títulos</w:t>
      </w:r>
      <w:proofErr w:type="gramEnd"/>
      <w:r w:rsidRPr="00C353DF">
        <w:rPr>
          <w:rFonts w:ascii="Arial" w:hAnsi="Arial" w:cs="Arial"/>
          <w:sz w:val="24"/>
          <w:szCs w:val="24"/>
        </w:rPr>
        <w:t xml:space="preserve"> e créditos a receber, efetuada no exercício, para adequação contábil, sem efeito no resultado. A provisão para perdas em operações de crédito e outros créditos (PCLD) foi impactada pela volatilidade do nível de inadimplência. Os créditos recuperados contemplam, basicamente, no recebimento dos créditos baix</w:t>
      </w:r>
      <w:r w:rsidR="00124CE1" w:rsidRPr="00C353DF">
        <w:rPr>
          <w:rFonts w:ascii="Arial" w:hAnsi="Arial" w:cs="Arial"/>
          <w:sz w:val="24"/>
          <w:szCs w:val="24"/>
        </w:rPr>
        <w:t>ados como prejuízos que montam em</w:t>
      </w:r>
      <w:r w:rsidRPr="00C353DF">
        <w:rPr>
          <w:rFonts w:ascii="Arial" w:hAnsi="Arial" w:cs="Arial"/>
          <w:sz w:val="24"/>
          <w:szCs w:val="24"/>
        </w:rPr>
        <w:t xml:space="preserve"> R$ 46.567 </w:t>
      </w:r>
      <w:proofErr w:type="gramStart"/>
      <w:r w:rsidRPr="00C353DF">
        <w:rPr>
          <w:rFonts w:ascii="Arial" w:hAnsi="Arial" w:cs="Arial"/>
          <w:sz w:val="24"/>
          <w:szCs w:val="24"/>
        </w:rPr>
        <w:t xml:space="preserve">( </w:t>
      </w:r>
      <w:proofErr w:type="gramEnd"/>
      <w:r w:rsidRPr="00C353DF">
        <w:rPr>
          <w:rFonts w:ascii="Arial" w:hAnsi="Arial" w:cs="Arial"/>
          <w:sz w:val="24"/>
          <w:szCs w:val="24"/>
        </w:rPr>
        <w:t>R$ 37.094 em 31 de dezembro de 2013) no consolidado</w:t>
      </w:r>
      <w:r w:rsidR="0033568C" w:rsidRPr="00C353DF">
        <w:rPr>
          <w:rFonts w:ascii="Arial" w:hAnsi="Arial" w:cs="Arial"/>
          <w:sz w:val="24"/>
          <w:szCs w:val="24"/>
        </w:rPr>
        <w:t>.</w:t>
      </w:r>
    </w:p>
    <w:p w:rsidR="00A22619" w:rsidRDefault="00A22619" w:rsidP="00C353DF">
      <w:pPr>
        <w:spacing w:after="0" w:line="360" w:lineRule="auto"/>
        <w:jc w:val="both"/>
        <w:rPr>
          <w:rFonts w:ascii="Arial" w:hAnsi="Arial" w:cs="Arial"/>
          <w:sz w:val="24"/>
          <w:szCs w:val="24"/>
        </w:rPr>
      </w:pPr>
    </w:p>
    <w:p w:rsidR="0033568C" w:rsidRPr="00C353DF" w:rsidRDefault="00124CE1" w:rsidP="00C353DF">
      <w:pPr>
        <w:spacing w:after="0" w:line="360" w:lineRule="auto"/>
        <w:jc w:val="both"/>
        <w:rPr>
          <w:rFonts w:ascii="Arial" w:hAnsi="Arial" w:cs="Arial"/>
          <w:sz w:val="24"/>
          <w:szCs w:val="24"/>
        </w:rPr>
      </w:pPr>
      <w:r w:rsidRPr="00C353DF">
        <w:rPr>
          <w:rFonts w:ascii="Arial" w:hAnsi="Arial" w:cs="Arial"/>
          <w:sz w:val="24"/>
          <w:szCs w:val="24"/>
        </w:rPr>
        <w:t xml:space="preserve">Ativo </w:t>
      </w:r>
      <w:r w:rsidR="00CC3D5F">
        <w:rPr>
          <w:rFonts w:ascii="Arial" w:hAnsi="Arial" w:cs="Arial"/>
          <w:sz w:val="24"/>
          <w:szCs w:val="24"/>
        </w:rPr>
        <w:t xml:space="preserve">circulante </w:t>
      </w:r>
      <w:r w:rsidRPr="00C353DF">
        <w:rPr>
          <w:rFonts w:ascii="Arial" w:hAnsi="Arial" w:cs="Arial"/>
          <w:sz w:val="24"/>
          <w:szCs w:val="24"/>
        </w:rPr>
        <w:t>- créditos tributários</w:t>
      </w:r>
    </w:p>
    <w:p w:rsidR="00124CE1" w:rsidRPr="00C353DF" w:rsidRDefault="00CC3D5F" w:rsidP="00CC3D5F">
      <w:pPr>
        <w:spacing w:after="0" w:line="360" w:lineRule="auto"/>
        <w:ind w:firstLine="708"/>
        <w:jc w:val="both"/>
        <w:rPr>
          <w:rFonts w:ascii="Arial" w:hAnsi="Arial" w:cs="Arial"/>
          <w:color w:val="000000"/>
          <w:sz w:val="24"/>
          <w:szCs w:val="24"/>
        </w:rPr>
      </w:pPr>
      <w:r>
        <w:rPr>
          <w:rFonts w:ascii="Arial" w:hAnsi="Arial" w:cs="Arial"/>
          <w:sz w:val="24"/>
          <w:szCs w:val="24"/>
        </w:rPr>
        <w:t>O</w:t>
      </w:r>
      <w:r w:rsidR="00FD2E45" w:rsidRPr="00C353DF">
        <w:rPr>
          <w:rFonts w:ascii="Arial" w:hAnsi="Arial" w:cs="Arial"/>
          <w:sz w:val="24"/>
          <w:szCs w:val="24"/>
        </w:rPr>
        <w:t xml:space="preserve"> crédito tributário é composto pel</w:t>
      </w:r>
      <w:r w:rsidR="00124CE1" w:rsidRPr="00C353DF">
        <w:rPr>
          <w:rFonts w:ascii="Arial" w:hAnsi="Arial" w:cs="Arial"/>
          <w:color w:val="000000"/>
          <w:sz w:val="24"/>
          <w:szCs w:val="24"/>
        </w:rPr>
        <w:t xml:space="preserve">a prestação em moeda ou outro valor nela </w:t>
      </w:r>
      <w:r w:rsidR="00FD2E45" w:rsidRPr="00C353DF">
        <w:rPr>
          <w:rFonts w:ascii="Arial" w:hAnsi="Arial" w:cs="Arial"/>
          <w:color w:val="000000"/>
          <w:sz w:val="24"/>
          <w:szCs w:val="24"/>
        </w:rPr>
        <w:t xml:space="preserve">que </w:t>
      </w:r>
      <w:r w:rsidR="00124CE1" w:rsidRPr="00C353DF">
        <w:rPr>
          <w:rFonts w:ascii="Arial" w:hAnsi="Arial" w:cs="Arial"/>
          <w:color w:val="000000"/>
          <w:sz w:val="24"/>
          <w:szCs w:val="24"/>
        </w:rPr>
        <w:t xml:space="preserve">se possa </w:t>
      </w:r>
      <w:r w:rsidR="00FD2E45" w:rsidRPr="00C353DF">
        <w:rPr>
          <w:rFonts w:ascii="Arial" w:hAnsi="Arial" w:cs="Arial"/>
          <w:color w:val="000000"/>
          <w:sz w:val="24"/>
          <w:szCs w:val="24"/>
        </w:rPr>
        <w:t>exprimir</w:t>
      </w:r>
      <w:r w:rsidR="00124CE1" w:rsidRPr="00C353DF">
        <w:rPr>
          <w:rFonts w:ascii="Arial" w:hAnsi="Arial" w:cs="Arial"/>
          <w:color w:val="000000"/>
          <w:sz w:val="24"/>
          <w:szCs w:val="24"/>
        </w:rPr>
        <w:t xml:space="preserve"> que o sujeito ativo da obrigação tributária (União, Estados, Distrito Federal e Municípios) tem o direito de exigir do sujeito passivo direto ou indireto (contribuinte, responsável ou terceiro)</w:t>
      </w:r>
      <w:r w:rsidR="00FD2E45" w:rsidRPr="00C353DF">
        <w:rPr>
          <w:rFonts w:ascii="Arial" w:hAnsi="Arial" w:cs="Arial"/>
          <w:color w:val="000000"/>
          <w:sz w:val="24"/>
          <w:szCs w:val="24"/>
        </w:rPr>
        <w:t>, neste caso, da instituição financeira.</w:t>
      </w:r>
    </w:p>
    <w:p w:rsidR="00FD2E45" w:rsidRPr="00C353DF" w:rsidRDefault="00FD2E45" w:rsidP="00C353DF">
      <w:pPr>
        <w:spacing w:after="0" w:line="360" w:lineRule="auto"/>
        <w:jc w:val="both"/>
        <w:rPr>
          <w:rFonts w:ascii="Arial" w:hAnsi="Arial" w:cs="Arial"/>
          <w:sz w:val="24"/>
          <w:szCs w:val="24"/>
        </w:rPr>
      </w:pPr>
      <w:r w:rsidRPr="00C353DF">
        <w:rPr>
          <w:rFonts w:ascii="Arial" w:hAnsi="Arial" w:cs="Arial"/>
          <w:color w:val="000000"/>
          <w:sz w:val="24"/>
          <w:szCs w:val="24"/>
        </w:rPr>
        <w:lastRenderedPageBreak/>
        <w:t>O crédito tributário é a própria obrigação tributária já lançada, titulada, individualizada é o reflexo da mesma, ou seja, ele nasce da obrigação e é consequência desta, dentro de uma única relação jurídica. </w:t>
      </w:r>
    </w:p>
    <w:p w:rsidR="0033568C" w:rsidRPr="00C353DF" w:rsidRDefault="00FD2E45" w:rsidP="00CC3D5F">
      <w:pPr>
        <w:spacing w:after="0" w:line="360" w:lineRule="auto"/>
        <w:ind w:firstLine="708"/>
        <w:jc w:val="both"/>
        <w:rPr>
          <w:rFonts w:ascii="Arial" w:hAnsi="Arial" w:cs="Arial"/>
          <w:sz w:val="24"/>
          <w:szCs w:val="24"/>
        </w:rPr>
      </w:pPr>
      <w:r w:rsidRPr="00C353DF">
        <w:rPr>
          <w:rFonts w:ascii="Arial" w:hAnsi="Arial" w:cs="Arial"/>
          <w:sz w:val="24"/>
          <w:szCs w:val="24"/>
        </w:rPr>
        <w:t xml:space="preserve">As probabilidades de concessão de crédito tributário </w:t>
      </w:r>
      <w:r w:rsidR="00CC3D5F" w:rsidRPr="00C353DF">
        <w:rPr>
          <w:rFonts w:ascii="Arial" w:hAnsi="Arial" w:cs="Arial"/>
          <w:sz w:val="24"/>
          <w:szCs w:val="24"/>
        </w:rPr>
        <w:t>devem ser cuidadosamente avaliadas</w:t>
      </w:r>
      <w:r w:rsidRPr="00C353DF">
        <w:rPr>
          <w:rFonts w:ascii="Arial" w:hAnsi="Arial" w:cs="Arial"/>
          <w:sz w:val="24"/>
          <w:szCs w:val="24"/>
        </w:rPr>
        <w:t xml:space="preserve"> quando da elaboração dos balanços publicados.</w:t>
      </w:r>
    </w:p>
    <w:p w:rsidR="00FD2E45" w:rsidRDefault="00FD2E45" w:rsidP="00CC3D5F">
      <w:pPr>
        <w:spacing w:after="0" w:line="360" w:lineRule="auto"/>
        <w:ind w:firstLine="708"/>
        <w:jc w:val="both"/>
        <w:rPr>
          <w:rFonts w:ascii="Arial" w:hAnsi="Arial" w:cs="Arial"/>
          <w:color w:val="000000"/>
          <w:sz w:val="24"/>
          <w:szCs w:val="24"/>
          <w:shd w:val="clear" w:color="auto" w:fill="FFFFFF"/>
        </w:rPr>
      </w:pPr>
      <w:r w:rsidRPr="00C353DF">
        <w:rPr>
          <w:rFonts w:ascii="Arial" w:hAnsi="Arial" w:cs="Arial"/>
          <w:sz w:val="24"/>
          <w:szCs w:val="24"/>
        </w:rPr>
        <w:t>Quanto à contabilização,</w:t>
      </w:r>
      <w:r w:rsidRPr="00C353DF">
        <w:rPr>
          <w:rStyle w:val="apple-converted-space"/>
          <w:rFonts w:ascii="Arial" w:hAnsi="Arial" w:cs="Arial"/>
          <w:color w:val="000000"/>
          <w:sz w:val="24"/>
          <w:szCs w:val="24"/>
          <w:shd w:val="clear" w:color="auto" w:fill="FFFFFF"/>
        </w:rPr>
        <w:t> </w:t>
      </w:r>
      <w:r w:rsidRPr="00C353DF">
        <w:rPr>
          <w:rFonts w:ascii="Arial" w:hAnsi="Arial" w:cs="Arial"/>
          <w:color w:val="000000"/>
          <w:sz w:val="24"/>
          <w:szCs w:val="24"/>
          <w:shd w:val="clear" w:color="auto" w:fill="FFFFFF"/>
        </w:rPr>
        <w:t>as instituições financeiras devem reconhecer os créditos tributários, observando e as obrigações fiscais diferidas integralmente como receitas ou despesas no resultado do período, salvo aqueles relacionados a itens também registrados diretamente no patrimônio líquido.</w:t>
      </w:r>
    </w:p>
    <w:p w:rsidR="00CC3D5F" w:rsidRDefault="00CC3D5F" w:rsidP="00CC3D5F">
      <w:pPr>
        <w:spacing w:after="0" w:line="360" w:lineRule="auto"/>
        <w:ind w:firstLine="708"/>
        <w:jc w:val="both"/>
        <w:rPr>
          <w:rFonts w:ascii="Arial" w:hAnsi="Arial" w:cs="Arial"/>
          <w:color w:val="000000"/>
          <w:sz w:val="24"/>
          <w:szCs w:val="24"/>
          <w:shd w:val="clear" w:color="auto" w:fill="FFFFFF"/>
        </w:rPr>
      </w:pPr>
    </w:p>
    <w:tbl>
      <w:tblPr>
        <w:tblW w:w="7051" w:type="dxa"/>
        <w:tblInd w:w="55" w:type="dxa"/>
        <w:tblCellMar>
          <w:left w:w="70" w:type="dxa"/>
          <w:right w:w="70" w:type="dxa"/>
        </w:tblCellMar>
        <w:tblLook w:val="04A0"/>
      </w:tblPr>
      <w:tblGrid>
        <w:gridCol w:w="1763"/>
        <w:gridCol w:w="2180"/>
        <w:gridCol w:w="1060"/>
        <w:gridCol w:w="1060"/>
        <w:gridCol w:w="988"/>
      </w:tblGrid>
      <w:tr w:rsidR="00CC3D5F" w:rsidRPr="00CC3D5F" w:rsidTr="00CC3D5F">
        <w:trPr>
          <w:trHeight w:val="315"/>
        </w:trPr>
        <w:tc>
          <w:tcPr>
            <w:tcW w:w="1763" w:type="dxa"/>
            <w:tcBorders>
              <w:top w:val="single" w:sz="4" w:space="0" w:color="auto"/>
              <w:left w:val="single" w:sz="4" w:space="0" w:color="auto"/>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Grupo</w:t>
            </w:r>
          </w:p>
        </w:tc>
        <w:tc>
          <w:tcPr>
            <w:tcW w:w="2180" w:type="dxa"/>
            <w:tcBorders>
              <w:top w:val="single" w:sz="4" w:space="0" w:color="auto"/>
              <w:left w:val="nil"/>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Nome da Conta</w:t>
            </w:r>
          </w:p>
        </w:tc>
        <w:tc>
          <w:tcPr>
            <w:tcW w:w="1060" w:type="dxa"/>
            <w:tcBorders>
              <w:top w:val="single" w:sz="4" w:space="0" w:color="auto"/>
              <w:left w:val="nil"/>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2014</w:t>
            </w:r>
          </w:p>
        </w:tc>
        <w:tc>
          <w:tcPr>
            <w:tcW w:w="1060" w:type="dxa"/>
            <w:tcBorders>
              <w:top w:val="single" w:sz="4" w:space="0" w:color="auto"/>
              <w:left w:val="nil"/>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2013</w:t>
            </w:r>
          </w:p>
        </w:tc>
        <w:tc>
          <w:tcPr>
            <w:tcW w:w="988" w:type="dxa"/>
            <w:tcBorders>
              <w:top w:val="single" w:sz="4" w:space="0" w:color="auto"/>
              <w:left w:val="nil"/>
              <w:bottom w:val="single" w:sz="4" w:space="0" w:color="auto"/>
              <w:right w:val="single" w:sz="4" w:space="0" w:color="auto"/>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Variação</w:t>
            </w:r>
          </w:p>
        </w:tc>
      </w:tr>
      <w:tr w:rsidR="00CC3D5F" w:rsidRPr="00CC3D5F" w:rsidTr="00CC3D5F">
        <w:trPr>
          <w:trHeight w:val="315"/>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Ativo circulante</w:t>
            </w:r>
          </w:p>
        </w:tc>
        <w:tc>
          <w:tcPr>
            <w:tcW w:w="218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Créditos tributários</w:t>
            </w:r>
          </w:p>
        </w:tc>
        <w:tc>
          <w:tcPr>
            <w:tcW w:w="106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255.609</w:t>
            </w:r>
          </w:p>
        </w:tc>
        <w:tc>
          <w:tcPr>
            <w:tcW w:w="106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213.579</w:t>
            </w:r>
          </w:p>
        </w:tc>
        <w:tc>
          <w:tcPr>
            <w:tcW w:w="988"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20%</w:t>
            </w:r>
          </w:p>
        </w:tc>
      </w:tr>
    </w:tbl>
    <w:p w:rsidR="00CC3D5F" w:rsidRPr="00C353DF" w:rsidRDefault="00CC3D5F" w:rsidP="00CC3D5F">
      <w:pPr>
        <w:spacing w:after="0" w:line="360" w:lineRule="auto"/>
        <w:ind w:firstLine="708"/>
        <w:jc w:val="both"/>
        <w:rPr>
          <w:rFonts w:ascii="Arial" w:hAnsi="Arial" w:cs="Arial"/>
          <w:color w:val="000000"/>
          <w:sz w:val="24"/>
          <w:szCs w:val="24"/>
          <w:shd w:val="clear" w:color="auto" w:fill="FFFFFF"/>
        </w:rPr>
      </w:pPr>
    </w:p>
    <w:p w:rsidR="00FD2E45" w:rsidRDefault="00FE0538" w:rsidP="00CC3D5F">
      <w:pPr>
        <w:spacing w:after="0" w:line="360" w:lineRule="auto"/>
        <w:ind w:firstLine="708"/>
        <w:jc w:val="both"/>
        <w:rPr>
          <w:rFonts w:ascii="Arial" w:hAnsi="Arial" w:cs="Arial"/>
          <w:sz w:val="24"/>
          <w:szCs w:val="24"/>
        </w:rPr>
      </w:pPr>
      <w:r w:rsidRPr="00C353DF">
        <w:rPr>
          <w:rFonts w:ascii="Arial" w:hAnsi="Arial" w:cs="Arial"/>
          <w:color w:val="000000"/>
          <w:sz w:val="24"/>
          <w:szCs w:val="24"/>
          <w:shd w:val="clear" w:color="auto" w:fill="FFFFFF"/>
        </w:rPr>
        <w:t>No Mercantil do Brasil podemos observar uma oscilação positiva de 20%, mostrando um leve crescimento devido ao fato de que o</w:t>
      </w:r>
      <w:r w:rsidRPr="00C353DF">
        <w:rPr>
          <w:rFonts w:ascii="Arial" w:hAnsi="Arial" w:cs="Arial"/>
          <w:sz w:val="24"/>
          <w:szCs w:val="24"/>
        </w:rPr>
        <w:t>s créditos tributários sobre adições temporárias decorrentes de contingências judiciais, cuja realização depende dos encerramentos dos questionamentos judiciais, equivalem até a realização prevista de 2019.</w:t>
      </w:r>
    </w:p>
    <w:p w:rsidR="00CC3D5F" w:rsidRPr="00C353DF" w:rsidRDefault="00CC3D5F" w:rsidP="00CC3D5F">
      <w:pPr>
        <w:spacing w:after="0" w:line="360" w:lineRule="auto"/>
        <w:ind w:firstLine="708"/>
        <w:jc w:val="both"/>
        <w:rPr>
          <w:rFonts w:ascii="Arial" w:hAnsi="Arial" w:cs="Arial"/>
          <w:sz w:val="24"/>
          <w:szCs w:val="24"/>
        </w:rPr>
      </w:pPr>
    </w:p>
    <w:p w:rsidR="00813C3F" w:rsidRPr="00C353DF" w:rsidRDefault="00641BCB" w:rsidP="00C353DF">
      <w:pPr>
        <w:spacing w:after="0" w:line="360" w:lineRule="auto"/>
        <w:jc w:val="both"/>
        <w:rPr>
          <w:rFonts w:ascii="Arial" w:hAnsi="Arial" w:cs="Arial"/>
          <w:sz w:val="24"/>
          <w:szCs w:val="24"/>
        </w:rPr>
      </w:pPr>
      <w:r w:rsidRPr="00C353DF">
        <w:rPr>
          <w:rFonts w:ascii="Arial" w:hAnsi="Arial" w:cs="Arial"/>
          <w:sz w:val="24"/>
          <w:szCs w:val="24"/>
        </w:rPr>
        <w:t>Ativo não circulante – imobilizado em uso</w:t>
      </w:r>
    </w:p>
    <w:p w:rsidR="00641BCB" w:rsidRPr="00C353DF" w:rsidRDefault="00641BCB" w:rsidP="00CC3D5F">
      <w:pPr>
        <w:spacing w:after="0" w:line="360" w:lineRule="auto"/>
        <w:ind w:firstLine="708"/>
        <w:jc w:val="both"/>
        <w:rPr>
          <w:rFonts w:ascii="Arial" w:hAnsi="Arial" w:cs="Arial"/>
          <w:sz w:val="24"/>
          <w:szCs w:val="24"/>
        </w:rPr>
      </w:pPr>
      <w:r w:rsidRPr="00C353DF">
        <w:rPr>
          <w:rFonts w:ascii="Arial" w:hAnsi="Arial" w:cs="Arial"/>
          <w:sz w:val="24"/>
          <w:szCs w:val="24"/>
        </w:rPr>
        <w:t xml:space="preserve">O COSIF determina que os imóveis de uso da instituição </w:t>
      </w:r>
      <w:proofErr w:type="gramStart"/>
      <w:r w:rsidRPr="00C353DF">
        <w:rPr>
          <w:rFonts w:ascii="Arial" w:hAnsi="Arial" w:cs="Arial"/>
          <w:sz w:val="24"/>
          <w:szCs w:val="24"/>
        </w:rPr>
        <w:t>são</w:t>
      </w:r>
      <w:proofErr w:type="gramEnd"/>
      <w:r w:rsidRPr="00C353DF">
        <w:rPr>
          <w:rFonts w:ascii="Arial" w:hAnsi="Arial" w:cs="Arial"/>
          <w:sz w:val="24"/>
          <w:szCs w:val="24"/>
        </w:rPr>
        <w:t xml:space="preserve"> contabilizados pelo respectivo preço de aquisição, incluídas as despesas para colocar os mesmos em funcionamento tanto como seus impostos.</w:t>
      </w:r>
    </w:p>
    <w:p w:rsidR="00641BCB" w:rsidRPr="00C353DF" w:rsidRDefault="00641BCB" w:rsidP="00CC3D5F">
      <w:pPr>
        <w:spacing w:after="0" w:line="360" w:lineRule="auto"/>
        <w:ind w:firstLine="708"/>
        <w:jc w:val="both"/>
        <w:rPr>
          <w:rFonts w:ascii="Arial" w:hAnsi="Arial" w:cs="Arial"/>
          <w:sz w:val="24"/>
          <w:szCs w:val="24"/>
        </w:rPr>
      </w:pPr>
      <w:r w:rsidRPr="00C353DF">
        <w:rPr>
          <w:rFonts w:ascii="Arial" w:hAnsi="Arial" w:cs="Arial"/>
          <w:sz w:val="24"/>
          <w:szCs w:val="24"/>
        </w:rPr>
        <w:t>Os bens mantidos em estoque serão registrados na subconta móveis e equipamentos em estoque, na conta de imobilizado em uso.</w:t>
      </w:r>
    </w:p>
    <w:p w:rsidR="00CC3D5F" w:rsidRDefault="00CC3D5F" w:rsidP="00C353DF">
      <w:pPr>
        <w:spacing w:after="0" w:line="360" w:lineRule="auto"/>
        <w:jc w:val="both"/>
        <w:rPr>
          <w:rFonts w:ascii="Arial" w:hAnsi="Arial" w:cs="Arial"/>
          <w:sz w:val="24"/>
          <w:szCs w:val="24"/>
        </w:rPr>
      </w:pPr>
    </w:p>
    <w:p w:rsidR="00641BCB" w:rsidRPr="00C353DF" w:rsidRDefault="00641BCB" w:rsidP="00C353DF">
      <w:pPr>
        <w:spacing w:after="0" w:line="360" w:lineRule="auto"/>
        <w:jc w:val="both"/>
        <w:rPr>
          <w:rFonts w:ascii="Arial" w:hAnsi="Arial" w:cs="Arial"/>
          <w:sz w:val="24"/>
          <w:szCs w:val="24"/>
        </w:rPr>
      </w:pPr>
      <w:r w:rsidRPr="00C353DF">
        <w:rPr>
          <w:rFonts w:ascii="Arial" w:hAnsi="Arial" w:cs="Arial"/>
          <w:sz w:val="24"/>
          <w:szCs w:val="24"/>
        </w:rPr>
        <w:t>Forma de depreciação</w:t>
      </w:r>
    </w:p>
    <w:p w:rsidR="00641BCB" w:rsidRPr="00C353DF" w:rsidRDefault="00641BCB" w:rsidP="00CC3D5F">
      <w:pPr>
        <w:spacing w:after="0" w:line="360" w:lineRule="auto"/>
        <w:ind w:firstLine="708"/>
        <w:jc w:val="both"/>
        <w:rPr>
          <w:rFonts w:ascii="Arial" w:hAnsi="Arial" w:cs="Arial"/>
          <w:sz w:val="24"/>
          <w:szCs w:val="24"/>
        </w:rPr>
      </w:pPr>
      <w:r w:rsidRPr="00C353DF">
        <w:rPr>
          <w:rFonts w:ascii="Arial" w:hAnsi="Arial" w:cs="Arial"/>
          <w:sz w:val="24"/>
          <w:szCs w:val="24"/>
        </w:rPr>
        <w:t>O COSIF mostra a seguinte tabela para uso mensal das taxas de depreciação dos bens do imobilizado, sendo as seguintes:</w:t>
      </w:r>
    </w:p>
    <w:p w:rsidR="00641BCB" w:rsidRPr="00641BCB" w:rsidRDefault="00641BCB" w:rsidP="00C353DF">
      <w:pPr>
        <w:shd w:val="clear" w:color="auto" w:fill="FFFFFF"/>
        <w:spacing w:after="0" w:line="360" w:lineRule="auto"/>
        <w:ind w:hanging="142"/>
        <w:jc w:val="both"/>
        <w:rPr>
          <w:rFonts w:ascii="Arial" w:eastAsia="Times New Roman" w:hAnsi="Arial" w:cs="Arial"/>
          <w:color w:val="000000"/>
          <w:sz w:val="24"/>
          <w:szCs w:val="24"/>
          <w:lang w:eastAsia="pt-BR"/>
        </w:rPr>
      </w:pPr>
      <w:r w:rsidRPr="00641BCB">
        <w:rPr>
          <w:rFonts w:ascii="Arial" w:eastAsia="Times New Roman" w:hAnsi="Arial" w:cs="Arial"/>
          <w:color w:val="000000"/>
          <w:sz w:val="24"/>
          <w:szCs w:val="24"/>
          <w:lang w:eastAsia="pt-BR"/>
        </w:rPr>
        <w:t>a) Imóveis de Uso - Edificações</w:t>
      </w:r>
      <w:proofErr w:type="gramStart"/>
      <w:r w:rsidRPr="00641BCB">
        <w:rPr>
          <w:rFonts w:ascii="Arial" w:eastAsia="Times New Roman" w:hAnsi="Arial" w:cs="Arial"/>
          <w:color w:val="000000"/>
          <w:sz w:val="24"/>
          <w:szCs w:val="24"/>
          <w:lang w:eastAsia="pt-BR"/>
        </w:rPr>
        <w:t>.....................................................</w:t>
      </w:r>
      <w:proofErr w:type="gramEnd"/>
      <w:r w:rsidRPr="00641BCB">
        <w:rPr>
          <w:rFonts w:ascii="Arial" w:eastAsia="Times New Roman" w:hAnsi="Arial" w:cs="Arial"/>
          <w:color w:val="000000"/>
          <w:sz w:val="24"/>
          <w:szCs w:val="24"/>
          <w:lang w:eastAsia="pt-BR"/>
        </w:rPr>
        <w:t xml:space="preserve"> 4%</w:t>
      </w:r>
    </w:p>
    <w:p w:rsidR="00641BCB" w:rsidRPr="00641BCB" w:rsidRDefault="00641BCB" w:rsidP="00C353DF">
      <w:pPr>
        <w:shd w:val="clear" w:color="auto" w:fill="FFFFFF"/>
        <w:spacing w:after="0" w:line="360" w:lineRule="auto"/>
        <w:ind w:hanging="142"/>
        <w:jc w:val="both"/>
        <w:rPr>
          <w:rFonts w:ascii="Arial" w:eastAsia="Times New Roman" w:hAnsi="Arial" w:cs="Arial"/>
          <w:color w:val="000000"/>
          <w:sz w:val="24"/>
          <w:szCs w:val="24"/>
          <w:lang w:eastAsia="pt-BR"/>
        </w:rPr>
      </w:pPr>
      <w:r w:rsidRPr="00641BCB">
        <w:rPr>
          <w:rFonts w:ascii="Arial" w:eastAsia="Times New Roman" w:hAnsi="Arial" w:cs="Arial"/>
          <w:color w:val="000000"/>
          <w:sz w:val="24"/>
          <w:szCs w:val="24"/>
          <w:lang w:eastAsia="pt-BR"/>
        </w:rPr>
        <w:t>b) Instalações, Móveis e Equipamentos de Uso</w:t>
      </w:r>
      <w:proofErr w:type="gramStart"/>
      <w:r w:rsidRPr="00641BCB">
        <w:rPr>
          <w:rFonts w:ascii="Arial" w:eastAsia="Times New Roman" w:hAnsi="Arial" w:cs="Arial"/>
          <w:color w:val="000000"/>
          <w:sz w:val="24"/>
          <w:szCs w:val="24"/>
          <w:lang w:eastAsia="pt-BR"/>
        </w:rPr>
        <w:t>............................</w:t>
      </w:r>
      <w:proofErr w:type="gramEnd"/>
      <w:r w:rsidRPr="00641BCB">
        <w:rPr>
          <w:rFonts w:ascii="Arial" w:eastAsia="Times New Roman" w:hAnsi="Arial" w:cs="Arial"/>
          <w:color w:val="000000"/>
          <w:sz w:val="24"/>
          <w:szCs w:val="24"/>
          <w:lang w:eastAsia="pt-BR"/>
        </w:rPr>
        <w:t>10%</w:t>
      </w:r>
    </w:p>
    <w:p w:rsidR="00641BCB" w:rsidRPr="00641BCB" w:rsidRDefault="00641BCB" w:rsidP="00C353DF">
      <w:pPr>
        <w:shd w:val="clear" w:color="auto" w:fill="FFFFFF"/>
        <w:spacing w:after="0" w:line="360" w:lineRule="auto"/>
        <w:ind w:hanging="142"/>
        <w:jc w:val="both"/>
        <w:rPr>
          <w:rFonts w:ascii="Arial" w:eastAsia="Times New Roman" w:hAnsi="Arial" w:cs="Arial"/>
          <w:color w:val="000000"/>
          <w:sz w:val="24"/>
          <w:szCs w:val="24"/>
          <w:lang w:eastAsia="pt-BR"/>
        </w:rPr>
      </w:pPr>
      <w:r w:rsidRPr="00641BCB">
        <w:rPr>
          <w:rFonts w:ascii="Arial" w:eastAsia="Times New Roman" w:hAnsi="Arial" w:cs="Arial"/>
          <w:color w:val="000000"/>
          <w:sz w:val="24"/>
          <w:szCs w:val="24"/>
          <w:lang w:eastAsia="pt-BR"/>
        </w:rPr>
        <w:t>c) Sistema de Comunicação (exclusive direitos de uso)</w:t>
      </w:r>
      <w:proofErr w:type="gramStart"/>
      <w:r w:rsidRPr="00641BCB">
        <w:rPr>
          <w:rFonts w:ascii="Arial" w:eastAsia="Times New Roman" w:hAnsi="Arial" w:cs="Arial"/>
          <w:color w:val="000000"/>
          <w:sz w:val="24"/>
          <w:szCs w:val="24"/>
          <w:lang w:eastAsia="pt-BR"/>
        </w:rPr>
        <w:t>................</w:t>
      </w:r>
      <w:proofErr w:type="gramEnd"/>
      <w:r w:rsidRPr="00641BCB">
        <w:rPr>
          <w:rFonts w:ascii="Arial" w:eastAsia="Times New Roman" w:hAnsi="Arial" w:cs="Arial"/>
          <w:color w:val="000000"/>
          <w:sz w:val="24"/>
          <w:szCs w:val="24"/>
          <w:lang w:eastAsia="pt-BR"/>
        </w:rPr>
        <w:t>10%</w:t>
      </w:r>
    </w:p>
    <w:p w:rsidR="00641BCB" w:rsidRPr="00641BCB" w:rsidRDefault="00641BCB" w:rsidP="00C353DF">
      <w:pPr>
        <w:shd w:val="clear" w:color="auto" w:fill="FFFFFF"/>
        <w:spacing w:after="0" w:line="360" w:lineRule="auto"/>
        <w:ind w:hanging="142"/>
        <w:jc w:val="both"/>
        <w:rPr>
          <w:rFonts w:ascii="Arial" w:eastAsia="Times New Roman" w:hAnsi="Arial" w:cs="Arial"/>
          <w:color w:val="000000"/>
          <w:sz w:val="24"/>
          <w:szCs w:val="24"/>
          <w:lang w:eastAsia="pt-BR"/>
        </w:rPr>
      </w:pPr>
      <w:r w:rsidRPr="00641BCB">
        <w:rPr>
          <w:rFonts w:ascii="Arial" w:eastAsia="Times New Roman" w:hAnsi="Arial" w:cs="Arial"/>
          <w:color w:val="000000"/>
          <w:sz w:val="24"/>
          <w:szCs w:val="24"/>
          <w:lang w:eastAsia="pt-BR"/>
        </w:rPr>
        <w:t>d) Sistema de Segurança (exclusive veículos)</w:t>
      </w:r>
      <w:proofErr w:type="gramStart"/>
      <w:r w:rsidRPr="00641BCB">
        <w:rPr>
          <w:rFonts w:ascii="Arial" w:eastAsia="Times New Roman" w:hAnsi="Arial" w:cs="Arial"/>
          <w:color w:val="000000"/>
          <w:sz w:val="24"/>
          <w:szCs w:val="24"/>
          <w:lang w:eastAsia="pt-BR"/>
        </w:rPr>
        <w:t>...............................</w:t>
      </w:r>
      <w:proofErr w:type="gramEnd"/>
      <w:r w:rsidRPr="00641BCB">
        <w:rPr>
          <w:rFonts w:ascii="Arial" w:eastAsia="Times New Roman" w:hAnsi="Arial" w:cs="Arial"/>
          <w:color w:val="000000"/>
          <w:sz w:val="24"/>
          <w:szCs w:val="24"/>
          <w:lang w:eastAsia="pt-BR"/>
        </w:rPr>
        <w:t>10%</w:t>
      </w:r>
    </w:p>
    <w:p w:rsidR="00641BCB" w:rsidRPr="00641BCB" w:rsidRDefault="00641BCB" w:rsidP="00C353DF">
      <w:pPr>
        <w:shd w:val="clear" w:color="auto" w:fill="FFFFFF"/>
        <w:spacing w:after="0" w:line="360" w:lineRule="auto"/>
        <w:ind w:hanging="142"/>
        <w:jc w:val="both"/>
        <w:rPr>
          <w:rFonts w:ascii="Arial" w:eastAsia="Times New Roman" w:hAnsi="Arial" w:cs="Arial"/>
          <w:color w:val="000000"/>
          <w:sz w:val="24"/>
          <w:szCs w:val="24"/>
          <w:lang w:eastAsia="pt-BR"/>
        </w:rPr>
      </w:pPr>
      <w:r w:rsidRPr="00641BCB">
        <w:rPr>
          <w:rFonts w:ascii="Arial" w:eastAsia="Times New Roman" w:hAnsi="Arial" w:cs="Arial"/>
          <w:color w:val="000000"/>
          <w:sz w:val="24"/>
          <w:szCs w:val="24"/>
          <w:lang w:eastAsia="pt-BR"/>
        </w:rPr>
        <w:t>e) Sistema de Transporte (exclusive veículos)</w:t>
      </w:r>
      <w:proofErr w:type="gramStart"/>
      <w:r w:rsidRPr="00641BCB">
        <w:rPr>
          <w:rFonts w:ascii="Arial" w:eastAsia="Times New Roman" w:hAnsi="Arial" w:cs="Arial"/>
          <w:color w:val="000000"/>
          <w:sz w:val="24"/>
          <w:szCs w:val="24"/>
          <w:lang w:eastAsia="pt-BR"/>
        </w:rPr>
        <w:t>...............................</w:t>
      </w:r>
      <w:proofErr w:type="gramEnd"/>
      <w:r w:rsidRPr="00641BCB">
        <w:rPr>
          <w:rFonts w:ascii="Arial" w:eastAsia="Times New Roman" w:hAnsi="Arial" w:cs="Arial"/>
          <w:color w:val="000000"/>
          <w:sz w:val="24"/>
          <w:szCs w:val="24"/>
          <w:lang w:eastAsia="pt-BR"/>
        </w:rPr>
        <w:t>10%</w:t>
      </w:r>
    </w:p>
    <w:p w:rsidR="00641BCB" w:rsidRPr="00641BCB" w:rsidRDefault="00641BCB" w:rsidP="00C353DF">
      <w:pPr>
        <w:shd w:val="clear" w:color="auto" w:fill="FFFFFF"/>
        <w:spacing w:after="0" w:line="360" w:lineRule="auto"/>
        <w:ind w:hanging="142"/>
        <w:jc w:val="both"/>
        <w:rPr>
          <w:rFonts w:ascii="Arial" w:eastAsia="Times New Roman" w:hAnsi="Arial" w:cs="Arial"/>
          <w:color w:val="000000"/>
          <w:sz w:val="24"/>
          <w:szCs w:val="24"/>
          <w:lang w:eastAsia="pt-BR"/>
        </w:rPr>
      </w:pPr>
      <w:r w:rsidRPr="00641BCB">
        <w:rPr>
          <w:rFonts w:ascii="Arial" w:eastAsia="Times New Roman" w:hAnsi="Arial" w:cs="Arial"/>
          <w:color w:val="000000"/>
          <w:sz w:val="24"/>
          <w:szCs w:val="24"/>
          <w:lang w:eastAsia="pt-BR"/>
        </w:rPr>
        <w:lastRenderedPageBreak/>
        <w:t>f) Sistema de Processamento de Dados</w:t>
      </w:r>
      <w:proofErr w:type="gramStart"/>
      <w:r w:rsidRPr="00641BCB">
        <w:rPr>
          <w:rFonts w:ascii="Arial" w:eastAsia="Times New Roman" w:hAnsi="Arial" w:cs="Arial"/>
          <w:color w:val="000000"/>
          <w:sz w:val="24"/>
          <w:szCs w:val="24"/>
          <w:lang w:eastAsia="pt-BR"/>
        </w:rPr>
        <w:t>........................................</w:t>
      </w:r>
      <w:proofErr w:type="gramEnd"/>
      <w:r w:rsidRPr="00641BCB">
        <w:rPr>
          <w:rFonts w:ascii="Arial" w:eastAsia="Times New Roman" w:hAnsi="Arial" w:cs="Arial"/>
          <w:color w:val="000000"/>
          <w:sz w:val="24"/>
          <w:szCs w:val="24"/>
          <w:lang w:eastAsia="pt-BR"/>
        </w:rPr>
        <w:t>20%</w:t>
      </w:r>
    </w:p>
    <w:p w:rsidR="00CC3D5F" w:rsidRDefault="00641BCB" w:rsidP="00CC3D5F">
      <w:pPr>
        <w:shd w:val="clear" w:color="auto" w:fill="FFFFFF"/>
        <w:spacing w:after="0" w:line="360" w:lineRule="auto"/>
        <w:ind w:hanging="142"/>
        <w:jc w:val="both"/>
        <w:rPr>
          <w:rFonts w:ascii="Arial" w:eastAsia="Times New Roman" w:hAnsi="Arial" w:cs="Arial"/>
          <w:color w:val="000000"/>
          <w:sz w:val="24"/>
          <w:szCs w:val="24"/>
          <w:lang w:eastAsia="pt-BR"/>
        </w:rPr>
      </w:pPr>
      <w:r w:rsidRPr="00641BCB">
        <w:rPr>
          <w:rFonts w:ascii="Arial" w:eastAsia="Times New Roman" w:hAnsi="Arial" w:cs="Arial"/>
          <w:color w:val="000000"/>
          <w:sz w:val="24"/>
          <w:szCs w:val="24"/>
          <w:lang w:eastAsia="pt-BR"/>
        </w:rPr>
        <w:t>g) Veículos</w:t>
      </w:r>
      <w:proofErr w:type="gramStart"/>
      <w:r w:rsidRPr="00641BCB">
        <w:rPr>
          <w:rFonts w:ascii="Arial" w:eastAsia="Times New Roman" w:hAnsi="Arial" w:cs="Arial"/>
          <w:color w:val="000000"/>
          <w:sz w:val="24"/>
          <w:szCs w:val="24"/>
          <w:lang w:eastAsia="pt-BR"/>
        </w:rPr>
        <w:t>.....................................................................................</w:t>
      </w:r>
      <w:proofErr w:type="gramEnd"/>
      <w:r w:rsidRPr="00641BCB">
        <w:rPr>
          <w:rFonts w:ascii="Arial" w:eastAsia="Times New Roman" w:hAnsi="Arial" w:cs="Arial"/>
          <w:color w:val="000000"/>
          <w:sz w:val="24"/>
          <w:szCs w:val="24"/>
          <w:lang w:eastAsia="pt-BR"/>
        </w:rPr>
        <w:t>20%</w:t>
      </w:r>
    </w:p>
    <w:p w:rsidR="00CC3D5F" w:rsidRPr="00CC3D5F" w:rsidRDefault="00CC3D5F" w:rsidP="00CC3D5F">
      <w:pPr>
        <w:shd w:val="clear" w:color="auto" w:fill="FFFFFF"/>
        <w:spacing w:after="0" w:line="360" w:lineRule="auto"/>
        <w:ind w:hanging="142"/>
        <w:jc w:val="both"/>
        <w:rPr>
          <w:rFonts w:ascii="Arial" w:eastAsia="Times New Roman" w:hAnsi="Arial" w:cs="Arial"/>
          <w:color w:val="000000"/>
          <w:sz w:val="24"/>
          <w:szCs w:val="24"/>
          <w:lang w:eastAsia="pt-BR"/>
        </w:rPr>
      </w:pPr>
    </w:p>
    <w:tbl>
      <w:tblPr>
        <w:tblW w:w="6560" w:type="dxa"/>
        <w:tblInd w:w="55" w:type="dxa"/>
        <w:tblCellMar>
          <w:left w:w="70" w:type="dxa"/>
          <w:right w:w="70" w:type="dxa"/>
        </w:tblCellMar>
        <w:tblLook w:val="04A0"/>
      </w:tblPr>
      <w:tblGrid>
        <w:gridCol w:w="2060"/>
        <w:gridCol w:w="2020"/>
        <w:gridCol w:w="809"/>
        <w:gridCol w:w="809"/>
        <w:gridCol w:w="988"/>
      </w:tblGrid>
      <w:tr w:rsidR="00CC3D5F" w:rsidRPr="00CC3D5F" w:rsidTr="00CC3D5F">
        <w:trPr>
          <w:trHeight w:val="315"/>
        </w:trPr>
        <w:tc>
          <w:tcPr>
            <w:tcW w:w="2060" w:type="dxa"/>
            <w:tcBorders>
              <w:top w:val="single" w:sz="4" w:space="0" w:color="auto"/>
              <w:left w:val="single" w:sz="4" w:space="0" w:color="auto"/>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Grupo</w:t>
            </w:r>
          </w:p>
        </w:tc>
        <w:tc>
          <w:tcPr>
            <w:tcW w:w="2020" w:type="dxa"/>
            <w:tcBorders>
              <w:top w:val="single" w:sz="4" w:space="0" w:color="auto"/>
              <w:left w:val="nil"/>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Nome da Conta</w:t>
            </w:r>
          </w:p>
        </w:tc>
        <w:tc>
          <w:tcPr>
            <w:tcW w:w="760" w:type="dxa"/>
            <w:tcBorders>
              <w:top w:val="single" w:sz="4" w:space="0" w:color="auto"/>
              <w:left w:val="nil"/>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2014</w:t>
            </w:r>
          </w:p>
        </w:tc>
        <w:tc>
          <w:tcPr>
            <w:tcW w:w="760" w:type="dxa"/>
            <w:tcBorders>
              <w:top w:val="single" w:sz="4" w:space="0" w:color="auto"/>
              <w:left w:val="nil"/>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2013</w:t>
            </w:r>
          </w:p>
        </w:tc>
        <w:tc>
          <w:tcPr>
            <w:tcW w:w="960" w:type="dxa"/>
            <w:tcBorders>
              <w:top w:val="single" w:sz="4" w:space="0" w:color="auto"/>
              <w:left w:val="nil"/>
              <w:bottom w:val="single" w:sz="4" w:space="0" w:color="auto"/>
              <w:right w:val="single" w:sz="4" w:space="0" w:color="auto"/>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Variação</w:t>
            </w:r>
          </w:p>
        </w:tc>
      </w:tr>
      <w:tr w:rsidR="00CC3D5F" w:rsidRPr="00CC3D5F" w:rsidTr="00CC3D5F">
        <w:trPr>
          <w:trHeight w:val="31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Ativo não circulante</w:t>
            </w:r>
          </w:p>
        </w:tc>
        <w:tc>
          <w:tcPr>
            <w:tcW w:w="202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Imobilizado em uso</w:t>
            </w:r>
          </w:p>
        </w:tc>
        <w:tc>
          <w:tcPr>
            <w:tcW w:w="76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71.508</w:t>
            </w:r>
          </w:p>
        </w:tc>
        <w:tc>
          <w:tcPr>
            <w:tcW w:w="76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66.488</w:t>
            </w:r>
          </w:p>
        </w:tc>
        <w:tc>
          <w:tcPr>
            <w:tcW w:w="96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8%</w:t>
            </w:r>
          </w:p>
        </w:tc>
      </w:tr>
    </w:tbl>
    <w:p w:rsidR="00CC3D5F" w:rsidRDefault="00CC3D5F" w:rsidP="00CC3D5F">
      <w:pPr>
        <w:shd w:val="clear" w:color="auto" w:fill="FFFFFF"/>
        <w:spacing w:after="0" w:line="360" w:lineRule="auto"/>
        <w:jc w:val="both"/>
        <w:rPr>
          <w:rFonts w:ascii="Arial" w:hAnsi="Arial" w:cs="Arial"/>
          <w:sz w:val="24"/>
          <w:szCs w:val="24"/>
        </w:rPr>
      </w:pPr>
    </w:p>
    <w:p w:rsidR="00CC3D5F" w:rsidRDefault="00641BCB" w:rsidP="00CC3D5F">
      <w:pPr>
        <w:shd w:val="clear" w:color="auto" w:fill="FFFFFF"/>
        <w:spacing w:after="0" w:line="360" w:lineRule="auto"/>
        <w:ind w:firstLine="708"/>
        <w:jc w:val="both"/>
        <w:rPr>
          <w:rFonts w:ascii="Arial" w:hAnsi="Arial" w:cs="Arial"/>
          <w:sz w:val="24"/>
          <w:szCs w:val="24"/>
        </w:rPr>
      </w:pPr>
      <w:r w:rsidRPr="00C353DF">
        <w:rPr>
          <w:rFonts w:ascii="Arial" w:hAnsi="Arial" w:cs="Arial"/>
          <w:sz w:val="24"/>
          <w:szCs w:val="24"/>
        </w:rPr>
        <w:t xml:space="preserve">Conforme o Balanço publicado da instituição financeira, </w:t>
      </w:r>
      <w:r w:rsidR="00CC3D5F">
        <w:rPr>
          <w:rFonts w:ascii="Arial" w:hAnsi="Arial" w:cs="Arial"/>
          <w:sz w:val="24"/>
          <w:szCs w:val="24"/>
        </w:rPr>
        <w:t xml:space="preserve">houve um </w:t>
      </w:r>
      <w:proofErr w:type="gramStart"/>
      <w:r w:rsidR="00CC3D5F">
        <w:rPr>
          <w:rFonts w:ascii="Arial" w:hAnsi="Arial" w:cs="Arial"/>
          <w:sz w:val="24"/>
          <w:szCs w:val="24"/>
        </w:rPr>
        <w:t>aumento</w:t>
      </w:r>
      <w:proofErr w:type="gramEnd"/>
      <w:r w:rsidR="00CC3D5F">
        <w:rPr>
          <w:rFonts w:ascii="Arial" w:hAnsi="Arial" w:cs="Arial"/>
          <w:sz w:val="24"/>
          <w:szCs w:val="24"/>
        </w:rPr>
        <w:t xml:space="preserve"> </w:t>
      </w:r>
      <w:proofErr w:type="gramStart"/>
      <w:r w:rsidR="00CC3D5F">
        <w:rPr>
          <w:rFonts w:ascii="Arial" w:hAnsi="Arial" w:cs="Arial"/>
          <w:sz w:val="24"/>
          <w:szCs w:val="24"/>
        </w:rPr>
        <w:t>de</w:t>
      </w:r>
      <w:proofErr w:type="gramEnd"/>
      <w:r w:rsidR="00CC3D5F">
        <w:rPr>
          <w:rFonts w:ascii="Arial" w:hAnsi="Arial" w:cs="Arial"/>
          <w:sz w:val="24"/>
          <w:szCs w:val="24"/>
        </w:rPr>
        <w:t xml:space="preserve"> 8% </w:t>
      </w:r>
      <w:r w:rsidR="00405B69" w:rsidRPr="00C353DF">
        <w:rPr>
          <w:rFonts w:ascii="Arial" w:hAnsi="Arial" w:cs="Arial"/>
          <w:sz w:val="24"/>
          <w:szCs w:val="24"/>
        </w:rPr>
        <w:t>em relação ao período anterior (2013) e as notas explicativas o saldo do imobilizado contempla reservas de reavaliação que serão mantidos até a sua efetiva realização.</w:t>
      </w:r>
    </w:p>
    <w:p w:rsidR="00CC3D5F" w:rsidRDefault="00CC3D5F" w:rsidP="00CC3D5F">
      <w:pPr>
        <w:shd w:val="clear" w:color="auto" w:fill="FFFFFF"/>
        <w:spacing w:after="0" w:line="360" w:lineRule="auto"/>
        <w:ind w:firstLine="708"/>
        <w:jc w:val="both"/>
        <w:rPr>
          <w:rFonts w:ascii="Arial" w:hAnsi="Arial" w:cs="Arial"/>
          <w:sz w:val="24"/>
          <w:szCs w:val="24"/>
        </w:rPr>
      </w:pPr>
    </w:p>
    <w:p w:rsidR="00405B69" w:rsidRPr="00C353DF" w:rsidRDefault="006D578A" w:rsidP="00CC3D5F">
      <w:pPr>
        <w:shd w:val="clear" w:color="auto" w:fill="FFFFFF"/>
        <w:spacing w:after="0" w:line="360" w:lineRule="auto"/>
        <w:jc w:val="both"/>
        <w:rPr>
          <w:rFonts w:ascii="Arial" w:hAnsi="Arial" w:cs="Arial"/>
          <w:sz w:val="24"/>
          <w:szCs w:val="24"/>
        </w:rPr>
      </w:pPr>
      <w:r w:rsidRPr="00C353DF">
        <w:rPr>
          <w:rFonts w:ascii="Arial" w:hAnsi="Arial" w:cs="Arial"/>
          <w:sz w:val="24"/>
          <w:szCs w:val="24"/>
        </w:rPr>
        <w:t>Ativo circulante – despesas antecipadas</w:t>
      </w:r>
    </w:p>
    <w:p w:rsidR="006D578A" w:rsidRDefault="006D578A" w:rsidP="00CC3D5F">
      <w:pPr>
        <w:pStyle w:val="TextosemFormatao"/>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t>Enquadram-se como despesas antecipadas as aplicações de recursos cujos benefícios ou prestação de serviços à instituição far-se-ão em períodos seguintes. As despesas da espécie, correspondentes a cada operação, de valor até R$ 511,00 (quinhentos e onze reais) na data de sua ocorrência, podem ser apropriadas diretamente como despesas efetivas no ato do pagamento.</w:t>
      </w:r>
    </w:p>
    <w:p w:rsidR="00CC3D5F" w:rsidRDefault="00CC3D5F" w:rsidP="00CC3D5F">
      <w:pPr>
        <w:pStyle w:val="TextosemFormatao"/>
        <w:shd w:val="clear" w:color="auto" w:fill="FFFFFF"/>
        <w:spacing w:before="0" w:beforeAutospacing="0" w:after="0" w:afterAutospacing="0" w:line="360" w:lineRule="auto"/>
        <w:jc w:val="both"/>
        <w:rPr>
          <w:rFonts w:ascii="Arial" w:hAnsi="Arial" w:cs="Arial"/>
          <w:color w:val="000000"/>
        </w:rPr>
      </w:pPr>
    </w:p>
    <w:tbl>
      <w:tblPr>
        <w:tblW w:w="7020" w:type="dxa"/>
        <w:tblInd w:w="55" w:type="dxa"/>
        <w:tblCellMar>
          <w:left w:w="70" w:type="dxa"/>
          <w:right w:w="70" w:type="dxa"/>
        </w:tblCellMar>
        <w:tblLook w:val="04A0"/>
      </w:tblPr>
      <w:tblGrid>
        <w:gridCol w:w="1620"/>
        <w:gridCol w:w="2320"/>
        <w:gridCol w:w="1060"/>
        <w:gridCol w:w="1060"/>
        <w:gridCol w:w="988"/>
      </w:tblGrid>
      <w:tr w:rsidR="00CC3D5F" w:rsidRPr="00CC3D5F" w:rsidTr="00CC3D5F">
        <w:trPr>
          <w:trHeight w:val="315"/>
        </w:trPr>
        <w:tc>
          <w:tcPr>
            <w:tcW w:w="1620" w:type="dxa"/>
            <w:tcBorders>
              <w:top w:val="single" w:sz="4" w:space="0" w:color="auto"/>
              <w:left w:val="single" w:sz="4" w:space="0" w:color="auto"/>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Grupo</w:t>
            </w:r>
          </w:p>
        </w:tc>
        <w:tc>
          <w:tcPr>
            <w:tcW w:w="2320" w:type="dxa"/>
            <w:tcBorders>
              <w:top w:val="single" w:sz="4" w:space="0" w:color="auto"/>
              <w:left w:val="nil"/>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Nome da Conta</w:t>
            </w:r>
          </w:p>
        </w:tc>
        <w:tc>
          <w:tcPr>
            <w:tcW w:w="1060" w:type="dxa"/>
            <w:tcBorders>
              <w:top w:val="single" w:sz="4" w:space="0" w:color="auto"/>
              <w:left w:val="nil"/>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2014</w:t>
            </w:r>
          </w:p>
        </w:tc>
        <w:tc>
          <w:tcPr>
            <w:tcW w:w="1060" w:type="dxa"/>
            <w:tcBorders>
              <w:top w:val="single" w:sz="4" w:space="0" w:color="auto"/>
              <w:left w:val="nil"/>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2013</w:t>
            </w:r>
          </w:p>
        </w:tc>
        <w:tc>
          <w:tcPr>
            <w:tcW w:w="960" w:type="dxa"/>
            <w:tcBorders>
              <w:top w:val="single" w:sz="4" w:space="0" w:color="auto"/>
              <w:left w:val="nil"/>
              <w:bottom w:val="single" w:sz="4" w:space="0" w:color="auto"/>
              <w:right w:val="single" w:sz="4" w:space="0" w:color="auto"/>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Variação</w:t>
            </w:r>
          </w:p>
        </w:tc>
      </w:tr>
      <w:tr w:rsidR="00CC3D5F" w:rsidRPr="00CC3D5F" w:rsidTr="00CC3D5F">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Ativo circulante</w:t>
            </w:r>
          </w:p>
        </w:tc>
        <w:tc>
          <w:tcPr>
            <w:tcW w:w="232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Despesas antecipadas</w:t>
            </w:r>
          </w:p>
        </w:tc>
        <w:tc>
          <w:tcPr>
            <w:tcW w:w="106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218.706</w:t>
            </w:r>
          </w:p>
        </w:tc>
        <w:tc>
          <w:tcPr>
            <w:tcW w:w="106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240.749</w:t>
            </w:r>
          </w:p>
        </w:tc>
        <w:tc>
          <w:tcPr>
            <w:tcW w:w="96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9%</w:t>
            </w:r>
          </w:p>
        </w:tc>
      </w:tr>
    </w:tbl>
    <w:p w:rsidR="00CC3D5F" w:rsidRPr="00C353DF" w:rsidRDefault="00CC3D5F" w:rsidP="00CC3D5F">
      <w:pPr>
        <w:pStyle w:val="TextosemFormatao"/>
        <w:shd w:val="clear" w:color="auto" w:fill="FFFFFF"/>
        <w:spacing w:before="0" w:beforeAutospacing="0" w:after="0" w:afterAutospacing="0" w:line="360" w:lineRule="auto"/>
        <w:jc w:val="both"/>
        <w:rPr>
          <w:rFonts w:ascii="Arial" w:hAnsi="Arial" w:cs="Arial"/>
          <w:color w:val="000000"/>
        </w:rPr>
      </w:pPr>
    </w:p>
    <w:p w:rsidR="003A0A79" w:rsidRPr="00C353DF" w:rsidRDefault="003A0A79" w:rsidP="00CC3D5F">
      <w:pPr>
        <w:pStyle w:val="TextosemFormatao"/>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t>No Balanço Patrimonial divulgado, observou-se uma variação negativa de 9%, onde é evidenciado um ponto positivo para o ente já que o mesmo provi</w:t>
      </w:r>
      <w:r w:rsidR="009A4560" w:rsidRPr="00C353DF">
        <w:rPr>
          <w:rFonts w:ascii="Arial" w:hAnsi="Arial" w:cs="Arial"/>
          <w:color w:val="000000"/>
        </w:rPr>
        <w:t>sionou valores menores no ano em que foi realizada a</w:t>
      </w:r>
      <w:r w:rsidRPr="00C353DF">
        <w:rPr>
          <w:rFonts w:ascii="Arial" w:hAnsi="Arial" w:cs="Arial"/>
          <w:color w:val="000000"/>
        </w:rPr>
        <w:t xml:space="preserve"> análise.</w:t>
      </w:r>
    </w:p>
    <w:p w:rsidR="006D578A" w:rsidRDefault="00145A1B" w:rsidP="00CC3D5F">
      <w:pPr>
        <w:spacing w:after="0" w:line="360" w:lineRule="auto"/>
        <w:ind w:firstLine="708"/>
        <w:jc w:val="both"/>
        <w:rPr>
          <w:rFonts w:ascii="Arial" w:hAnsi="Arial" w:cs="Arial"/>
          <w:sz w:val="24"/>
          <w:szCs w:val="24"/>
        </w:rPr>
      </w:pPr>
      <w:r w:rsidRPr="00C353DF">
        <w:rPr>
          <w:rFonts w:ascii="Arial" w:hAnsi="Arial" w:cs="Arial"/>
          <w:sz w:val="24"/>
          <w:szCs w:val="24"/>
        </w:rPr>
        <w:t xml:space="preserve">As notas explicativas evidenciam que às comissões sobre </w:t>
      </w:r>
      <w:proofErr w:type="spellStart"/>
      <w:r w:rsidRPr="00C353DF">
        <w:rPr>
          <w:rFonts w:ascii="Arial" w:hAnsi="Arial" w:cs="Arial"/>
          <w:sz w:val="24"/>
          <w:szCs w:val="24"/>
        </w:rPr>
        <w:t>originação</w:t>
      </w:r>
      <w:proofErr w:type="spellEnd"/>
      <w:r w:rsidRPr="00C353DF">
        <w:rPr>
          <w:rFonts w:ascii="Arial" w:hAnsi="Arial" w:cs="Arial"/>
          <w:sz w:val="24"/>
          <w:szCs w:val="24"/>
        </w:rPr>
        <w:t xml:space="preserve"> de operações de crédito, na modalidade de créditos consignados, pagas aos correspondentes, cuja apropriação das despesas é realizada mensalmente conforme os prazos dos contratos. Outra despesa a qual foi provisionada refere-se ao custo de preparação de documentos e implantação de propostas dos negócios gerados por correspondentes, cuja apropriação das despesas é realizada mensalmente de acordo com os prazos dos contratos. Por último, trata-se de custos originados no processo de captação de recursos internos e no exterior, com apropriação pelos respectivos prazos dos títulos emitidos, seguindo o regime de competência contábil </w:t>
      </w:r>
      <w:r w:rsidRPr="00C353DF">
        <w:rPr>
          <w:rFonts w:ascii="Arial" w:hAnsi="Arial" w:cs="Arial"/>
          <w:sz w:val="24"/>
          <w:szCs w:val="24"/>
        </w:rPr>
        <w:lastRenderedPageBreak/>
        <w:t xml:space="preserve">e aos seguros contratados, IPTU, aluguéis, taxa de alvará e licenciamento das agências, cuja apropriação das despesas são </w:t>
      </w:r>
      <w:proofErr w:type="gramStart"/>
      <w:r w:rsidRPr="00C353DF">
        <w:rPr>
          <w:rFonts w:ascii="Arial" w:hAnsi="Arial" w:cs="Arial"/>
          <w:sz w:val="24"/>
          <w:szCs w:val="24"/>
        </w:rPr>
        <w:t>realizadas</w:t>
      </w:r>
      <w:proofErr w:type="gramEnd"/>
      <w:r w:rsidRPr="00C353DF">
        <w:rPr>
          <w:rFonts w:ascii="Arial" w:hAnsi="Arial" w:cs="Arial"/>
          <w:sz w:val="24"/>
          <w:szCs w:val="24"/>
        </w:rPr>
        <w:t xml:space="preserve"> mensalmente de acordo com os prazos contratuais.</w:t>
      </w:r>
    </w:p>
    <w:p w:rsidR="00CC3D5F" w:rsidRPr="00C353DF" w:rsidRDefault="00CC3D5F" w:rsidP="00CC3D5F">
      <w:pPr>
        <w:spacing w:after="0" w:line="360" w:lineRule="auto"/>
        <w:ind w:firstLine="708"/>
        <w:jc w:val="both"/>
        <w:rPr>
          <w:rFonts w:ascii="Arial" w:hAnsi="Arial" w:cs="Arial"/>
          <w:sz w:val="24"/>
          <w:szCs w:val="24"/>
        </w:rPr>
      </w:pPr>
    </w:p>
    <w:p w:rsidR="00934944" w:rsidRPr="00C353DF" w:rsidRDefault="00B30102" w:rsidP="00C353DF">
      <w:pPr>
        <w:spacing w:after="0" w:line="360" w:lineRule="auto"/>
        <w:jc w:val="both"/>
        <w:rPr>
          <w:rFonts w:ascii="Arial" w:hAnsi="Arial" w:cs="Arial"/>
          <w:sz w:val="24"/>
          <w:szCs w:val="24"/>
        </w:rPr>
      </w:pPr>
      <w:r w:rsidRPr="00C353DF">
        <w:rPr>
          <w:rFonts w:ascii="Arial" w:hAnsi="Arial" w:cs="Arial"/>
          <w:sz w:val="24"/>
          <w:szCs w:val="24"/>
        </w:rPr>
        <w:t>Ativo circulante – instrumentos financeiros derivativos</w:t>
      </w:r>
    </w:p>
    <w:p w:rsidR="009C686C" w:rsidRPr="00C353DF" w:rsidRDefault="00B30102" w:rsidP="00CC3D5F">
      <w:pPr>
        <w:spacing w:after="0" w:line="360" w:lineRule="auto"/>
        <w:ind w:firstLine="708"/>
        <w:jc w:val="both"/>
        <w:rPr>
          <w:rFonts w:ascii="Arial" w:hAnsi="Arial" w:cs="Arial"/>
          <w:color w:val="000000"/>
          <w:sz w:val="24"/>
          <w:szCs w:val="24"/>
          <w:shd w:val="clear" w:color="auto" w:fill="FFFFFF"/>
        </w:rPr>
      </w:pPr>
      <w:r w:rsidRPr="00C353DF">
        <w:rPr>
          <w:rFonts w:ascii="Arial" w:hAnsi="Arial" w:cs="Arial"/>
          <w:color w:val="000000"/>
          <w:sz w:val="24"/>
          <w:szCs w:val="24"/>
          <w:shd w:val="clear" w:color="auto" w:fill="FFFFFF"/>
        </w:rPr>
        <w:t>Entende-se por instrumentos financeiros derivativos aqueles cujo valor varia em decorrência de mudanças em taxa de juros, preço de título ou valor mobiliário, preço de mercadoria, taxa de câmbio, índice de bolsa de valores, índice de preço, índice ou classificação de crédito, ou qualquer outra variável similar específica, cujo investimento inicial seja inexistente ou pequeno em relação ao valor do contrato, e que sejam liquidados em data futura.</w:t>
      </w:r>
      <w:r w:rsidR="009C686C" w:rsidRPr="00C353DF">
        <w:rPr>
          <w:rFonts w:ascii="Arial" w:hAnsi="Arial" w:cs="Arial"/>
          <w:color w:val="000000"/>
          <w:sz w:val="24"/>
          <w:szCs w:val="24"/>
          <w:shd w:val="clear" w:color="auto" w:fill="FFFFFF"/>
        </w:rPr>
        <w:t xml:space="preserve"> </w:t>
      </w:r>
      <w:r w:rsidR="009C686C" w:rsidRPr="00C353DF">
        <w:rPr>
          <w:rStyle w:val="apple-converted-space"/>
          <w:rFonts w:ascii="Arial" w:hAnsi="Arial" w:cs="Arial"/>
          <w:color w:val="000000"/>
          <w:sz w:val="24"/>
          <w:szCs w:val="24"/>
          <w:shd w:val="clear" w:color="auto" w:fill="FFFFFF"/>
        </w:rPr>
        <w:t> </w:t>
      </w:r>
      <w:r w:rsidR="009C686C" w:rsidRPr="00C353DF">
        <w:rPr>
          <w:rFonts w:ascii="Arial" w:hAnsi="Arial" w:cs="Arial"/>
          <w:color w:val="000000"/>
          <w:sz w:val="24"/>
          <w:szCs w:val="24"/>
          <w:shd w:val="clear" w:color="auto" w:fill="FFFFFF"/>
        </w:rPr>
        <w:t>O valor de referência das operações citadas acima deve ser registrado em contas de compensação. O registro no resultado deverá ser feito individualmente e na apuração do resultado será realizada a compensação das receitas com despesas registradas anteriormente.</w:t>
      </w:r>
    </w:p>
    <w:p w:rsidR="00CC3D5F" w:rsidRDefault="00CC3D5F" w:rsidP="00CC3D5F">
      <w:pPr>
        <w:spacing w:after="0" w:line="360" w:lineRule="auto"/>
        <w:ind w:firstLine="708"/>
        <w:jc w:val="both"/>
        <w:rPr>
          <w:rFonts w:ascii="Arial" w:hAnsi="Arial" w:cs="Arial"/>
          <w:color w:val="000000"/>
          <w:sz w:val="24"/>
          <w:szCs w:val="24"/>
          <w:shd w:val="clear" w:color="auto" w:fill="FFFFFF"/>
        </w:rPr>
      </w:pPr>
    </w:p>
    <w:tbl>
      <w:tblPr>
        <w:tblW w:w="8280" w:type="dxa"/>
        <w:tblInd w:w="55" w:type="dxa"/>
        <w:tblCellMar>
          <w:left w:w="70" w:type="dxa"/>
          <w:right w:w="70" w:type="dxa"/>
        </w:tblCellMar>
        <w:tblLook w:val="04A0"/>
      </w:tblPr>
      <w:tblGrid>
        <w:gridCol w:w="2060"/>
        <w:gridCol w:w="3740"/>
        <w:gridCol w:w="809"/>
        <w:gridCol w:w="760"/>
        <w:gridCol w:w="988"/>
      </w:tblGrid>
      <w:tr w:rsidR="00CC3D5F" w:rsidRPr="00CC3D5F" w:rsidTr="00CC3D5F">
        <w:trPr>
          <w:trHeight w:val="315"/>
        </w:trPr>
        <w:tc>
          <w:tcPr>
            <w:tcW w:w="2060" w:type="dxa"/>
            <w:tcBorders>
              <w:top w:val="single" w:sz="4" w:space="0" w:color="auto"/>
              <w:left w:val="single" w:sz="4" w:space="0" w:color="auto"/>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Grupo</w:t>
            </w:r>
          </w:p>
        </w:tc>
        <w:tc>
          <w:tcPr>
            <w:tcW w:w="3740" w:type="dxa"/>
            <w:tcBorders>
              <w:top w:val="single" w:sz="4" w:space="0" w:color="auto"/>
              <w:left w:val="nil"/>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Nome da Conta</w:t>
            </w:r>
          </w:p>
        </w:tc>
        <w:tc>
          <w:tcPr>
            <w:tcW w:w="760" w:type="dxa"/>
            <w:tcBorders>
              <w:top w:val="single" w:sz="4" w:space="0" w:color="auto"/>
              <w:left w:val="nil"/>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2014</w:t>
            </w:r>
          </w:p>
        </w:tc>
        <w:tc>
          <w:tcPr>
            <w:tcW w:w="760" w:type="dxa"/>
            <w:tcBorders>
              <w:top w:val="single" w:sz="4" w:space="0" w:color="auto"/>
              <w:left w:val="nil"/>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2013</w:t>
            </w:r>
          </w:p>
        </w:tc>
        <w:tc>
          <w:tcPr>
            <w:tcW w:w="960" w:type="dxa"/>
            <w:tcBorders>
              <w:top w:val="single" w:sz="4" w:space="0" w:color="auto"/>
              <w:left w:val="nil"/>
              <w:bottom w:val="single" w:sz="4" w:space="0" w:color="auto"/>
              <w:right w:val="single" w:sz="4" w:space="0" w:color="auto"/>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Variação</w:t>
            </w:r>
          </w:p>
        </w:tc>
      </w:tr>
      <w:tr w:rsidR="00CC3D5F" w:rsidRPr="00CC3D5F" w:rsidTr="00CC3D5F">
        <w:trPr>
          <w:trHeight w:val="31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Ativo circulante</w:t>
            </w:r>
          </w:p>
        </w:tc>
        <w:tc>
          <w:tcPr>
            <w:tcW w:w="374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Instrumentos de créditos derivativos</w:t>
            </w:r>
          </w:p>
        </w:tc>
        <w:tc>
          <w:tcPr>
            <w:tcW w:w="76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10.979</w:t>
            </w:r>
          </w:p>
        </w:tc>
        <w:tc>
          <w:tcPr>
            <w:tcW w:w="76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6.220</w:t>
            </w:r>
          </w:p>
        </w:tc>
        <w:tc>
          <w:tcPr>
            <w:tcW w:w="96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77%</w:t>
            </w:r>
          </w:p>
        </w:tc>
      </w:tr>
    </w:tbl>
    <w:p w:rsidR="00CC3D5F" w:rsidRDefault="00CC3D5F" w:rsidP="00CC3D5F">
      <w:pPr>
        <w:spacing w:after="0" w:line="360" w:lineRule="auto"/>
        <w:jc w:val="both"/>
        <w:rPr>
          <w:rFonts w:ascii="Arial" w:hAnsi="Arial" w:cs="Arial"/>
          <w:color w:val="000000"/>
          <w:sz w:val="24"/>
          <w:szCs w:val="24"/>
          <w:shd w:val="clear" w:color="auto" w:fill="FFFFFF"/>
        </w:rPr>
      </w:pPr>
    </w:p>
    <w:p w:rsidR="009C686C" w:rsidRPr="00C353DF" w:rsidRDefault="009C686C" w:rsidP="00CC3D5F">
      <w:pPr>
        <w:spacing w:after="0" w:line="360" w:lineRule="auto"/>
        <w:ind w:firstLine="708"/>
        <w:jc w:val="both"/>
        <w:rPr>
          <w:rFonts w:ascii="Arial" w:hAnsi="Arial" w:cs="Arial"/>
          <w:sz w:val="24"/>
          <w:szCs w:val="24"/>
        </w:rPr>
      </w:pPr>
      <w:r w:rsidRPr="00C353DF">
        <w:rPr>
          <w:rFonts w:ascii="Arial" w:hAnsi="Arial" w:cs="Arial"/>
          <w:color w:val="000000"/>
          <w:sz w:val="24"/>
          <w:szCs w:val="24"/>
          <w:shd w:val="clear" w:color="auto" w:fill="FFFFFF"/>
        </w:rPr>
        <w:t>No Balanço, o índice cresceu e a</w:t>
      </w:r>
      <w:r w:rsidRPr="00C353DF">
        <w:rPr>
          <w:rFonts w:ascii="Arial" w:hAnsi="Arial" w:cs="Arial"/>
          <w:sz w:val="24"/>
          <w:szCs w:val="24"/>
        </w:rPr>
        <w:t xml:space="preserve"> utilização de instrumentos financeiros derivativos como forma de minimizar os riscos de mercado originados na flutuação das taxas de juros, do câmbio, dos preços dos ativos, entre outros, constitui uma ferramenta imprescindível na gestão financeira das instituições, haja vista </w:t>
      </w:r>
      <w:proofErr w:type="gramStart"/>
      <w:r w:rsidRPr="00C353DF">
        <w:rPr>
          <w:rFonts w:ascii="Arial" w:hAnsi="Arial" w:cs="Arial"/>
          <w:sz w:val="24"/>
          <w:szCs w:val="24"/>
        </w:rPr>
        <w:t>a</w:t>
      </w:r>
      <w:proofErr w:type="gramEnd"/>
      <w:r w:rsidRPr="00C353DF">
        <w:rPr>
          <w:rFonts w:ascii="Arial" w:hAnsi="Arial" w:cs="Arial"/>
          <w:sz w:val="24"/>
          <w:szCs w:val="24"/>
        </w:rPr>
        <w:t xml:space="preserve"> </w:t>
      </w:r>
      <w:proofErr w:type="gramStart"/>
      <w:r w:rsidRPr="00C353DF">
        <w:rPr>
          <w:rFonts w:ascii="Arial" w:hAnsi="Arial" w:cs="Arial"/>
          <w:sz w:val="24"/>
          <w:szCs w:val="24"/>
        </w:rPr>
        <w:t>evolução</w:t>
      </w:r>
      <w:proofErr w:type="gramEnd"/>
      <w:r w:rsidRPr="00C353DF">
        <w:rPr>
          <w:rFonts w:ascii="Arial" w:hAnsi="Arial" w:cs="Arial"/>
          <w:sz w:val="24"/>
          <w:szCs w:val="24"/>
        </w:rPr>
        <w:t xml:space="preserve"> e diversificação dos produtos utilizados no mercado financeiro globalizado.</w:t>
      </w:r>
    </w:p>
    <w:p w:rsidR="00CC3D5F" w:rsidRDefault="00CC3D5F" w:rsidP="00C353DF">
      <w:pPr>
        <w:spacing w:after="0" w:line="360" w:lineRule="auto"/>
        <w:jc w:val="both"/>
        <w:rPr>
          <w:rFonts w:ascii="Arial" w:hAnsi="Arial" w:cs="Arial"/>
          <w:sz w:val="24"/>
          <w:szCs w:val="24"/>
        </w:rPr>
      </w:pPr>
    </w:p>
    <w:p w:rsidR="008D73FC" w:rsidRPr="00C353DF" w:rsidRDefault="00072DC2" w:rsidP="00C353DF">
      <w:pPr>
        <w:spacing w:after="0" w:line="360" w:lineRule="auto"/>
        <w:jc w:val="both"/>
        <w:rPr>
          <w:rFonts w:ascii="Arial" w:hAnsi="Arial" w:cs="Arial"/>
          <w:sz w:val="24"/>
          <w:szCs w:val="24"/>
        </w:rPr>
      </w:pPr>
      <w:r w:rsidRPr="00C353DF">
        <w:rPr>
          <w:rFonts w:ascii="Arial" w:hAnsi="Arial" w:cs="Arial"/>
          <w:sz w:val="24"/>
          <w:szCs w:val="24"/>
        </w:rPr>
        <w:t>Passivo circulante – depósito à vista</w:t>
      </w:r>
    </w:p>
    <w:p w:rsidR="009F49D4" w:rsidRPr="00C353DF" w:rsidRDefault="00072DC2" w:rsidP="00CC3D5F">
      <w:pPr>
        <w:pStyle w:val="textosemformatao1"/>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t>Conceituam-se como de livre movimentação os depósitos à vista mantidos por pessoas físicas e jurídicas de direito público e privado. </w:t>
      </w:r>
      <w:r w:rsidRPr="00C353DF">
        <w:rPr>
          <w:rStyle w:val="apple-converted-space"/>
          <w:rFonts w:ascii="Arial" w:hAnsi="Arial" w:cs="Arial"/>
          <w:color w:val="000000"/>
        </w:rPr>
        <w:t> </w:t>
      </w:r>
      <w:r w:rsidRPr="00C353DF">
        <w:rPr>
          <w:rFonts w:ascii="Arial" w:hAnsi="Arial" w:cs="Arial"/>
          <w:color w:val="000000"/>
        </w:rPr>
        <w:t>Para fins deste Plano, consideram-se também como depósitos à vista os saldos das contas DEPÓSITOS VINCULADOS, CHEQUES MARCADOS, </w:t>
      </w:r>
      <w:r w:rsidRPr="00C353DF">
        <w:rPr>
          <w:rStyle w:val="apple-converted-space"/>
          <w:rFonts w:ascii="Arial" w:hAnsi="Arial" w:cs="Arial"/>
          <w:color w:val="000000"/>
        </w:rPr>
        <w:t> </w:t>
      </w:r>
      <w:r w:rsidRPr="00C353DF">
        <w:rPr>
          <w:rFonts w:ascii="Arial" w:hAnsi="Arial" w:cs="Arial"/>
          <w:color w:val="000000"/>
        </w:rPr>
        <w:t>CHEQUES-SALÁRIO, CHEQUES-DE</w:t>
      </w:r>
      <w:proofErr w:type="gramStart"/>
      <w:r w:rsidRPr="00C353DF">
        <w:rPr>
          <w:rFonts w:ascii="Arial" w:hAnsi="Arial" w:cs="Arial"/>
          <w:color w:val="000000"/>
        </w:rPr>
        <w:t>-</w:t>
      </w:r>
      <w:proofErr w:type="gramEnd"/>
      <w:r w:rsidRPr="00C353DF">
        <w:rPr>
          <w:rFonts w:ascii="Arial" w:hAnsi="Arial" w:cs="Arial"/>
          <w:color w:val="000000"/>
        </w:rPr>
        <w:t>VIAGEM, DEPÓSITOS OBRIGATÓRIOS, DEPÓSITOS PARA INVESTIMENTOS, DEPÓSITOS ESPECIAIS DO TESOURO NACIONAL, SALDOS CREDORES EM CONTAS DE EMPRÉSTIMOS E FINANCIAMENTOS, bem como os depósitos a prazo não liquidados no vencimento.</w:t>
      </w:r>
    </w:p>
    <w:p w:rsidR="00072DC2" w:rsidRPr="00C353DF" w:rsidRDefault="00072DC2" w:rsidP="00CC3D5F">
      <w:pPr>
        <w:pStyle w:val="textosemformatao1"/>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lastRenderedPageBreak/>
        <w:t>São depósitos de governos os mantidos por órgãos, entidades ou empresas da</w:t>
      </w:r>
      <w:r w:rsidR="009F49D4" w:rsidRPr="00C353DF">
        <w:rPr>
          <w:rFonts w:ascii="Arial" w:hAnsi="Arial" w:cs="Arial"/>
          <w:color w:val="000000"/>
        </w:rPr>
        <w:t xml:space="preserve"> administração pública direta e </w:t>
      </w:r>
      <w:r w:rsidRPr="00C353DF">
        <w:rPr>
          <w:rFonts w:ascii="Arial" w:hAnsi="Arial" w:cs="Arial"/>
          <w:color w:val="000000"/>
        </w:rPr>
        <w:t xml:space="preserve">indireta - exceto instituições financeiras </w:t>
      </w:r>
      <w:r w:rsidR="009F49D4" w:rsidRPr="00C353DF">
        <w:rPr>
          <w:rFonts w:ascii="Arial" w:hAnsi="Arial" w:cs="Arial"/>
          <w:color w:val="000000"/>
        </w:rPr>
        <w:t>–</w:t>
      </w:r>
      <w:r w:rsidRPr="00C353DF">
        <w:rPr>
          <w:rFonts w:ascii="Arial" w:hAnsi="Arial" w:cs="Arial"/>
          <w:color w:val="000000"/>
        </w:rPr>
        <w:t xml:space="preserve"> que</w:t>
      </w:r>
      <w:r w:rsidR="009F49D4" w:rsidRPr="00C353DF">
        <w:rPr>
          <w:rFonts w:ascii="Arial" w:hAnsi="Arial" w:cs="Arial"/>
          <w:color w:val="000000"/>
        </w:rPr>
        <w:t xml:space="preserve"> </w:t>
      </w:r>
      <w:r w:rsidRPr="00C353DF">
        <w:rPr>
          <w:rFonts w:ascii="Arial" w:hAnsi="Arial" w:cs="Arial"/>
          <w:color w:val="000000"/>
        </w:rPr>
        <w:t xml:space="preserve">prestem serviços públicos de natureza governamental, para consumo coletivo, fora do mercado, utilizando fundos que resultem basicamente da imposição de </w:t>
      </w:r>
      <w:proofErr w:type="gramStart"/>
      <w:r w:rsidRPr="00C353DF">
        <w:rPr>
          <w:rFonts w:ascii="Arial" w:hAnsi="Arial" w:cs="Arial"/>
          <w:color w:val="000000"/>
        </w:rPr>
        <w:t>impostos</w:t>
      </w:r>
      <w:proofErr w:type="gramEnd"/>
      <w:r w:rsidRPr="00C353DF">
        <w:rPr>
          <w:rFonts w:ascii="Arial" w:hAnsi="Arial" w:cs="Arial"/>
          <w:color w:val="000000"/>
        </w:rPr>
        <w:t xml:space="preserve"> </w:t>
      </w:r>
      <w:proofErr w:type="gramStart"/>
      <w:r w:rsidRPr="00C353DF">
        <w:rPr>
          <w:rFonts w:ascii="Arial" w:hAnsi="Arial" w:cs="Arial"/>
          <w:color w:val="000000"/>
        </w:rPr>
        <w:t>e</w:t>
      </w:r>
      <w:proofErr w:type="gramEnd"/>
      <w:r w:rsidRPr="00C353DF">
        <w:rPr>
          <w:rFonts w:ascii="Arial" w:hAnsi="Arial" w:cs="Arial"/>
          <w:color w:val="000000"/>
        </w:rPr>
        <w:t xml:space="preserve"> taxas</w:t>
      </w:r>
      <w:r w:rsidR="009F49D4" w:rsidRPr="00C353DF">
        <w:rPr>
          <w:rFonts w:ascii="Arial" w:hAnsi="Arial" w:cs="Arial"/>
          <w:color w:val="000000"/>
        </w:rPr>
        <w:t xml:space="preserve"> e que também </w:t>
      </w:r>
      <w:r w:rsidRPr="00C353DF">
        <w:rPr>
          <w:rFonts w:ascii="Arial" w:hAnsi="Arial" w:cs="Arial"/>
          <w:color w:val="000000"/>
        </w:rPr>
        <w:t>exerçam atividades empresariais, compreendendo unidades econômicas de propriedade do governo ou sob seu controle, que atuem no sentido de produzir ou vender ao público bens e serviços geralmente a preços de mercado, em larga escala.</w:t>
      </w:r>
    </w:p>
    <w:p w:rsidR="009F49D4" w:rsidRPr="00C353DF" w:rsidRDefault="00072DC2" w:rsidP="00CC3D5F">
      <w:pPr>
        <w:pStyle w:val="textosemformatao1"/>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t xml:space="preserve"> Os cheques visados, para caracterizar o adequado bloqueio ou indisponibilidade de recursos, contabilizam-se no subtítulo impessoal de uso interno Cheques Visados, nas contas de depósitos ou empréstimos contra as quais </w:t>
      </w:r>
      <w:proofErr w:type="gramStart"/>
      <w:r w:rsidRPr="00C353DF">
        <w:rPr>
          <w:rFonts w:ascii="Arial" w:hAnsi="Arial" w:cs="Arial"/>
          <w:color w:val="000000"/>
        </w:rPr>
        <w:t>foram</w:t>
      </w:r>
      <w:proofErr w:type="gramEnd"/>
      <w:r w:rsidRPr="00C353DF">
        <w:rPr>
          <w:rFonts w:ascii="Arial" w:hAnsi="Arial" w:cs="Arial"/>
          <w:color w:val="000000"/>
        </w:rPr>
        <w:t xml:space="preserve"> </w:t>
      </w:r>
      <w:proofErr w:type="gramStart"/>
      <w:r w:rsidRPr="00C353DF">
        <w:rPr>
          <w:rFonts w:ascii="Arial" w:hAnsi="Arial" w:cs="Arial"/>
          <w:color w:val="000000"/>
        </w:rPr>
        <w:t>sacados</w:t>
      </w:r>
      <w:proofErr w:type="gramEnd"/>
      <w:r w:rsidRPr="00C353DF">
        <w:rPr>
          <w:rFonts w:ascii="Arial" w:hAnsi="Arial" w:cs="Arial"/>
          <w:color w:val="000000"/>
        </w:rPr>
        <w:t xml:space="preserve">, a fim de que permaneça inalterado o saldo do respectivo título contábil. </w:t>
      </w:r>
    </w:p>
    <w:p w:rsidR="009F49D4" w:rsidRPr="00C353DF" w:rsidRDefault="00072DC2" w:rsidP="00CC3D5F">
      <w:pPr>
        <w:pStyle w:val="textosemformatao1"/>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t xml:space="preserve"> Os cheques marcados, pelo fato de a marcação exonerar os demais respo</w:t>
      </w:r>
      <w:r w:rsidR="009F49D4" w:rsidRPr="00C353DF">
        <w:rPr>
          <w:rFonts w:ascii="Arial" w:hAnsi="Arial" w:cs="Arial"/>
          <w:color w:val="000000"/>
        </w:rPr>
        <w:t xml:space="preserve">nsáveis, afora o sacado, embora </w:t>
      </w:r>
      <w:r w:rsidRPr="00C353DF">
        <w:rPr>
          <w:rFonts w:ascii="Arial" w:hAnsi="Arial" w:cs="Arial"/>
          <w:color w:val="000000"/>
        </w:rPr>
        <w:t>persistindo as características de depósito, contabilizam-se a débito da conta pertinente e a crédito de CHEQUES MARCADOS, do Passivo Circulante, do subgrupo Depósitos.</w:t>
      </w:r>
    </w:p>
    <w:p w:rsidR="009F49D4" w:rsidRPr="00C353DF" w:rsidRDefault="00072DC2" w:rsidP="00CC3D5F">
      <w:pPr>
        <w:pStyle w:val="textosemformatao1"/>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t xml:space="preserve">A instituição autorizada a emitir cheques de viagem deve utilizar sistema de registro que evidencie o montante dos cheques em circulação. Os valores correspondentes aos cheques emitidos pela própria instituição, por solicitação de empresas clientes para a utilização no pagamento de salários de seus empregados, são transferidos das contas de Depósitos das empresas para CHEQUES-SALÁRIOS, mantendo-se o controle por empresa </w:t>
      </w:r>
      <w:proofErr w:type="gramStart"/>
      <w:r w:rsidRPr="00C353DF">
        <w:rPr>
          <w:rFonts w:ascii="Arial" w:hAnsi="Arial" w:cs="Arial"/>
          <w:color w:val="000000"/>
        </w:rPr>
        <w:t>a nível de</w:t>
      </w:r>
      <w:proofErr w:type="gramEnd"/>
      <w:r w:rsidRPr="00C353DF">
        <w:rPr>
          <w:rFonts w:ascii="Arial" w:hAnsi="Arial" w:cs="Arial"/>
          <w:color w:val="000000"/>
        </w:rPr>
        <w:t xml:space="preserve"> subtítulo de uso interno. </w:t>
      </w:r>
    </w:p>
    <w:p w:rsidR="009F49D4" w:rsidRDefault="00072DC2" w:rsidP="00CC3D5F">
      <w:pPr>
        <w:pStyle w:val="textosemformatao1"/>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t xml:space="preserve">Os saldos devedores em contas de depósitos devem ser inscritos diariamente pelo valor global em ADIANTAMENTOS A DEPOSITANTES, do subgrupo Operações de Crédito, devendo ser novamente levados a Depósitos </w:t>
      </w:r>
      <w:r w:rsidR="009F49D4" w:rsidRPr="00C353DF">
        <w:rPr>
          <w:rFonts w:ascii="Arial" w:hAnsi="Arial" w:cs="Arial"/>
          <w:color w:val="000000"/>
        </w:rPr>
        <w:t>no dia útil imediato.</w:t>
      </w:r>
    </w:p>
    <w:p w:rsidR="00CC3D5F" w:rsidRDefault="00CC3D5F" w:rsidP="00CC3D5F">
      <w:pPr>
        <w:pStyle w:val="textosemformatao1"/>
        <w:shd w:val="clear" w:color="auto" w:fill="FFFFFF"/>
        <w:spacing w:before="0" w:beforeAutospacing="0" w:after="0" w:afterAutospacing="0" w:line="360" w:lineRule="auto"/>
        <w:jc w:val="both"/>
        <w:rPr>
          <w:rFonts w:ascii="Arial" w:hAnsi="Arial" w:cs="Arial"/>
          <w:color w:val="000000"/>
        </w:rPr>
      </w:pPr>
    </w:p>
    <w:tbl>
      <w:tblPr>
        <w:tblW w:w="6400" w:type="dxa"/>
        <w:tblInd w:w="55" w:type="dxa"/>
        <w:tblCellMar>
          <w:left w:w="70" w:type="dxa"/>
          <w:right w:w="70" w:type="dxa"/>
        </w:tblCellMar>
        <w:tblLook w:val="04A0"/>
      </w:tblPr>
      <w:tblGrid>
        <w:gridCol w:w="1900"/>
        <w:gridCol w:w="1780"/>
        <w:gridCol w:w="931"/>
        <w:gridCol w:w="931"/>
        <w:gridCol w:w="988"/>
      </w:tblGrid>
      <w:tr w:rsidR="00CC3D5F" w:rsidRPr="00CC3D5F" w:rsidTr="00CC3D5F">
        <w:trPr>
          <w:trHeight w:val="315"/>
        </w:trPr>
        <w:tc>
          <w:tcPr>
            <w:tcW w:w="1900" w:type="dxa"/>
            <w:tcBorders>
              <w:top w:val="single" w:sz="4" w:space="0" w:color="auto"/>
              <w:left w:val="single" w:sz="4" w:space="0" w:color="auto"/>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Grupo</w:t>
            </w:r>
          </w:p>
        </w:tc>
        <w:tc>
          <w:tcPr>
            <w:tcW w:w="1780" w:type="dxa"/>
            <w:tcBorders>
              <w:top w:val="single" w:sz="4" w:space="0" w:color="auto"/>
              <w:left w:val="nil"/>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Nome da Conta</w:t>
            </w:r>
          </w:p>
        </w:tc>
        <w:tc>
          <w:tcPr>
            <w:tcW w:w="880" w:type="dxa"/>
            <w:tcBorders>
              <w:top w:val="single" w:sz="4" w:space="0" w:color="auto"/>
              <w:left w:val="nil"/>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2014</w:t>
            </w:r>
          </w:p>
        </w:tc>
        <w:tc>
          <w:tcPr>
            <w:tcW w:w="880" w:type="dxa"/>
            <w:tcBorders>
              <w:top w:val="single" w:sz="4" w:space="0" w:color="auto"/>
              <w:left w:val="nil"/>
              <w:bottom w:val="single" w:sz="4" w:space="0" w:color="auto"/>
              <w:right w:val="single" w:sz="4" w:space="0" w:color="FFFFFF"/>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2013</w:t>
            </w:r>
          </w:p>
        </w:tc>
        <w:tc>
          <w:tcPr>
            <w:tcW w:w="960" w:type="dxa"/>
            <w:tcBorders>
              <w:top w:val="single" w:sz="4" w:space="0" w:color="auto"/>
              <w:left w:val="nil"/>
              <w:bottom w:val="single" w:sz="4" w:space="0" w:color="auto"/>
              <w:right w:val="single" w:sz="4" w:space="0" w:color="auto"/>
            </w:tcBorders>
            <w:shd w:val="clear" w:color="000000" w:fill="000000"/>
            <w:noWrap/>
            <w:vAlign w:val="center"/>
            <w:hideMark/>
          </w:tcPr>
          <w:p w:rsidR="00CC3D5F" w:rsidRPr="00CC3D5F" w:rsidRDefault="00CC3D5F" w:rsidP="00CC3D5F">
            <w:pPr>
              <w:spacing w:after="0" w:line="240" w:lineRule="auto"/>
              <w:jc w:val="center"/>
              <w:rPr>
                <w:rFonts w:ascii="Calibri" w:eastAsia="Times New Roman" w:hAnsi="Calibri" w:cs="Times New Roman"/>
                <w:color w:val="FFFFFF"/>
                <w:sz w:val="24"/>
                <w:szCs w:val="24"/>
                <w:lang w:eastAsia="pt-BR"/>
              </w:rPr>
            </w:pPr>
            <w:r w:rsidRPr="00CC3D5F">
              <w:rPr>
                <w:rFonts w:ascii="Calibri" w:eastAsia="Times New Roman" w:hAnsi="Calibri" w:cs="Times New Roman"/>
                <w:color w:val="FFFFFF"/>
                <w:sz w:val="24"/>
                <w:szCs w:val="24"/>
                <w:lang w:eastAsia="pt-BR"/>
              </w:rPr>
              <w:t>Variação</w:t>
            </w:r>
          </w:p>
        </w:tc>
      </w:tr>
      <w:tr w:rsidR="00CC3D5F" w:rsidRPr="00CC3D5F" w:rsidTr="00CC3D5F">
        <w:trPr>
          <w:trHeight w:val="31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CC3D5F" w:rsidRPr="00CC3D5F" w:rsidRDefault="00E302A7"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Passivo</w:t>
            </w:r>
            <w:r w:rsidR="00CC3D5F" w:rsidRPr="00CC3D5F">
              <w:rPr>
                <w:rFonts w:ascii="Calibri" w:eastAsia="Times New Roman" w:hAnsi="Calibri" w:cs="Times New Roman"/>
                <w:color w:val="000000"/>
                <w:sz w:val="24"/>
                <w:szCs w:val="24"/>
                <w:lang w:eastAsia="pt-BR"/>
              </w:rPr>
              <w:t xml:space="preserve"> circulante</w:t>
            </w:r>
          </w:p>
        </w:tc>
        <w:tc>
          <w:tcPr>
            <w:tcW w:w="1780" w:type="dxa"/>
            <w:tcBorders>
              <w:top w:val="nil"/>
              <w:left w:val="nil"/>
              <w:bottom w:val="single" w:sz="4" w:space="0" w:color="auto"/>
              <w:right w:val="single" w:sz="4" w:space="0" w:color="auto"/>
            </w:tcBorders>
            <w:shd w:val="clear" w:color="auto" w:fill="auto"/>
            <w:noWrap/>
            <w:vAlign w:val="center"/>
            <w:hideMark/>
          </w:tcPr>
          <w:p w:rsidR="00CC3D5F" w:rsidRPr="00CC3D5F" w:rsidRDefault="00E302A7"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Depósitos</w:t>
            </w:r>
            <w:r w:rsidR="00CC3D5F" w:rsidRPr="00CC3D5F">
              <w:rPr>
                <w:rFonts w:ascii="Calibri" w:eastAsia="Times New Roman" w:hAnsi="Calibri" w:cs="Times New Roman"/>
                <w:color w:val="000000"/>
                <w:sz w:val="24"/>
                <w:szCs w:val="24"/>
                <w:lang w:eastAsia="pt-BR"/>
              </w:rPr>
              <w:t xml:space="preserve"> a vista</w:t>
            </w:r>
          </w:p>
        </w:tc>
        <w:tc>
          <w:tcPr>
            <w:tcW w:w="88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619.381</w:t>
            </w:r>
          </w:p>
        </w:tc>
        <w:tc>
          <w:tcPr>
            <w:tcW w:w="88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576.420</w:t>
            </w:r>
          </w:p>
        </w:tc>
        <w:tc>
          <w:tcPr>
            <w:tcW w:w="960" w:type="dxa"/>
            <w:tcBorders>
              <w:top w:val="nil"/>
              <w:left w:val="nil"/>
              <w:bottom w:val="single" w:sz="4" w:space="0" w:color="auto"/>
              <w:right w:val="single" w:sz="4" w:space="0" w:color="auto"/>
            </w:tcBorders>
            <w:shd w:val="clear" w:color="auto" w:fill="auto"/>
            <w:noWrap/>
            <w:vAlign w:val="center"/>
            <w:hideMark/>
          </w:tcPr>
          <w:p w:rsidR="00CC3D5F" w:rsidRPr="00CC3D5F" w:rsidRDefault="00CC3D5F" w:rsidP="00CC3D5F">
            <w:pPr>
              <w:spacing w:after="0" w:line="240" w:lineRule="auto"/>
              <w:jc w:val="center"/>
              <w:rPr>
                <w:rFonts w:ascii="Calibri" w:eastAsia="Times New Roman" w:hAnsi="Calibri" w:cs="Times New Roman"/>
                <w:color w:val="000000"/>
                <w:sz w:val="24"/>
                <w:szCs w:val="24"/>
                <w:lang w:eastAsia="pt-BR"/>
              </w:rPr>
            </w:pPr>
            <w:r w:rsidRPr="00CC3D5F">
              <w:rPr>
                <w:rFonts w:ascii="Calibri" w:eastAsia="Times New Roman" w:hAnsi="Calibri" w:cs="Times New Roman"/>
                <w:color w:val="000000"/>
                <w:sz w:val="24"/>
                <w:szCs w:val="24"/>
                <w:lang w:eastAsia="pt-BR"/>
              </w:rPr>
              <w:t>7%</w:t>
            </w:r>
          </w:p>
        </w:tc>
      </w:tr>
    </w:tbl>
    <w:p w:rsidR="00CC3D5F" w:rsidRPr="00C353DF" w:rsidRDefault="00CC3D5F" w:rsidP="00CC3D5F">
      <w:pPr>
        <w:pStyle w:val="textosemformatao1"/>
        <w:shd w:val="clear" w:color="auto" w:fill="FFFFFF"/>
        <w:spacing w:before="0" w:beforeAutospacing="0" w:after="0" w:afterAutospacing="0" w:line="360" w:lineRule="auto"/>
        <w:jc w:val="both"/>
        <w:rPr>
          <w:rFonts w:ascii="Arial" w:hAnsi="Arial" w:cs="Arial"/>
          <w:color w:val="000000"/>
        </w:rPr>
      </w:pPr>
    </w:p>
    <w:p w:rsidR="00CD7263" w:rsidRDefault="009F49D4" w:rsidP="00CD7263">
      <w:pPr>
        <w:pStyle w:val="textosemformatao1"/>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t xml:space="preserve">Não </w:t>
      </w:r>
      <w:r w:rsidR="00E302A7">
        <w:rPr>
          <w:rFonts w:ascii="Arial" w:hAnsi="Arial" w:cs="Arial"/>
          <w:color w:val="000000"/>
        </w:rPr>
        <w:t>obstante</w:t>
      </w:r>
      <w:r w:rsidRPr="00C353DF">
        <w:rPr>
          <w:rFonts w:ascii="Arial" w:hAnsi="Arial" w:cs="Arial"/>
          <w:color w:val="000000"/>
        </w:rPr>
        <w:t xml:space="preserve"> a</w:t>
      </w:r>
      <w:r w:rsidR="00072DC2" w:rsidRPr="00C353DF">
        <w:rPr>
          <w:rFonts w:ascii="Arial" w:hAnsi="Arial" w:cs="Arial"/>
          <w:color w:val="000000"/>
        </w:rPr>
        <w:t xml:space="preserve"> instituição deve observar as normas regulamentares específicas sobre adiantamentos </w:t>
      </w:r>
      <w:proofErr w:type="gramStart"/>
      <w:r w:rsidR="00072DC2" w:rsidRPr="00C353DF">
        <w:rPr>
          <w:rFonts w:ascii="Arial" w:hAnsi="Arial" w:cs="Arial"/>
          <w:color w:val="000000"/>
        </w:rPr>
        <w:t>a depositantes</w:t>
      </w:r>
      <w:proofErr w:type="gramEnd"/>
      <w:r w:rsidR="00072DC2" w:rsidRPr="00C353DF">
        <w:rPr>
          <w:rFonts w:ascii="Arial" w:hAnsi="Arial" w:cs="Arial"/>
          <w:color w:val="000000"/>
        </w:rPr>
        <w:t xml:space="preserve"> no que se refere à classificação e </w:t>
      </w:r>
      <w:proofErr w:type="spellStart"/>
      <w:r w:rsidR="00072DC2" w:rsidRPr="00C353DF">
        <w:rPr>
          <w:rFonts w:ascii="Arial" w:hAnsi="Arial" w:cs="Arial"/>
          <w:color w:val="000000"/>
        </w:rPr>
        <w:t>provisionamento</w:t>
      </w:r>
      <w:proofErr w:type="spellEnd"/>
      <w:r w:rsidR="00072DC2" w:rsidRPr="00C353DF">
        <w:rPr>
          <w:rFonts w:ascii="Arial" w:hAnsi="Arial" w:cs="Arial"/>
          <w:color w:val="000000"/>
        </w:rPr>
        <w:t xml:space="preserve"> para créditos de liquidação</w:t>
      </w:r>
      <w:r w:rsidRPr="00C353DF">
        <w:rPr>
          <w:rFonts w:ascii="Arial" w:hAnsi="Arial" w:cs="Arial"/>
          <w:color w:val="000000"/>
        </w:rPr>
        <w:t xml:space="preserve"> duvidosa. </w:t>
      </w:r>
    </w:p>
    <w:p w:rsidR="00384100" w:rsidRPr="00C353DF" w:rsidRDefault="00384100" w:rsidP="00CD7263">
      <w:pPr>
        <w:pStyle w:val="textosemformatao1"/>
        <w:shd w:val="clear" w:color="auto" w:fill="FFFFFF"/>
        <w:spacing w:before="0" w:beforeAutospacing="0" w:after="0" w:afterAutospacing="0" w:line="360" w:lineRule="auto"/>
        <w:jc w:val="both"/>
        <w:rPr>
          <w:rFonts w:ascii="Arial" w:hAnsi="Arial" w:cs="Arial"/>
          <w:color w:val="000000"/>
        </w:rPr>
      </w:pPr>
      <w:r w:rsidRPr="00C353DF">
        <w:rPr>
          <w:rFonts w:ascii="Arial" w:hAnsi="Arial" w:cs="Arial"/>
          <w:color w:val="000000"/>
        </w:rPr>
        <w:lastRenderedPageBreak/>
        <w:t>Passivo circulante – depósitos a prazo</w:t>
      </w:r>
    </w:p>
    <w:p w:rsidR="00384100" w:rsidRDefault="00384100" w:rsidP="00E302A7">
      <w:pPr>
        <w:pStyle w:val="textosemformatao1"/>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t>Os depósitos a prazo, com ou sem emissão de certificado, quando não liquidados no vencimento, devem ser transferidos imediatamente para D</w:t>
      </w:r>
      <w:r w:rsidRPr="00C353DF">
        <w:rPr>
          <w:rFonts w:ascii="Arial" w:hAnsi="Arial" w:cs="Arial"/>
          <w:color w:val="000000"/>
        </w:rPr>
        <w:t xml:space="preserve">EPÓSITOS VINCULADOS. </w:t>
      </w:r>
      <w:r w:rsidRPr="00C353DF">
        <w:rPr>
          <w:rFonts w:ascii="Arial" w:hAnsi="Arial" w:cs="Arial"/>
          <w:color w:val="000000"/>
        </w:rPr>
        <w:t>Os controles contábeis e extracontábeis devem permitir a apuração da exata posição dos depósitos captados, valores, depositantes, vencimento e despesas aprop</w:t>
      </w:r>
      <w:r w:rsidRPr="00C353DF">
        <w:rPr>
          <w:rFonts w:ascii="Arial" w:hAnsi="Arial" w:cs="Arial"/>
          <w:color w:val="000000"/>
        </w:rPr>
        <w:t>riadas em cada período mensal.</w:t>
      </w:r>
    </w:p>
    <w:p w:rsidR="00E302A7" w:rsidRDefault="00E302A7" w:rsidP="00E302A7">
      <w:pPr>
        <w:pStyle w:val="textosemformatao1"/>
        <w:shd w:val="clear" w:color="auto" w:fill="FFFFFF"/>
        <w:spacing w:before="0" w:beforeAutospacing="0" w:after="0" w:afterAutospacing="0" w:line="360" w:lineRule="auto"/>
        <w:jc w:val="both"/>
        <w:rPr>
          <w:rFonts w:ascii="Arial" w:hAnsi="Arial" w:cs="Arial"/>
          <w:color w:val="000000"/>
        </w:rPr>
      </w:pPr>
    </w:p>
    <w:tbl>
      <w:tblPr>
        <w:tblW w:w="6820" w:type="dxa"/>
        <w:tblInd w:w="55" w:type="dxa"/>
        <w:tblCellMar>
          <w:left w:w="70" w:type="dxa"/>
          <w:right w:w="70" w:type="dxa"/>
        </w:tblCellMar>
        <w:tblLook w:val="04A0"/>
      </w:tblPr>
      <w:tblGrid>
        <w:gridCol w:w="1900"/>
        <w:gridCol w:w="1840"/>
        <w:gridCol w:w="1113"/>
        <w:gridCol w:w="1113"/>
        <w:gridCol w:w="988"/>
      </w:tblGrid>
      <w:tr w:rsidR="00E302A7" w:rsidRPr="00E302A7" w:rsidTr="00E302A7">
        <w:trPr>
          <w:trHeight w:val="315"/>
        </w:trPr>
        <w:tc>
          <w:tcPr>
            <w:tcW w:w="1900" w:type="dxa"/>
            <w:tcBorders>
              <w:top w:val="single" w:sz="4" w:space="0" w:color="auto"/>
              <w:left w:val="single" w:sz="4" w:space="0" w:color="auto"/>
              <w:bottom w:val="single" w:sz="4" w:space="0" w:color="auto"/>
              <w:right w:val="single" w:sz="4" w:space="0" w:color="FFFFFF"/>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Grupo</w:t>
            </w:r>
          </w:p>
        </w:tc>
        <w:tc>
          <w:tcPr>
            <w:tcW w:w="1840" w:type="dxa"/>
            <w:tcBorders>
              <w:top w:val="single" w:sz="4" w:space="0" w:color="auto"/>
              <w:left w:val="nil"/>
              <w:bottom w:val="single" w:sz="4" w:space="0" w:color="auto"/>
              <w:right w:val="single" w:sz="4" w:space="0" w:color="FFFFFF"/>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Nome da Conta</w:t>
            </w:r>
          </w:p>
        </w:tc>
        <w:tc>
          <w:tcPr>
            <w:tcW w:w="1060" w:type="dxa"/>
            <w:tcBorders>
              <w:top w:val="single" w:sz="4" w:space="0" w:color="auto"/>
              <w:left w:val="nil"/>
              <w:bottom w:val="single" w:sz="4" w:space="0" w:color="auto"/>
              <w:right w:val="single" w:sz="4" w:space="0" w:color="FFFFFF"/>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2014</w:t>
            </w:r>
          </w:p>
        </w:tc>
        <w:tc>
          <w:tcPr>
            <w:tcW w:w="1060" w:type="dxa"/>
            <w:tcBorders>
              <w:top w:val="single" w:sz="4" w:space="0" w:color="auto"/>
              <w:left w:val="nil"/>
              <w:bottom w:val="single" w:sz="4" w:space="0" w:color="auto"/>
              <w:right w:val="single" w:sz="4" w:space="0" w:color="FFFFFF"/>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2013</w:t>
            </w:r>
          </w:p>
        </w:tc>
        <w:tc>
          <w:tcPr>
            <w:tcW w:w="960" w:type="dxa"/>
            <w:tcBorders>
              <w:top w:val="single" w:sz="4" w:space="0" w:color="auto"/>
              <w:left w:val="nil"/>
              <w:bottom w:val="single" w:sz="4" w:space="0" w:color="auto"/>
              <w:right w:val="single" w:sz="4" w:space="0" w:color="auto"/>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Variação</w:t>
            </w:r>
          </w:p>
        </w:tc>
      </w:tr>
      <w:tr w:rsidR="00E302A7" w:rsidRPr="00E302A7" w:rsidTr="00E302A7">
        <w:trPr>
          <w:trHeight w:val="31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Passivo circulante</w:t>
            </w:r>
          </w:p>
        </w:tc>
        <w:tc>
          <w:tcPr>
            <w:tcW w:w="1840" w:type="dxa"/>
            <w:tcBorders>
              <w:top w:val="nil"/>
              <w:left w:val="nil"/>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Depósitos a prazo</w:t>
            </w:r>
          </w:p>
        </w:tc>
        <w:tc>
          <w:tcPr>
            <w:tcW w:w="1060" w:type="dxa"/>
            <w:tcBorders>
              <w:top w:val="nil"/>
              <w:left w:val="nil"/>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2.181.443</w:t>
            </w:r>
          </w:p>
        </w:tc>
        <w:tc>
          <w:tcPr>
            <w:tcW w:w="1060" w:type="dxa"/>
            <w:tcBorders>
              <w:top w:val="nil"/>
              <w:left w:val="nil"/>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1.237.029</w:t>
            </w:r>
          </w:p>
        </w:tc>
        <w:tc>
          <w:tcPr>
            <w:tcW w:w="960" w:type="dxa"/>
            <w:tcBorders>
              <w:top w:val="nil"/>
              <w:left w:val="nil"/>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76%</w:t>
            </w:r>
          </w:p>
        </w:tc>
      </w:tr>
    </w:tbl>
    <w:p w:rsidR="00E302A7" w:rsidRPr="00C353DF" w:rsidRDefault="00E302A7" w:rsidP="00E302A7">
      <w:pPr>
        <w:pStyle w:val="textosemformatao1"/>
        <w:shd w:val="clear" w:color="auto" w:fill="FFFFFF"/>
        <w:spacing w:before="0" w:beforeAutospacing="0" w:after="0" w:afterAutospacing="0" w:line="360" w:lineRule="auto"/>
        <w:jc w:val="both"/>
        <w:rPr>
          <w:rFonts w:ascii="Arial" w:hAnsi="Arial" w:cs="Arial"/>
          <w:color w:val="000000"/>
        </w:rPr>
      </w:pPr>
    </w:p>
    <w:p w:rsidR="00384100" w:rsidRDefault="00384100" w:rsidP="00E302A7">
      <w:pPr>
        <w:pStyle w:val="textosemformatao1"/>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t xml:space="preserve">Dentre os depósitos apresentados, este foi o que mais variou. Conforme a tabela, houve um crescimento total de </w:t>
      </w:r>
      <w:proofErr w:type="gramStart"/>
      <w:r w:rsidRPr="00C353DF">
        <w:rPr>
          <w:rFonts w:ascii="Arial" w:hAnsi="Arial" w:cs="Arial"/>
          <w:color w:val="000000"/>
        </w:rPr>
        <w:t>cerca de 77</w:t>
      </w:r>
      <w:proofErr w:type="gramEnd"/>
      <w:r w:rsidRPr="00C353DF">
        <w:rPr>
          <w:rFonts w:ascii="Arial" w:hAnsi="Arial" w:cs="Arial"/>
          <w:color w:val="000000"/>
        </w:rPr>
        <w:t>% entre os períodos analisados.</w:t>
      </w:r>
    </w:p>
    <w:p w:rsidR="00E302A7" w:rsidRPr="00C353DF" w:rsidRDefault="00E302A7" w:rsidP="00E302A7">
      <w:pPr>
        <w:pStyle w:val="textosemformatao1"/>
        <w:shd w:val="clear" w:color="auto" w:fill="FFFFFF"/>
        <w:spacing w:before="0" w:beforeAutospacing="0" w:after="0" w:afterAutospacing="0" w:line="360" w:lineRule="auto"/>
        <w:ind w:firstLine="708"/>
        <w:jc w:val="both"/>
        <w:rPr>
          <w:rFonts w:ascii="Arial" w:hAnsi="Arial" w:cs="Arial"/>
          <w:color w:val="000000"/>
        </w:rPr>
      </w:pPr>
    </w:p>
    <w:p w:rsidR="00DD73CF" w:rsidRPr="00C353DF" w:rsidRDefault="00DD73CF" w:rsidP="00C353DF">
      <w:pPr>
        <w:spacing w:after="0" w:line="360" w:lineRule="auto"/>
        <w:jc w:val="both"/>
        <w:rPr>
          <w:rFonts w:ascii="Arial" w:eastAsia="Times New Roman" w:hAnsi="Arial" w:cs="Arial"/>
          <w:color w:val="000000"/>
          <w:sz w:val="24"/>
          <w:szCs w:val="24"/>
          <w:lang w:eastAsia="pt-BR"/>
        </w:rPr>
      </w:pPr>
      <w:r w:rsidRPr="00C353DF">
        <w:rPr>
          <w:rFonts w:ascii="Arial" w:hAnsi="Arial" w:cs="Arial"/>
          <w:color w:val="000000"/>
          <w:sz w:val="24"/>
          <w:szCs w:val="24"/>
        </w:rPr>
        <w:t xml:space="preserve">Passivo não circulante - </w:t>
      </w:r>
      <w:r w:rsidRPr="00C353DF">
        <w:rPr>
          <w:rFonts w:ascii="Arial" w:eastAsia="Times New Roman" w:hAnsi="Arial" w:cs="Arial"/>
          <w:color w:val="000000"/>
          <w:sz w:val="24"/>
          <w:szCs w:val="24"/>
          <w:lang w:eastAsia="pt-BR"/>
        </w:rPr>
        <w:t>recursos de aceites e emissão de títulos</w:t>
      </w:r>
    </w:p>
    <w:p w:rsidR="00FF3876" w:rsidRPr="00C353DF" w:rsidRDefault="00FF3876" w:rsidP="00E302A7">
      <w:pPr>
        <w:pStyle w:val="textosemformatao1"/>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t xml:space="preserve">Quanto a estes recursos contabilizados no passivo não circulante, ou seja, no exigível </w:t>
      </w:r>
      <w:proofErr w:type="gramStart"/>
      <w:r w:rsidRPr="00C353DF">
        <w:rPr>
          <w:rFonts w:ascii="Arial" w:hAnsi="Arial" w:cs="Arial"/>
          <w:color w:val="000000"/>
        </w:rPr>
        <w:t>a longo prazo</w:t>
      </w:r>
      <w:proofErr w:type="gramEnd"/>
      <w:r w:rsidRPr="00C353DF">
        <w:rPr>
          <w:rFonts w:ascii="Arial" w:hAnsi="Arial" w:cs="Arial"/>
          <w:color w:val="000000"/>
        </w:rPr>
        <w:t>, o</w:t>
      </w:r>
      <w:r w:rsidR="00DD73CF" w:rsidRPr="00C353DF">
        <w:rPr>
          <w:rFonts w:ascii="Arial" w:hAnsi="Arial" w:cs="Arial"/>
          <w:color w:val="000000"/>
        </w:rPr>
        <w:t xml:space="preserve">s ágios obtidos por ocasião da colocação de letras de câmbio registram-se no próprio título representativo das obrigações e apropriam-se, mensalmente, "pro rata </w:t>
      </w:r>
      <w:proofErr w:type="spellStart"/>
      <w:r w:rsidR="00DD73CF" w:rsidRPr="00C353DF">
        <w:rPr>
          <w:rFonts w:ascii="Arial" w:hAnsi="Arial" w:cs="Arial"/>
          <w:color w:val="000000"/>
        </w:rPr>
        <w:t>temporis</w:t>
      </w:r>
      <w:proofErr w:type="spellEnd"/>
      <w:r w:rsidR="00DD73CF" w:rsidRPr="00C353DF">
        <w:rPr>
          <w:rFonts w:ascii="Arial" w:hAnsi="Arial" w:cs="Arial"/>
          <w:color w:val="000000"/>
        </w:rPr>
        <w:t>", de acordo com a fluência do prazo do respectivo títu</w:t>
      </w:r>
      <w:r w:rsidRPr="00C353DF">
        <w:rPr>
          <w:rFonts w:ascii="Arial" w:hAnsi="Arial" w:cs="Arial"/>
          <w:color w:val="000000"/>
        </w:rPr>
        <w:t>lo.</w:t>
      </w:r>
    </w:p>
    <w:p w:rsidR="00DD73CF" w:rsidRDefault="00DD73CF" w:rsidP="00E302A7">
      <w:pPr>
        <w:pStyle w:val="textosemformatao1"/>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t>Os deságios concedidos por ocasião da colocação de letras de câmbio registram-se no próprio título representativo das obrigações e apropriam-se, mensalmente, "</w:t>
      </w:r>
      <w:proofErr w:type="gramStart"/>
      <w:r w:rsidRPr="00C353DF">
        <w:rPr>
          <w:rFonts w:ascii="Arial" w:hAnsi="Arial" w:cs="Arial"/>
          <w:color w:val="000000"/>
        </w:rPr>
        <w:t>pro rata</w:t>
      </w:r>
      <w:proofErr w:type="gramEnd"/>
      <w:r w:rsidRPr="00C353DF">
        <w:rPr>
          <w:rFonts w:ascii="Arial" w:hAnsi="Arial" w:cs="Arial"/>
          <w:color w:val="000000"/>
        </w:rPr>
        <w:t xml:space="preserve"> </w:t>
      </w:r>
      <w:proofErr w:type="spellStart"/>
      <w:r w:rsidRPr="00C353DF">
        <w:rPr>
          <w:rFonts w:ascii="Arial" w:hAnsi="Arial" w:cs="Arial"/>
          <w:color w:val="000000"/>
        </w:rPr>
        <w:t>temporis</w:t>
      </w:r>
      <w:proofErr w:type="spellEnd"/>
      <w:r w:rsidRPr="00C353DF">
        <w:rPr>
          <w:rFonts w:ascii="Arial" w:hAnsi="Arial" w:cs="Arial"/>
          <w:color w:val="000000"/>
        </w:rPr>
        <w:t>", de acordo com a fluência do prazo do respectivo título.</w:t>
      </w:r>
    </w:p>
    <w:p w:rsidR="00E302A7" w:rsidRDefault="00E302A7" w:rsidP="00E302A7">
      <w:pPr>
        <w:pStyle w:val="textosemformatao1"/>
        <w:shd w:val="clear" w:color="auto" w:fill="FFFFFF"/>
        <w:spacing w:before="0" w:beforeAutospacing="0" w:after="0" w:afterAutospacing="0" w:line="360" w:lineRule="auto"/>
        <w:jc w:val="both"/>
        <w:rPr>
          <w:rFonts w:ascii="Arial" w:hAnsi="Arial" w:cs="Arial"/>
          <w:color w:val="000000"/>
        </w:rPr>
      </w:pPr>
    </w:p>
    <w:tbl>
      <w:tblPr>
        <w:tblW w:w="9160" w:type="dxa"/>
        <w:tblInd w:w="55" w:type="dxa"/>
        <w:tblCellMar>
          <w:left w:w="70" w:type="dxa"/>
          <w:right w:w="70" w:type="dxa"/>
        </w:tblCellMar>
        <w:tblLook w:val="04A0"/>
      </w:tblPr>
      <w:tblGrid>
        <w:gridCol w:w="2320"/>
        <w:gridCol w:w="4120"/>
        <w:gridCol w:w="931"/>
        <w:gridCol w:w="931"/>
        <w:gridCol w:w="988"/>
      </w:tblGrid>
      <w:tr w:rsidR="00E302A7" w:rsidRPr="00E302A7" w:rsidTr="00E302A7">
        <w:trPr>
          <w:trHeight w:val="315"/>
        </w:trPr>
        <w:tc>
          <w:tcPr>
            <w:tcW w:w="2320" w:type="dxa"/>
            <w:tcBorders>
              <w:top w:val="single" w:sz="4" w:space="0" w:color="auto"/>
              <w:left w:val="single" w:sz="4" w:space="0" w:color="auto"/>
              <w:bottom w:val="single" w:sz="4" w:space="0" w:color="auto"/>
              <w:right w:val="single" w:sz="4" w:space="0" w:color="FFFFFF"/>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Grupo</w:t>
            </w:r>
          </w:p>
        </w:tc>
        <w:tc>
          <w:tcPr>
            <w:tcW w:w="4120" w:type="dxa"/>
            <w:tcBorders>
              <w:top w:val="single" w:sz="4" w:space="0" w:color="auto"/>
              <w:left w:val="nil"/>
              <w:bottom w:val="single" w:sz="4" w:space="0" w:color="auto"/>
              <w:right w:val="single" w:sz="4" w:space="0" w:color="FFFFFF"/>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Nome da Conta</w:t>
            </w:r>
          </w:p>
        </w:tc>
        <w:tc>
          <w:tcPr>
            <w:tcW w:w="880" w:type="dxa"/>
            <w:tcBorders>
              <w:top w:val="single" w:sz="4" w:space="0" w:color="auto"/>
              <w:left w:val="nil"/>
              <w:bottom w:val="single" w:sz="4" w:space="0" w:color="auto"/>
              <w:right w:val="single" w:sz="4" w:space="0" w:color="FFFFFF"/>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2014</w:t>
            </w:r>
          </w:p>
        </w:tc>
        <w:tc>
          <w:tcPr>
            <w:tcW w:w="880" w:type="dxa"/>
            <w:tcBorders>
              <w:top w:val="single" w:sz="4" w:space="0" w:color="auto"/>
              <w:left w:val="nil"/>
              <w:bottom w:val="single" w:sz="4" w:space="0" w:color="auto"/>
              <w:right w:val="single" w:sz="4" w:space="0" w:color="FFFFFF"/>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2013</w:t>
            </w:r>
          </w:p>
        </w:tc>
        <w:tc>
          <w:tcPr>
            <w:tcW w:w="960" w:type="dxa"/>
            <w:tcBorders>
              <w:top w:val="single" w:sz="4" w:space="0" w:color="auto"/>
              <w:left w:val="nil"/>
              <w:bottom w:val="single" w:sz="4" w:space="0" w:color="auto"/>
              <w:right w:val="single" w:sz="4" w:space="0" w:color="auto"/>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Variação</w:t>
            </w:r>
          </w:p>
        </w:tc>
      </w:tr>
      <w:tr w:rsidR="00E302A7" w:rsidRPr="00E302A7" w:rsidTr="00E302A7">
        <w:trPr>
          <w:trHeight w:val="315"/>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Passivo não circulante</w:t>
            </w:r>
          </w:p>
        </w:tc>
        <w:tc>
          <w:tcPr>
            <w:tcW w:w="4120" w:type="dxa"/>
            <w:tcBorders>
              <w:top w:val="nil"/>
              <w:left w:val="nil"/>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Recursos de aceites e emissão de títulos</w:t>
            </w:r>
          </w:p>
        </w:tc>
        <w:tc>
          <w:tcPr>
            <w:tcW w:w="880" w:type="dxa"/>
            <w:tcBorders>
              <w:top w:val="nil"/>
              <w:left w:val="nil"/>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291.220</w:t>
            </w:r>
          </w:p>
        </w:tc>
        <w:tc>
          <w:tcPr>
            <w:tcW w:w="880" w:type="dxa"/>
            <w:tcBorders>
              <w:top w:val="nil"/>
              <w:left w:val="nil"/>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190.934</w:t>
            </w:r>
          </w:p>
        </w:tc>
        <w:tc>
          <w:tcPr>
            <w:tcW w:w="960" w:type="dxa"/>
            <w:tcBorders>
              <w:top w:val="nil"/>
              <w:left w:val="nil"/>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53%</w:t>
            </w:r>
          </w:p>
        </w:tc>
      </w:tr>
    </w:tbl>
    <w:p w:rsidR="00E302A7" w:rsidRPr="00C353DF" w:rsidRDefault="00E302A7" w:rsidP="00E302A7">
      <w:pPr>
        <w:pStyle w:val="textosemformatao1"/>
        <w:shd w:val="clear" w:color="auto" w:fill="FFFFFF"/>
        <w:spacing w:before="0" w:beforeAutospacing="0" w:after="0" w:afterAutospacing="0" w:line="360" w:lineRule="auto"/>
        <w:jc w:val="both"/>
        <w:rPr>
          <w:rFonts w:ascii="Arial" w:hAnsi="Arial" w:cs="Arial"/>
          <w:color w:val="000000"/>
        </w:rPr>
      </w:pPr>
    </w:p>
    <w:p w:rsidR="00DD73CF" w:rsidRPr="00C353DF" w:rsidRDefault="00FF3876" w:rsidP="00C353DF">
      <w:pPr>
        <w:pStyle w:val="textosemformatao1"/>
        <w:shd w:val="clear" w:color="auto" w:fill="FFFFFF"/>
        <w:spacing w:before="0" w:beforeAutospacing="0" w:after="0" w:afterAutospacing="0" w:line="360" w:lineRule="auto"/>
        <w:jc w:val="both"/>
        <w:rPr>
          <w:rFonts w:ascii="Arial" w:hAnsi="Arial" w:cs="Arial"/>
          <w:color w:val="000000"/>
        </w:rPr>
      </w:pPr>
      <w:r w:rsidRPr="00C353DF">
        <w:rPr>
          <w:rFonts w:ascii="Arial" w:hAnsi="Arial" w:cs="Arial"/>
          <w:color w:val="000000"/>
        </w:rPr>
        <w:tab/>
        <w:t xml:space="preserve">Conforme a tabela esta variação oscilou positivamente em 53% porém as notas explicativas não evidenciaram tal crescimento. </w:t>
      </w:r>
      <w:r w:rsidR="00DD73CF" w:rsidRPr="00C353DF">
        <w:rPr>
          <w:rFonts w:ascii="Arial" w:hAnsi="Arial" w:cs="Arial"/>
          <w:color w:val="000000"/>
        </w:rPr>
        <w:t>Os controles contábeis e extracontábeis devem permitir a apuração da exata posição dos valores emitidos, colocados e em carteira e das despesas apropriadas em cada período mensal.</w:t>
      </w:r>
    </w:p>
    <w:p w:rsidR="00E302A7" w:rsidRDefault="00E302A7" w:rsidP="00C353DF">
      <w:pPr>
        <w:pStyle w:val="textosemformatao1"/>
        <w:shd w:val="clear" w:color="auto" w:fill="FFFFFF"/>
        <w:spacing w:before="0" w:beforeAutospacing="0" w:after="0" w:afterAutospacing="0" w:line="360" w:lineRule="auto"/>
        <w:jc w:val="both"/>
        <w:rPr>
          <w:rFonts w:ascii="Arial" w:hAnsi="Arial" w:cs="Arial"/>
          <w:color w:val="000000"/>
        </w:rPr>
      </w:pPr>
    </w:p>
    <w:p w:rsidR="00CD7263" w:rsidRDefault="00CD7263" w:rsidP="00C353DF">
      <w:pPr>
        <w:pStyle w:val="textosemformatao1"/>
        <w:shd w:val="clear" w:color="auto" w:fill="FFFFFF"/>
        <w:spacing w:before="0" w:beforeAutospacing="0" w:after="0" w:afterAutospacing="0" w:line="360" w:lineRule="auto"/>
        <w:jc w:val="both"/>
        <w:rPr>
          <w:rFonts w:ascii="Arial" w:hAnsi="Arial" w:cs="Arial"/>
          <w:color w:val="000000"/>
        </w:rPr>
      </w:pPr>
    </w:p>
    <w:p w:rsidR="00CD7263" w:rsidRDefault="00CD7263" w:rsidP="00C353DF">
      <w:pPr>
        <w:pStyle w:val="textosemformatao1"/>
        <w:shd w:val="clear" w:color="auto" w:fill="FFFFFF"/>
        <w:spacing w:before="0" w:beforeAutospacing="0" w:after="0" w:afterAutospacing="0" w:line="360" w:lineRule="auto"/>
        <w:jc w:val="both"/>
        <w:rPr>
          <w:rFonts w:ascii="Arial" w:hAnsi="Arial" w:cs="Arial"/>
          <w:color w:val="000000"/>
        </w:rPr>
      </w:pPr>
    </w:p>
    <w:p w:rsidR="00FF3876" w:rsidRPr="00C353DF" w:rsidRDefault="00F77906" w:rsidP="00C353DF">
      <w:pPr>
        <w:pStyle w:val="textosemformatao1"/>
        <w:shd w:val="clear" w:color="auto" w:fill="FFFFFF"/>
        <w:spacing w:before="0" w:beforeAutospacing="0" w:after="0" w:afterAutospacing="0" w:line="360" w:lineRule="auto"/>
        <w:jc w:val="both"/>
        <w:rPr>
          <w:rFonts w:ascii="Arial" w:hAnsi="Arial" w:cs="Arial"/>
          <w:color w:val="000000"/>
        </w:rPr>
      </w:pPr>
      <w:r w:rsidRPr="00C353DF">
        <w:rPr>
          <w:rFonts w:ascii="Arial" w:hAnsi="Arial" w:cs="Arial"/>
          <w:color w:val="000000"/>
        </w:rPr>
        <w:lastRenderedPageBreak/>
        <w:t>Passivo não circulante – recursos de letras imobiliárias</w:t>
      </w:r>
    </w:p>
    <w:p w:rsidR="00F77906" w:rsidRPr="00C353DF" w:rsidRDefault="00F77906" w:rsidP="00E302A7">
      <w:pPr>
        <w:pStyle w:val="textosemformatao1"/>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t xml:space="preserve">Nesta conta do exigível </w:t>
      </w:r>
      <w:proofErr w:type="gramStart"/>
      <w:r w:rsidRPr="00C353DF">
        <w:rPr>
          <w:rFonts w:ascii="Arial" w:hAnsi="Arial" w:cs="Arial"/>
          <w:color w:val="000000"/>
        </w:rPr>
        <w:t>a longo prazo</w:t>
      </w:r>
      <w:proofErr w:type="gramEnd"/>
      <w:r w:rsidRPr="00C353DF">
        <w:rPr>
          <w:rFonts w:ascii="Arial" w:hAnsi="Arial" w:cs="Arial"/>
          <w:color w:val="000000"/>
        </w:rPr>
        <w:t>, o</w:t>
      </w:r>
      <w:r w:rsidRPr="00C353DF">
        <w:rPr>
          <w:rFonts w:ascii="Arial" w:hAnsi="Arial" w:cs="Arial"/>
          <w:color w:val="000000"/>
        </w:rPr>
        <w:t xml:space="preserve">s ágios obtidos por ocasião da colocação de letras imobiliárias e hipotecárias registram-se no próprio título representativo das obrigações e são reconhecidos como receita, mensalmente, "pro rata </w:t>
      </w:r>
      <w:proofErr w:type="spellStart"/>
      <w:r w:rsidRPr="00C353DF">
        <w:rPr>
          <w:rFonts w:ascii="Arial" w:hAnsi="Arial" w:cs="Arial"/>
          <w:color w:val="000000"/>
        </w:rPr>
        <w:t>temporis</w:t>
      </w:r>
      <w:proofErr w:type="spellEnd"/>
      <w:r w:rsidRPr="00C353DF">
        <w:rPr>
          <w:rFonts w:ascii="Arial" w:hAnsi="Arial" w:cs="Arial"/>
          <w:color w:val="000000"/>
        </w:rPr>
        <w:t>", de acordo com a fluência do prazo do respect</w:t>
      </w:r>
      <w:r w:rsidRPr="00C353DF">
        <w:rPr>
          <w:rFonts w:ascii="Arial" w:hAnsi="Arial" w:cs="Arial"/>
          <w:color w:val="000000"/>
        </w:rPr>
        <w:t xml:space="preserve">ivo título. </w:t>
      </w:r>
      <w:r w:rsidRPr="00C353DF">
        <w:rPr>
          <w:rFonts w:ascii="Arial" w:hAnsi="Arial" w:cs="Arial"/>
          <w:color w:val="000000"/>
        </w:rPr>
        <w:t>Os deságios concedidos por ocasião da colocação de letras imobiliárias e hipotecárias registram-se no próprio título representativo das obrigações e são reconhecidos como despesa, mensalmente, "</w:t>
      </w:r>
      <w:proofErr w:type="gramStart"/>
      <w:r w:rsidRPr="00C353DF">
        <w:rPr>
          <w:rFonts w:ascii="Arial" w:hAnsi="Arial" w:cs="Arial"/>
          <w:color w:val="000000"/>
        </w:rPr>
        <w:t>pro rata</w:t>
      </w:r>
      <w:proofErr w:type="gramEnd"/>
      <w:r w:rsidRPr="00C353DF">
        <w:rPr>
          <w:rFonts w:ascii="Arial" w:hAnsi="Arial" w:cs="Arial"/>
          <w:color w:val="000000"/>
        </w:rPr>
        <w:t xml:space="preserve"> </w:t>
      </w:r>
      <w:proofErr w:type="spellStart"/>
      <w:r w:rsidRPr="00C353DF">
        <w:rPr>
          <w:rFonts w:ascii="Arial" w:hAnsi="Arial" w:cs="Arial"/>
          <w:color w:val="000000"/>
        </w:rPr>
        <w:t>temporis</w:t>
      </w:r>
      <w:proofErr w:type="spellEnd"/>
      <w:r w:rsidRPr="00C353DF">
        <w:rPr>
          <w:rFonts w:ascii="Arial" w:hAnsi="Arial" w:cs="Arial"/>
          <w:color w:val="000000"/>
        </w:rPr>
        <w:t>", de acordo com a fluência d</w:t>
      </w:r>
      <w:r w:rsidRPr="00C353DF">
        <w:rPr>
          <w:rFonts w:ascii="Arial" w:hAnsi="Arial" w:cs="Arial"/>
          <w:color w:val="000000"/>
        </w:rPr>
        <w:t xml:space="preserve">o prazo do respectivo título. </w:t>
      </w:r>
      <w:r w:rsidRPr="00C353DF">
        <w:rPr>
          <w:rFonts w:ascii="Arial" w:hAnsi="Arial" w:cs="Arial"/>
          <w:color w:val="000000"/>
        </w:rPr>
        <w:t>Os controles contábeis e extracontábeis devem permitir a apuração da exata posição dos valores emitidos, valores negociados e valores a colocar e das despesas apropriadas em cada p</w:t>
      </w:r>
      <w:r w:rsidRPr="00C353DF">
        <w:rPr>
          <w:rFonts w:ascii="Arial" w:hAnsi="Arial" w:cs="Arial"/>
          <w:color w:val="000000"/>
        </w:rPr>
        <w:t xml:space="preserve">eríodo mensal. </w:t>
      </w:r>
    </w:p>
    <w:p w:rsidR="00E302A7" w:rsidRDefault="00E302A7" w:rsidP="00C353DF">
      <w:pPr>
        <w:pStyle w:val="textosemformatao1"/>
        <w:shd w:val="clear" w:color="auto" w:fill="FFFFFF"/>
        <w:spacing w:before="0" w:beforeAutospacing="0" w:after="0" w:afterAutospacing="0" w:line="360" w:lineRule="auto"/>
        <w:jc w:val="both"/>
        <w:rPr>
          <w:rFonts w:ascii="Arial" w:hAnsi="Arial" w:cs="Arial"/>
          <w:color w:val="000000"/>
        </w:rPr>
      </w:pPr>
    </w:p>
    <w:tbl>
      <w:tblPr>
        <w:tblW w:w="8160" w:type="dxa"/>
        <w:tblInd w:w="55" w:type="dxa"/>
        <w:tblCellMar>
          <w:left w:w="70" w:type="dxa"/>
          <w:right w:w="70" w:type="dxa"/>
        </w:tblCellMar>
        <w:tblLook w:val="04A0"/>
      </w:tblPr>
      <w:tblGrid>
        <w:gridCol w:w="2320"/>
        <w:gridCol w:w="3120"/>
        <w:gridCol w:w="931"/>
        <w:gridCol w:w="931"/>
        <w:gridCol w:w="988"/>
      </w:tblGrid>
      <w:tr w:rsidR="00E302A7" w:rsidRPr="00E302A7" w:rsidTr="00E302A7">
        <w:trPr>
          <w:trHeight w:val="315"/>
        </w:trPr>
        <w:tc>
          <w:tcPr>
            <w:tcW w:w="2320" w:type="dxa"/>
            <w:tcBorders>
              <w:top w:val="single" w:sz="4" w:space="0" w:color="auto"/>
              <w:left w:val="single" w:sz="4" w:space="0" w:color="auto"/>
              <w:bottom w:val="single" w:sz="4" w:space="0" w:color="auto"/>
              <w:right w:val="single" w:sz="4" w:space="0" w:color="FFFFFF"/>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Grupo</w:t>
            </w:r>
          </w:p>
        </w:tc>
        <w:tc>
          <w:tcPr>
            <w:tcW w:w="3120" w:type="dxa"/>
            <w:tcBorders>
              <w:top w:val="single" w:sz="4" w:space="0" w:color="auto"/>
              <w:left w:val="nil"/>
              <w:bottom w:val="single" w:sz="4" w:space="0" w:color="auto"/>
              <w:right w:val="single" w:sz="4" w:space="0" w:color="FFFFFF"/>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Nome da Conta</w:t>
            </w:r>
          </w:p>
        </w:tc>
        <w:tc>
          <w:tcPr>
            <w:tcW w:w="880" w:type="dxa"/>
            <w:tcBorders>
              <w:top w:val="single" w:sz="4" w:space="0" w:color="auto"/>
              <w:left w:val="nil"/>
              <w:bottom w:val="single" w:sz="4" w:space="0" w:color="auto"/>
              <w:right w:val="single" w:sz="4" w:space="0" w:color="FFFFFF"/>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2014</w:t>
            </w:r>
          </w:p>
        </w:tc>
        <w:tc>
          <w:tcPr>
            <w:tcW w:w="880" w:type="dxa"/>
            <w:tcBorders>
              <w:top w:val="single" w:sz="4" w:space="0" w:color="auto"/>
              <w:left w:val="nil"/>
              <w:bottom w:val="single" w:sz="4" w:space="0" w:color="auto"/>
              <w:right w:val="single" w:sz="4" w:space="0" w:color="FFFFFF"/>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2013</w:t>
            </w:r>
          </w:p>
        </w:tc>
        <w:tc>
          <w:tcPr>
            <w:tcW w:w="960" w:type="dxa"/>
            <w:tcBorders>
              <w:top w:val="single" w:sz="4" w:space="0" w:color="auto"/>
              <w:left w:val="nil"/>
              <w:bottom w:val="single" w:sz="4" w:space="0" w:color="auto"/>
              <w:right w:val="single" w:sz="4" w:space="0" w:color="auto"/>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Variação</w:t>
            </w:r>
          </w:p>
        </w:tc>
      </w:tr>
      <w:tr w:rsidR="00E302A7" w:rsidRPr="00E302A7" w:rsidTr="00E302A7">
        <w:trPr>
          <w:trHeight w:val="315"/>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Passivo não circulante</w:t>
            </w:r>
          </w:p>
        </w:tc>
        <w:tc>
          <w:tcPr>
            <w:tcW w:w="3120" w:type="dxa"/>
            <w:tcBorders>
              <w:top w:val="nil"/>
              <w:left w:val="nil"/>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Recursos de letras imobiliárias</w:t>
            </w:r>
          </w:p>
        </w:tc>
        <w:tc>
          <w:tcPr>
            <w:tcW w:w="880" w:type="dxa"/>
            <w:tcBorders>
              <w:top w:val="nil"/>
              <w:left w:val="nil"/>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291.220</w:t>
            </w:r>
          </w:p>
        </w:tc>
        <w:tc>
          <w:tcPr>
            <w:tcW w:w="880" w:type="dxa"/>
            <w:tcBorders>
              <w:top w:val="nil"/>
              <w:left w:val="nil"/>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139.397</w:t>
            </w:r>
          </w:p>
        </w:tc>
        <w:tc>
          <w:tcPr>
            <w:tcW w:w="960" w:type="dxa"/>
            <w:tcBorders>
              <w:top w:val="nil"/>
              <w:left w:val="nil"/>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109%</w:t>
            </w:r>
          </w:p>
        </w:tc>
      </w:tr>
    </w:tbl>
    <w:p w:rsidR="00E302A7" w:rsidRDefault="00E302A7" w:rsidP="00C353DF">
      <w:pPr>
        <w:pStyle w:val="textosemformatao1"/>
        <w:shd w:val="clear" w:color="auto" w:fill="FFFFFF"/>
        <w:spacing w:before="0" w:beforeAutospacing="0" w:after="0" w:afterAutospacing="0" w:line="360" w:lineRule="auto"/>
        <w:jc w:val="both"/>
        <w:rPr>
          <w:rFonts w:ascii="Arial" w:hAnsi="Arial" w:cs="Arial"/>
          <w:color w:val="000000"/>
        </w:rPr>
      </w:pPr>
    </w:p>
    <w:p w:rsidR="00F77906" w:rsidRPr="00C353DF" w:rsidRDefault="00F77906" w:rsidP="00E302A7">
      <w:pPr>
        <w:pStyle w:val="textosemformatao1"/>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t>A variação foi de 109% mostrando um grande crescimento nesta operação de ágios obtidos com letras imobiliárias. Lembrando que este item é do exigível ao longo prazo, apesar disto foi observado que no que tange o aspecto do passivo circulante, a variação também foi positiva.</w:t>
      </w:r>
    </w:p>
    <w:p w:rsidR="00E302A7" w:rsidRDefault="00E302A7" w:rsidP="00C353DF">
      <w:pPr>
        <w:pStyle w:val="textosemformatao1"/>
        <w:shd w:val="clear" w:color="auto" w:fill="FFFFFF"/>
        <w:spacing w:before="0" w:beforeAutospacing="0" w:after="0" w:afterAutospacing="0" w:line="360" w:lineRule="auto"/>
        <w:jc w:val="both"/>
        <w:rPr>
          <w:rFonts w:ascii="Arial" w:hAnsi="Arial" w:cs="Arial"/>
          <w:color w:val="000000"/>
        </w:rPr>
      </w:pPr>
    </w:p>
    <w:p w:rsidR="00122D2B" w:rsidRDefault="00122D2B" w:rsidP="00C353DF">
      <w:pPr>
        <w:pStyle w:val="textosemformatao1"/>
        <w:shd w:val="clear" w:color="auto" w:fill="FFFFFF"/>
        <w:spacing w:before="0" w:beforeAutospacing="0" w:after="0" w:afterAutospacing="0" w:line="360" w:lineRule="auto"/>
        <w:jc w:val="both"/>
        <w:rPr>
          <w:rFonts w:ascii="Arial" w:hAnsi="Arial" w:cs="Arial"/>
          <w:color w:val="000000"/>
        </w:rPr>
      </w:pPr>
    </w:p>
    <w:p w:rsidR="00122D2B" w:rsidRDefault="00122D2B" w:rsidP="00C353DF">
      <w:pPr>
        <w:pStyle w:val="textosemformatao1"/>
        <w:shd w:val="clear" w:color="auto" w:fill="FFFFFF"/>
        <w:spacing w:before="0" w:beforeAutospacing="0" w:after="0" w:afterAutospacing="0" w:line="360" w:lineRule="auto"/>
        <w:jc w:val="both"/>
        <w:rPr>
          <w:rFonts w:ascii="Arial" w:hAnsi="Arial" w:cs="Arial"/>
          <w:color w:val="000000"/>
        </w:rPr>
      </w:pPr>
    </w:p>
    <w:p w:rsidR="00122D2B" w:rsidRDefault="00122D2B" w:rsidP="00C353DF">
      <w:pPr>
        <w:pStyle w:val="textosemformatao1"/>
        <w:shd w:val="clear" w:color="auto" w:fill="FFFFFF"/>
        <w:spacing w:before="0" w:beforeAutospacing="0" w:after="0" w:afterAutospacing="0" w:line="360" w:lineRule="auto"/>
        <w:jc w:val="both"/>
        <w:rPr>
          <w:rFonts w:ascii="Arial" w:hAnsi="Arial" w:cs="Arial"/>
          <w:color w:val="000000"/>
        </w:rPr>
      </w:pPr>
    </w:p>
    <w:p w:rsidR="00122D2B" w:rsidRDefault="00122D2B" w:rsidP="00C353DF">
      <w:pPr>
        <w:pStyle w:val="textosemformatao1"/>
        <w:shd w:val="clear" w:color="auto" w:fill="FFFFFF"/>
        <w:spacing w:before="0" w:beforeAutospacing="0" w:after="0" w:afterAutospacing="0" w:line="360" w:lineRule="auto"/>
        <w:jc w:val="both"/>
        <w:rPr>
          <w:rFonts w:ascii="Arial" w:hAnsi="Arial" w:cs="Arial"/>
          <w:color w:val="000000"/>
        </w:rPr>
      </w:pPr>
    </w:p>
    <w:p w:rsidR="00122D2B" w:rsidRDefault="00122D2B" w:rsidP="00C353DF">
      <w:pPr>
        <w:pStyle w:val="textosemformatao1"/>
        <w:shd w:val="clear" w:color="auto" w:fill="FFFFFF"/>
        <w:spacing w:before="0" w:beforeAutospacing="0" w:after="0" w:afterAutospacing="0" w:line="360" w:lineRule="auto"/>
        <w:jc w:val="both"/>
        <w:rPr>
          <w:rFonts w:ascii="Arial" w:hAnsi="Arial" w:cs="Arial"/>
          <w:color w:val="000000"/>
        </w:rPr>
      </w:pPr>
    </w:p>
    <w:p w:rsidR="00122D2B" w:rsidRDefault="00122D2B" w:rsidP="00C353DF">
      <w:pPr>
        <w:pStyle w:val="textosemformatao1"/>
        <w:shd w:val="clear" w:color="auto" w:fill="FFFFFF"/>
        <w:spacing w:before="0" w:beforeAutospacing="0" w:after="0" w:afterAutospacing="0" w:line="360" w:lineRule="auto"/>
        <w:jc w:val="both"/>
        <w:rPr>
          <w:rFonts w:ascii="Arial" w:hAnsi="Arial" w:cs="Arial"/>
          <w:color w:val="000000"/>
        </w:rPr>
      </w:pPr>
    </w:p>
    <w:p w:rsidR="00122D2B" w:rsidRDefault="00122D2B" w:rsidP="00C353DF">
      <w:pPr>
        <w:pStyle w:val="textosemformatao1"/>
        <w:shd w:val="clear" w:color="auto" w:fill="FFFFFF"/>
        <w:spacing w:before="0" w:beforeAutospacing="0" w:after="0" w:afterAutospacing="0" w:line="360" w:lineRule="auto"/>
        <w:jc w:val="both"/>
        <w:rPr>
          <w:rFonts w:ascii="Arial" w:hAnsi="Arial" w:cs="Arial"/>
          <w:color w:val="000000"/>
        </w:rPr>
      </w:pPr>
    </w:p>
    <w:p w:rsidR="00122D2B" w:rsidRDefault="00122D2B" w:rsidP="00C353DF">
      <w:pPr>
        <w:pStyle w:val="textosemformatao1"/>
        <w:shd w:val="clear" w:color="auto" w:fill="FFFFFF"/>
        <w:spacing w:before="0" w:beforeAutospacing="0" w:after="0" w:afterAutospacing="0" w:line="360" w:lineRule="auto"/>
        <w:jc w:val="both"/>
        <w:rPr>
          <w:rFonts w:ascii="Arial" w:hAnsi="Arial" w:cs="Arial"/>
          <w:color w:val="000000"/>
        </w:rPr>
      </w:pPr>
    </w:p>
    <w:p w:rsidR="00122D2B" w:rsidRDefault="00122D2B" w:rsidP="00C353DF">
      <w:pPr>
        <w:pStyle w:val="textosemformatao1"/>
        <w:shd w:val="clear" w:color="auto" w:fill="FFFFFF"/>
        <w:spacing w:before="0" w:beforeAutospacing="0" w:after="0" w:afterAutospacing="0" w:line="360" w:lineRule="auto"/>
        <w:jc w:val="both"/>
        <w:rPr>
          <w:rFonts w:ascii="Arial" w:hAnsi="Arial" w:cs="Arial"/>
          <w:color w:val="000000"/>
        </w:rPr>
      </w:pPr>
    </w:p>
    <w:p w:rsidR="00122D2B" w:rsidRDefault="00122D2B" w:rsidP="00C353DF">
      <w:pPr>
        <w:pStyle w:val="textosemformatao1"/>
        <w:shd w:val="clear" w:color="auto" w:fill="FFFFFF"/>
        <w:spacing w:before="0" w:beforeAutospacing="0" w:after="0" w:afterAutospacing="0" w:line="360" w:lineRule="auto"/>
        <w:jc w:val="both"/>
        <w:rPr>
          <w:rFonts w:ascii="Arial" w:hAnsi="Arial" w:cs="Arial"/>
          <w:color w:val="000000"/>
        </w:rPr>
      </w:pPr>
    </w:p>
    <w:p w:rsidR="00122D2B" w:rsidRDefault="00122D2B" w:rsidP="00C353DF">
      <w:pPr>
        <w:pStyle w:val="textosemformatao1"/>
        <w:shd w:val="clear" w:color="auto" w:fill="FFFFFF"/>
        <w:spacing w:before="0" w:beforeAutospacing="0" w:after="0" w:afterAutospacing="0" w:line="360" w:lineRule="auto"/>
        <w:jc w:val="both"/>
        <w:rPr>
          <w:rFonts w:ascii="Arial" w:hAnsi="Arial" w:cs="Arial"/>
          <w:color w:val="000000"/>
        </w:rPr>
      </w:pPr>
    </w:p>
    <w:p w:rsidR="00122D2B" w:rsidRDefault="00122D2B" w:rsidP="00C353DF">
      <w:pPr>
        <w:pStyle w:val="textosemformatao1"/>
        <w:shd w:val="clear" w:color="auto" w:fill="FFFFFF"/>
        <w:spacing w:before="0" w:beforeAutospacing="0" w:after="0" w:afterAutospacing="0" w:line="360" w:lineRule="auto"/>
        <w:jc w:val="both"/>
        <w:rPr>
          <w:rFonts w:ascii="Arial" w:hAnsi="Arial" w:cs="Arial"/>
          <w:color w:val="000000"/>
        </w:rPr>
      </w:pPr>
    </w:p>
    <w:p w:rsidR="00122D2B" w:rsidRDefault="00122D2B" w:rsidP="00C353DF">
      <w:pPr>
        <w:pStyle w:val="textosemformatao1"/>
        <w:shd w:val="clear" w:color="auto" w:fill="FFFFFF"/>
        <w:spacing w:before="0" w:beforeAutospacing="0" w:after="0" w:afterAutospacing="0" w:line="360" w:lineRule="auto"/>
        <w:jc w:val="both"/>
        <w:rPr>
          <w:rFonts w:ascii="Arial" w:hAnsi="Arial" w:cs="Arial"/>
          <w:color w:val="000000"/>
        </w:rPr>
      </w:pPr>
    </w:p>
    <w:p w:rsidR="00122D2B" w:rsidRDefault="00122D2B" w:rsidP="00C353DF">
      <w:pPr>
        <w:pStyle w:val="textosemformatao1"/>
        <w:shd w:val="clear" w:color="auto" w:fill="FFFFFF"/>
        <w:spacing w:before="0" w:beforeAutospacing="0" w:after="0" w:afterAutospacing="0" w:line="360" w:lineRule="auto"/>
        <w:jc w:val="both"/>
        <w:rPr>
          <w:rFonts w:ascii="Arial" w:hAnsi="Arial" w:cs="Arial"/>
          <w:color w:val="000000"/>
        </w:rPr>
      </w:pPr>
    </w:p>
    <w:p w:rsidR="00C75CA4" w:rsidRPr="00C353DF" w:rsidRDefault="00C75CA4" w:rsidP="00C353DF">
      <w:pPr>
        <w:pStyle w:val="textosemformatao1"/>
        <w:shd w:val="clear" w:color="auto" w:fill="FFFFFF"/>
        <w:spacing w:before="0" w:beforeAutospacing="0" w:after="0" w:afterAutospacing="0" w:line="360" w:lineRule="auto"/>
        <w:jc w:val="both"/>
        <w:rPr>
          <w:rFonts w:ascii="Arial" w:hAnsi="Arial" w:cs="Arial"/>
          <w:color w:val="000000"/>
        </w:rPr>
      </w:pPr>
      <w:r w:rsidRPr="00C353DF">
        <w:rPr>
          <w:rFonts w:ascii="Arial" w:hAnsi="Arial" w:cs="Arial"/>
          <w:color w:val="000000"/>
        </w:rPr>
        <w:lastRenderedPageBreak/>
        <w:t>Patrimônio Líquido – Reserva Legal</w:t>
      </w:r>
    </w:p>
    <w:p w:rsidR="00C75CA4" w:rsidRPr="00C353DF" w:rsidRDefault="00C75CA4" w:rsidP="00E302A7">
      <w:pPr>
        <w:pStyle w:val="TextosemFormatao"/>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t>Por último, temos a conta Reserva Legal contida no Patrimônio Líquido da entidade. De acordo com o COSIF, estas são os detalhamentos que devem conter na conta, são eles: do lu</w:t>
      </w:r>
      <w:r w:rsidR="00984F2D" w:rsidRPr="00C353DF">
        <w:rPr>
          <w:rFonts w:ascii="Arial" w:hAnsi="Arial" w:cs="Arial"/>
          <w:color w:val="000000"/>
        </w:rPr>
        <w:t>cro</w:t>
      </w:r>
      <w:r w:rsidRPr="00C353DF">
        <w:rPr>
          <w:rFonts w:ascii="Arial" w:hAnsi="Arial" w:cs="Arial"/>
          <w:color w:val="000000"/>
        </w:rPr>
        <w:t xml:space="preserve"> líquido do semestre, 5% (cinco por cento) se aplicam, antes de qualquer outra destinação, na constituição da Reserva Legal, que não pode exceder a 20% (vinte por cento) do capital; cessa tal obrigatoriedade no período em que o saldo desta reserva, acrescido do montante das Reservas de Capital de que tratam os itens 1-16-3-1-a e 1-16-3-1-b</w:t>
      </w:r>
      <w:r w:rsidR="00C353DF">
        <w:rPr>
          <w:rFonts w:ascii="Arial" w:hAnsi="Arial" w:cs="Arial"/>
          <w:color w:val="000000"/>
        </w:rPr>
        <w:t xml:space="preserve"> contidos no Balanço Patrimonial</w:t>
      </w:r>
      <w:r w:rsidRPr="00C353DF">
        <w:rPr>
          <w:rFonts w:ascii="Arial" w:hAnsi="Arial" w:cs="Arial"/>
          <w:color w:val="000000"/>
        </w:rPr>
        <w:t>, exceder de 30% (trinta por cento) do capital</w:t>
      </w:r>
      <w:r w:rsidR="00984F2D" w:rsidRPr="00C353DF">
        <w:rPr>
          <w:rFonts w:ascii="Arial" w:hAnsi="Arial" w:cs="Arial"/>
          <w:color w:val="000000"/>
        </w:rPr>
        <w:t xml:space="preserve"> e por fim, </w:t>
      </w:r>
      <w:r w:rsidRPr="00C353DF">
        <w:rPr>
          <w:rFonts w:ascii="Arial" w:hAnsi="Arial" w:cs="Arial"/>
          <w:color w:val="000000"/>
        </w:rPr>
        <w:t>utiliza-se a Reserva Legal para compensar prejuízos, quando esgotados os lucros acumulados e as demais reservas de lucro</w:t>
      </w:r>
      <w:r w:rsidR="00984F2D" w:rsidRPr="00C353DF">
        <w:rPr>
          <w:rFonts w:ascii="Arial" w:hAnsi="Arial" w:cs="Arial"/>
          <w:color w:val="000000"/>
        </w:rPr>
        <w:t xml:space="preserve"> e </w:t>
      </w:r>
      <w:r w:rsidRPr="00C353DF">
        <w:rPr>
          <w:rFonts w:ascii="Arial" w:hAnsi="Arial" w:cs="Arial"/>
          <w:color w:val="000000"/>
        </w:rPr>
        <w:t>aumentar o capital social.</w:t>
      </w:r>
    </w:p>
    <w:p w:rsidR="00E302A7" w:rsidRDefault="00E302A7" w:rsidP="00E302A7">
      <w:pPr>
        <w:pStyle w:val="TextosemFormatao"/>
        <w:shd w:val="clear" w:color="auto" w:fill="FFFFFF"/>
        <w:spacing w:before="0" w:beforeAutospacing="0" w:after="0" w:afterAutospacing="0" w:line="360" w:lineRule="auto"/>
        <w:ind w:firstLine="708"/>
        <w:jc w:val="both"/>
        <w:rPr>
          <w:rFonts w:ascii="Arial" w:hAnsi="Arial" w:cs="Arial"/>
          <w:color w:val="000000"/>
        </w:rPr>
      </w:pPr>
    </w:p>
    <w:p w:rsidR="00E302A7" w:rsidRDefault="00E302A7" w:rsidP="00E302A7">
      <w:pPr>
        <w:pStyle w:val="TextosemFormatao"/>
        <w:shd w:val="clear" w:color="auto" w:fill="FFFFFF"/>
        <w:spacing w:before="0" w:beforeAutospacing="0" w:after="0" w:afterAutospacing="0" w:line="360" w:lineRule="auto"/>
        <w:ind w:firstLine="708"/>
        <w:jc w:val="both"/>
        <w:rPr>
          <w:rFonts w:ascii="Arial" w:hAnsi="Arial" w:cs="Arial"/>
          <w:color w:val="000000"/>
        </w:rPr>
      </w:pPr>
    </w:p>
    <w:p w:rsidR="00E302A7" w:rsidRDefault="00E302A7" w:rsidP="00E302A7">
      <w:pPr>
        <w:pStyle w:val="TextosemFormatao"/>
        <w:shd w:val="clear" w:color="auto" w:fill="FFFFFF"/>
        <w:spacing w:before="0" w:beforeAutospacing="0" w:after="0" w:afterAutospacing="0" w:line="360" w:lineRule="auto"/>
        <w:ind w:firstLine="708"/>
        <w:jc w:val="both"/>
        <w:rPr>
          <w:rFonts w:ascii="Arial" w:hAnsi="Arial" w:cs="Arial"/>
          <w:color w:val="000000"/>
        </w:rPr>
      </w:pPr>
    </w:p>
    <w:tbl>
      <w:tblPr>
        <w:tblW w:w="8160" w:type="dxa"/>
        <w:tblInd w:w="55" w:type="dxa"/>
        <w:tblCellMar>
          <w:left w:w="70" w:type="dxa"/>
          <w:right w:w="70" w:type="dxa"/>
        </w:tblCellMar>
        <w:tblLook w:val="04A0"/>
      </w:tblPr>
      <w:tblGrid>
        <w:gridCol w:w="2320"/>
        <w:gridCol w:w="3120"/>
        <w:gridCol w:w="880"/>
        <w:gridCol w:w="880"/>
        <w:gridCol w:w="988"/>
      </w:tblGrid>
      <w:tr w:rsidR="00E302A7" w:rsidRPr="00E302A7" w:rsidTr="00E302A7">
        <w:trPr>
          <w:trHeight w:val="315"/>
        </w:trPr>
        <w:tc>
          <w:tcPr>
            <w:tcW w:w="2320" w:type="dxa"/>
            <w:tcBorders>
              <w:top w:val="single" w:sz="4" w:space="0" w:color="auto"/>
              <w:left w:val="single" w:sz="4" w:space="0" w:color="auto"/>
              <w:bottom w:val="single" w:sz="4" w:space="0" w:color="auto"/>
              <w:right w:val="single" w:sz="4" w:space="0" w:color="FFFFFF"/>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Grupo</w:t>
            </w:r>
          </w:p>
        </w:tc>
        <w:tc>
          <w:tcPr>
            <w:tcW w:w="3120" w:type="dxa"/>
            <w:tcBorders>
              <w:top w:val="single" w:sz="4" w:space="0" w:color="auto"/>
              <w:left w:val="nil"/>
              <w:bottom w:val="single" w:sz="4" w:space="0" w:color="auto"/>
              <w:right w:val="single" w:sz="4" w:space="0" w:color="FFFFFF"/>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Nome da Conta</w:t>
            </w:r>
          </w:p>
        </w:tc>
        <w:tc>
          <w:tcPr>
            <w:tcW w:w="880" w:type="dxa"/>
            <w:tcBorders>
              <w:top w:val="single" w:sz="4" w:space="0" w:color="auto"/>
              <w:left w:val="nil"/>
              <w:bottom w:val="single" w:sz="4" w:space="0" w:color="auto"/>
              <w:right w:val="single" w:sz="4" w:space="0" w:color="FFFFFF"/>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2014</w:t>
            </w:r>
          </w:p>
        </w:tc>
        <w:tc>
          <w:tcPr>
            <w:tcW w:w="880" w:type="dxa"/>
            <w:tcBorders>
              <w:top w:val="single" w:sz="4" w:space="0" w:color="auto"/>
              <w:left w:val="nil"/>
              <w:bottom w:val="single" w:sz="4" w:space="0" w:color="auto"/>
              <w:right w:val="single" w:sz="4" w:space="0" w:color="FFFFFF"/>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2013</w:t>
            </w:r>
          </w:p>
        </w:tc>
        <w:tc>
          <w:tcPr>
            <w:tcW w:w="960" w:type="dxa"/>
            <w:tcBorders>
              <w:top w:val="single" w:sz="4" w:space="0" w:color="auto"/>
              <w:left w:val="nil"/>
              <w:bottom w:val="single" w:sz="4" w:space="0" w:color="auto"/>
              <w:right w:val="single" w:sz="4" w:space="0" w:color="auto"/>
            </w:tcBorders>
            <w:shd w:val="clear" w:color="000000" w:fill="000000"/>
            <w:noWrap/>
            <w:vAlign w:val="center"/>
            <w:hideMark/>
          </w:tcPr>
          <w:p w:rsidR="00E302A7" w:rsidRPr="00E302A7" w:rsidRDefault="00E302A7" w:rsidP="00E302A7">
            <w:pPr>
              <w:spacing w:after="0" w:line="240" w:lineRule="auto"/>
              <w:jc w:val="center"/>
              <w:rPr>
                <w:rFonts w:ascii="Calibri" w:eastAsia="Times New Roman" w:hAnsi="Calibri" w:cs="Times New Roman"/>
                <w:color w:val="FFFFFF"/>
                <w:sz w:val="24"/>
                <w:szCs w:val="24"/>
                <w:lang w:eastAsia="pt-BR"/>
              </w:rPr>
            </w:pPr>
            <w:r w:rsidRPr="00E302A7">
              <w:rPr>
                <w:rFonts w:ascii="Calibri" w:eastAsia="Times New Roman" w:hAnsi="Calibri" w:cs="Times New Roman"/>
                <w:color w:val="FFFFFF"/>
                <w:sz w:val="24"/>
                <w:szCs w:val="24"/>
                <w:lang w:eastAsia="pt-BR"/>
              </w:rPr>
              <w:t>Variação</w:t>
            </w:r>
          </w:p>
        </w:tc>
      </w:tr>
      <w:tr w:rsidR="00E302A7" w:rsidRPr="00E302A7" w:rsidTr="00E302A7">
        <w:trPr>
          <w:trHeight w:val="315"/>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Patrimônio líquido</w:t>
            </w:r>
          </w:p>
        </w:tc>
        <w:tc>
          <w:tcPr>
            <w:tcW w:w="3120" w:type="dxa"/>
            <w:tcBorders>
              <w:top w:val="nil"/>
              <w:left w:val="nil"/>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Reserva Legal</w:t>
            </w:r>
          </w:p>
        </w:tc>
        <w:tc>
          <w:tcPr>
            <w:tcW w:w="880" w:type="dxa"/>
            <w:tcBorders>
              <w:top w:val="nil"/>
              <w:left w:val="nil"/>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56.323</w:t>
            </w:r>
          </w:p>
        </w:tc>
        <w:tc>
          <w:tcPr>
            <w:tcW w:w="880" w:type="dxa"/>
            <w:tcBorders>
              <w:top w:val="nil"/>
              <w:left w:val="nil"/>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56.323</w:t>
            </w:r>
          </w:p>
        </w:tc>
        <w:tc>
          <w:tcPr>
            <w:tcW w:w="960" w:type="dxa"/>
            <w:tcBorders>
              <w:top w:val="nil"/>
              <w:left w:val="nil"/>
              <w:bottom w:val="single" w:sz="4" w:space="0" w:color="auto"/>
              <w:right w:val="single" w:sz="4" w:space="0" w:color="auto"/>
            </w:tcBorders>
            <w:shd w:val="clear" w:color="auto" w:fill="auto"/>
            <w:noWrap/>
            <w:vAlign w:val="center"/>
            <w:hideMark/>
          </w:tcPr>
          <w:p w:rsidR="00E302A7" w:rsidRPr="00E302A7" w:rsidRDefault="00E302A7" w:rsidP="00E302A7">
            <w:pPr>
              <w:spacing w:after="0" w:line="240" w:lineRule="auto"/>
              <w:jc w:val="center"/>
              <w:rPr>
                <w:rFonts w:ascii="Calibri" w:eastAsia="Times New Roman" w:hAnsi="Calibri" w:cs="Times New Roman"/>
                <w:color w:val="000000"/>
                <w:sz w:val="24"/>
                <w:szCs w:val="24"/>
                <w:lang w:eastAsia="pt-BR"/>
              </w:rPr>
            </w:pPr>
            <w:r w:rsidRPr="00E302A7">
              <w:rPr>
                <w:rFonts w:ascii="Calibri" w:eastAsia="Times New Roman" w:hAnsi="Calibri" w:cs="Times New Roman"/>
                <w:color w:val="000000"/>
                <w:sz w:val="24"/>
                <w:szCs w:val="24"/>
                <w:lang w:eastAsia="pt-BR"/>
              </w:rPr>
              <w:t>0%</w:t>
            </w:r>
          </w:p>
        </w:tc>
      </w:tr>
    </w:tbl>
    <w:p w:rsidR="00E302A7" w:rsidRDefault="00E302A7" w:rsidP="00E302A7">
      <w:pPr>
        <w:pStyle w:val="TextosemFormatao"/>
        <w:shd w:val="clear" w:color="auto" w:fill="FFFFFF"/>
        <w:spacing w:before="0" w:beforeAutospacing="0" w:after="0" w:afterAutospacing="0" w:line="360" w:lineRule="auto"/>
        <w:ind w:firstLine="708"/>
        <w:jc w:val="both"/>
        <w:rPr>
          <w:rFonts w:ascii="Arial" w:hAnsi="Arial" w:cs="Arial"/>
          <w:color w:val="000000"/>
        </w:rPr>
      </w:pPr>
    </w:p>
    <w:p w:rsidR="00984F2D" w:rsidRPr="00C353DF" w:rsidRDefault="00984F2D" w:rsidP="00E302A7">
      <w:pPr>
        <w:pStyle w:val="TextosemFormatao"/>
        <w:shd w:val="clear" w:color="auto" w:fill="FFFFFF"/>
        <w:spacing w:before="0" w:beforeAutospacing="0" w:after="0" w:afterAutospacing="0" w:line="360" w:lineRule="auto"/>
        <w:ind w:firstLine="708"/>
        <w:jc w:val="both"/>
        <w:rPr>
          <w:rFonts w:ascii="Arial" w:hAnsi="Arial" w:cs="Arial"/>
          <w:color w:val="000000"/>
        </w:rPr>
      </w:pPr>
      <w:r w:rsidRPr="00C353DF">
        <w:rPr>
          <w:rFonts w:ascii="Arial" w:hAnsi="Arial" w:cs="Arial"/>
          <w:color w:val="000000"/>
        </w:rPr>
        <w:t>É nítido quanto às demonstrações contábeis que a conta de reserva de lucros não sofreu variação entre os períodos analisados neste trabalho. Conforme citado acima haverá destinação de parte do lucro líquido, porém se observarmos a Demonstração do Resultado do Exercício de 2014 vemos que a sociedade empresária sofreu prejuízo, logo não houve a necessidade de aumento desta conta durante o referido exercício.</w:t>
      </w:r>
    </w:p>
    <w:p w:rsidR="00C75CA4" w:rsidRDefault="00C75CA4" w:rsidP="00C353DF">
      <w:pPr>
        <w:pStyle w:val="textosemformatao1"/>
        <w:shd w:val="clear" w:color="auto" w:fill="FFFFFF"/>
        <w:spacing w:before="0" w:beforeAutospacing="0" w:after="0" w:afterAutospacing="0" w:line="360" w:lineRule="auto"/>
        <w:jc w:val="both"/>
        <w:rPr>
          <w:rFonts w:ascii="Arial" w:hAnsi="Arial" w:cs="Arial"/>
          <w:color w:val="000000"/>
        </w:rPr>
      </w:pPr>
    </w:p>
    <w:p w:rsidR="003A7C66" w:rsidRDefault="003A7C66" w:rsidP="00C353DF">
      <w:pPr>
        <w:pStyle w:val="textosemformatao1"/>
        <w:shd w:val="clear" w:color="auto" w:fill="FFFFFF"/>
        <w:spacing w:before="0" w:beforeAutospacing="0" w:after="0" w:afterAutospacing="0" w:line="360" w:lineRule="auto"/>
        <w:jc w:val="both"/>
        <w:rPr>
          <w:rFonts w:ascii="Arial" w:hAnsi="Arial" w:cs="Arial"/>
          <w:color w:val="000000"/>
        </w:rPr>
      </w:pPr>
    </w:p>
    <w:p w:rsidR="003A7C66" w:rsidRDefault="003A7C66" w:rsidP="00C353DF">
      <w:pPr>
        <w:pStyle w:val="textosemformatao1"/>
        <w:shd w:val="clear" w:color="auto" w:fill="FFFFFF"/>
        <w:spacing w:before="0" w:beforeAutospacing="0" w:after="0" w:afterAutospacing="0" w:line="360" w:lineRule="auto"/>
        <w:jc w:val="both"/>
        <w:rPr>
          <w:rFonts w:ascii="Arial" w:hAnsi="Arial" w:cs="Arial"/>
          <w:color w:val="000000"/>
        </w:rPr>
      </w:pPr>
    </w:p>
    <w:p w:rsidR="003A7C66" w:rsidRDefault="003A7C66" w:rsidP="00C353DF">
      <w:pPr>
        <w:pStyle w:val="textosemformatao1"/>
        <w:shd w:val="clear" w:color="auto" w:fill="FFFFFF"/>
        <w:spacing w:before="0" w:beforeAutospacing="0" w:after="0" w:afterAutospacing="0" w:line="360" w:lineRule="auto"/>
        <w:jc w:val="both"/>
        <w:rPr>
          <w:rFonts w:ascii="Arial" w:hAnsi="Arial" w:cs="Arial"/>
          <w:color w:val="000000"/>
        </w:rPr>
      </w:pPr>
    </w:p>
    <w:p w:rsidR="003A7C66" w:rsidRDefault="003A7C66" w:rsidP="00C353DF">
      <w:pPr>
        <w:pStyle w:val="textosemformatao1"/>
        <w:shd w:val="clear" w:color="auto" w:fill="FFFFFF"/>
        <w:spacing w:before="0" w:beforeAutospacing="0" w:after="0" w:afterAutospacing="0" w:line="360" w:lineRule="auto"/>
        <w:jc w:val="both"/>
        <w:rPr>
          <w:rFonts w:ascii="Arial" w:hAnsi="Arial" w:cs="Arial"/>
          <w:color w:val="000000"/>
        </w:rPr>
      </w:pPr>
    </w:p>
    <w:p w:rsidR="003A7C66" w:rsidRDefault="003A7C66" w:rsidP="00C353DF">
      <w:pPr>
        <w:pStyle w:val="textosemformatao1"/>
        <w:shd w:val="clear" w:color="auto" w:fill="FFFFFF"/>
        <w:spacing w:before="0" w:beforeAutospacing="0" w:after="0" w:afterAutospacing="0" w:line="360" w:lineRule="auto"/>
        <w:jc w:val="both"/>
        <w:rPr>
          <w:rFonts w:ascii="Arial" w:hAnsi="Arial" w:cs="Arial"/>
          <w:color w:val="000000"/>
        </w:rPr>
      </w:pPr>
    </w:p>
    <w:p w:rsidR="003A7C66" w:rsidRDefault="003A7C66" w:rsidP="00C353DF">
      <w:pPr>
        <w:pStyle w:val="textosemformatao1"/>
        <w:shd w:val="clear" w:color="auto" w:fill="FFFFFF"/>
        <w:spacing w:before="0" w:beforeAutospacing="0" w:after="0" w:afterAutospacing="0" w:line="360" w:lineRule="auto"/>
        <w:jc w:val="both"/>
        <w:rPr>
          <w:rFonts w:ascii="Arial" w:hAnsi="Arial" w:cs="Arial"/>
          <w:color w:val="000000"/>
        </w:rPr>
      </w:pPr>
    </w:p>
    <w:p w:rsidR="003A7C66" w:rsidRDefault="003A7C66" w:rsidP="00C353DF">
      <w:pPr>
        <w:pStyle w:val="textosemformatao1"/>
        <w:shd w:val="clear" w:color="auto" w:fill="FFFFFF"/>
        <w:spacing w:before="0" w:beforeAutospacing="0" w:after="0" w:afterAutospacing="0" w:line="360" w:lineRule="auto"/>
        <w:jc w:val="both"/>
        <w:rPr>
          <w:rFonts w:ascii="Arial" w:hAnsi="Arial" w:cs="Arial"/>
          <w:color w:val="000000"/>
        </w:rPr>
      </w:pPr>
    </w:p>
    <w:p w:rsidR="003A7C66" w:rsidRDefault="003A7C66" w:rsidP="00C353DF">
      <w:pPr>
        <w:pStyle w:val="textosemformatao1"/>
        <w:shd w:val="clear" w:color="auto" w:fill="FFFFFF"/>
        <w:spacing w:before="0" w:beforeAutospacing="0" w:after="0" w:afterAutospacing="0" w:line="360" w:lineRule="auto"/>
        <w:jc w:val="both"/>
        <w:rPr>
          <w:rFonts w:ascii="Arial" w:hAnsi="Arial" w:cs="Arial"/>
          <w:color w:val="000000"/>
        </w:rPr>
      </w:pPr>
    </w:p>
    <w:p w:rsidR="003A7C66" w:rsidRDefault="003A7C66" w:rsidP="00C353DF">
      <w:pPr>
        <w:pStyle w:val="textosemformatao1"/>
        <w:shd w:val="clear" w:color="auto" w:fill="FFFFFF"/>
        <w:spacing w:before="0" w:beforeAutospacing="0" w:after="0" w:afterAutospacing="0" w:line="360" w:lineRule="auto"/>
        <w:jc w:val="both"/>
        <w:rPr>
          <w:rFonts w:ascii="Arial" w:hAnsi="Arial" w:cs="Arial"/>
          <w:color w:val="000000"/>
        </w:rPr>
      </w:pPr>
    </w:p>
    <w:p w:rsidR="003A7C66" w:rsidRDefault="003A7C66" w:rsidP="00C353DF">
      <w:pPr>
        <w:pStyle w:val="textosemformatao1"/>
        <w:shd w:val="clear" w:color="auto" w:fill="FFFFFF"/>
        <w:spacing w:before="0" w:beforeAutospacing="0" w:after="0" w:afterAutospacing="0" w:line="360" w:lineRule="auto"/>
        <w:jc w:val="both"/>
        <w:rPr>
          <w:rFonts w:ascii="Arial" w:hAnsi="Arial" w:cs="Arial"/>
          <w:color w:val="000000"/>
        </w:rPr>
      </w:pPr>
    </w:p>
    <w:p w:rsidR="003A7C66" w:rsidRDefault="003A7C66" w:rsidP="004E480A">
      <w:pPr>
        <w:pStyle w:val="textosemformatao1"/>
        <w:shd w:val="clear" w:color="auto" w:fill="FFFFFF"/>
        <w:spacing w:before="0" w:beforeAutospacing="0" w:after="0" w:afterAutospacing="0"/>
        <w:jc w:val="both"/>
        <w:rPr>
          <w:rFonts w:ascii="Arial" w:hAnsi="Arial" w:cs="Arial"/>
          <w:color w:val="000000"/>
        </w:rPr>
      </w:pPr>
      <w:r>
        <w:rPr>
          <w:rFonts w:ascii="Arial" w:hAnsi="Arial" w:cs="Arial"/>
          <w:color w:val="000000"/>
        </w:rPr>
        <w:lastRenderedPageBreak/>
        <w:t>REFERÊNCIAS</w:t>
      </w:r>
    </w:p>
    <w:p w:rsidR="003A7C66" w:rsidRDefault="003A7C66" w:rsidP="004E480A">
      <w:pPr>
        <w:pStyle w:val="textosemformatao1"/>
        <w:shd w:val="clear" w:color="auto" w:fill="FFFFFF"/>
        <w:spacing w:before="0" w:beforeAutospacing="0" w:after="0" w:afterAutospacing="0"/>
        <w:jc w:val="both"/>
        <w:rPr>
          <w:rFonts w:ascii="Arial" w:hAnsi="Arial" w:cs="Arial"/>
          <w:color w:val="000000"/>
        </w:rPr>
      </w:pPr>
      <w:r>
        <w:rPr>
          <w:rFonts w:ascii="Arial" w:hAnsi="Arial" w:cs="Arial"/>
          <w:color w:val="000000"/>
        </w:rPr>
        <w:t>COSIF. Disponível em: &lt;</w:t>
      </w:r>
      <w:r w:rsidRPr="003A7C66">
        <w:t xml:space="preserve"> </w:t>
      </w:r>
      <w:r w:rsidRPr="003A7C66">
        <w:rPr>
          <w:rFonts w:ascii="Arial" w:hAnsi="Arial" w:cs="Arial"/>
          <w:color w:val="000000"/>
        </w:rPr>
        <w:t>http://www.cosif.com.br/mostra.asp?arquivo=mtvm_instrfinancder</w:t>
      </w:r>
      <w:r>
        <w:rPr>
          <w:rFonts w:ascii="Arial" w:hAnsi="Arial" w:cs="Arial"/>
          <w:color w:val="000000"/>
        </w:rPr>
        <w:t xml:space="preserve">&gt;. Acesso em: </w:t>
      </w:r>
      <w:proofErr w:type="gramStart"/>
      <w:r>
        <w:rPr>
          <w:rFonts w:ascii="Arial" w:hAnsi="Arial" w:cs="Arial"/>
          <w:color w:val="000000"/>
        </w:rPr>
        <w:t>31 maio 2015</w:t>
      </w:r>
      <w:proofErr w:type="gramEnd"/>
      <w:r>
        <w:rPr>
          <w:rFonts w:ascii="Arial" w:hAnsi="Arial" w:cs="Arial"/>
          <w:color w:val="000000"/>
        </w:rPr>
        <w:t>.</w:t>
      </w:r>
    </w:p>
    <w:p w:rsidR="004E480A" w:rsidRDefault="004E480A" w:rsidP="004E480A">
      <w:pPr>
        <w:pStyle w:val="textosemformatao1"/>
        <w:shd w:val="clear" w:color="auto" w:fill="FFFFFF"/>
        <w:spacing w:before="0" w:beforeAutospacing="0" w:after="0" w:afterAutospacing="0"/>
        <w:jc w:val="both"/>
        <w:rPr>
          <w:rFonts w:ascii="Arial" w:hAnsi="Arial" w:cs="Arial"/>
          <w:color w:val="000000"/>
        </w:rPr>
      </w:pPr>
    </w:p>
    <w:p w:rsidR="003A7C66" w:rsidRDefault="003A7C66" w:rsidP="004E480A">
      <w:pPr>
        <w:pStyle w:val="textosemformatao1"/>
        <w:shd w:val="clear" w:color="auto" w:fill="FFFFFF"/>
        <w:spacing w:before="0" w:beforeAutospacing="0" w:after="0" w:afterAutospacing="0"/>
        <w:jc w:val="both"/>
        <w:rPr>
          <w:rFonts w:ascii="Arial" w:hAnsi="Arial" w:cs="Arial"/>
          <w:color w:val="000000"/>
        </w:rPr>
      </w:pPr>
      <w:r>
        <w:rPr>
          <w:rFonts w:ascii="Arial" w:hAnsi="Arial" w:cs="Arial"/>
          <w:color w:val="000000"/>
        </w:rPr>
        <w:t>COSIF Banco Central do Brasil. Disponível em: &lt;</w:t>
      </w:r>
      <w:r w:rsidRPr="003A7C66">
        <w:t xml:space="preserve"> </w:t>
      </w:r>
      <w:proofErr w:type="gramStart"/>
      <w:r w:rsidRPr="003A7C66">
        <w:rPr>
          <w:rFonts w:ascii="Arial" w:hAnsi="Arial" w:cs="Arial"/>
          <w:color w:val="000000"/>
        </w:rPr>
        <w:t>https</w:t>
      </w:r>
      <w:proofErr w:type="gramEnd"/>
      <w:r w:rsidRPr="003A7C66">
        <w:rPr>
          <w:rFonts w:ascii="Arial" w:hAnsi="Arial" w:cs="Arial"/>
          <w:color w:val="000000"/>
        </w:rPr>
        <w:t>://www.bcb.gov.br/?COSIF</w:t>
      </w:r>
      <w:r>
        <w:rPr>
          <w:rFonts w:ascii="Arial" w:hAnsi="Arial" w:cs="Arial"/>
          <w:color w:val="000000"/>
        </w:rPr>
        <w:t xml:space="preserve">&gt;. Acesso em: </w:t>
      </w:r>
      <w:proofErr w:type="gramStart"/>
      <w:r>
        <w:rPr>
          <w:rFonts w:ascii="Arial" w:hAnsi="Arial" w:cs="Arial"/>
          <w:color w:val="000000"/>
        </w:rPr>
        <w:t>30 maio 2015</w:t>
      </w:r>
      <w:proofErr w:type="gramEnd"/>
      <w:r>
        <w:rPr>
          <w:rFonts w:ascii="Arial" w:hAnsi="Arial" w:cs="Arial"/>
          <w:color w:val="000000"/>
        </w:rPr>
        <w:t>.</w:t>
      </w:r>
    </w:p>
    <w:p w:rsidR="004E480A" w:rsidRDefault="004E480A" w:rsidP="004E480A">
      <w:pPr>
        <w:pStyle w:val="textosemformatao1"/>
        <w:shd w:val="clear" w:color="auto" w:fill="FFFFFF"/>
        <w:spacing w:before="0" w:beforeAutospacing="0" w:after="0" w:afterAutospacing="0"/>
        <w:jc w:val="both"/>
        <w:rPr>
          <w:rFonts w:ascii="Arial" w:hAnsi="Arial" w:cs="Arial"/>
          <w:color w:val="000000"/>
        </w:rPr>
      </w:pPr>
    </w:p>
    <w:p w:rsidR="003A7C66" w:rsidRPr="00C353DF" w:rsidRDefault="003A7C66" w:rsidP="004E480A">
      <w:pPr>
        <w:pStyle w:val="textosemformatao1"/>
        <w:shd w:val="clear" w:color="auto" w:fill="FFFFFF"/>
        <w:spacing w:before="0" w:beforeAutospacing="0" w:after="0" w:afterAutospacing="0"/>
        <w:jc w:val="both"/>
        <w:rPr>
          <w:rFonts w:ascii="Arial" w:hAnsi="Arial" w:cs="Arial"/>
          <w:color w:val="000000"/>
        </w:rPr>
      </w:pPr>
      <w:r>
        <w:rPr>
          <w:rFonts w:ascii="Arial" w:hAnsi="Arial" w:cs="Arial"/>
          <w:color w:val="000000"/>
        </w:rPr>
        <w:t>Relatório da Administração do Banco Mercantil do Brasil. Disponível em: &lt;</w:t>
      </w:r>
      <w:r w:rsidRPr="003A7C66">
        <w:t xml:space="preserve"> </w:t>
      </w:r>
      <w:r w:rsidRPr="003A7C66">
        <w:rPr>
          <w:rFonts w:ascii="Arial" w:hAnsi="Arial" w:cs="Arial"/>
          <w:color w:val="000000"/>
        </w:rPr>
        <w:t>http://mercantildobrasil.com.br/Anexos/PDFs/BemVindoAoMB/RI/DemonstracoesFinanceiras/BalancoPublicadoMB/exerciciocompleto2014.pdf</w:t>
      </w:r>
      <w:r>
        <w:rPr>
          <w:rFonts w:ascii="Arial" w:hAnsi="Arial" w:cs="Arial"/>
          <w:color w:val="000000"/>
        </w:rPr>
        <w:t xml:space="preserve">&gt;. Acesso em: </w:t>
      </w:r>
      <w:proofErr w:type="gramStart"/>
      <w:r>
        <w:rPr>
          <w:rFonts w:ascii="Arial" w:hAnsi="Arial" w:cs="Arial"/>
          <w:color w:val="000000"/>
        </w:rPr>
        <w:t>30 maio 2015</w:t>
      </w:r>
      <w:proofErr w:type="gramEnd"/>
      <w:r>
        <w:rPr>
          <w:rFonts w:ascii="Arial" w:hAnsi="Arial" w:cs="Arial"/>
          <w:color w:val="000000"/>
        </w:rPr>
        <w:t>.</w:t>
      </w:r>
    </w:p>
    <w:sectPr w:rsidR="003A7C66" w:rsidRPr="00C353DF" w:rsidSect="00E21026">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42DF"/>
    <w:rsid w:val="00072DC2"/>
    <w:rsid w:val="00122D2B"/>
    <w:rsid w:val="00124CE1"/>
    <w:rsid w:val="00145A1B"/>
    <w:rsid w:val="0033568C"/>
    <w:rsid w:val="00384100"/>
    <w:rsid w:val="003A0A79"/>
    <w:rsid w:val="003A7C66"/>
    <w:rsid w:val="00405B69"/>
    <w:rsid w:val="004E480A"/>
    <w:rsid w:val="005D0EEF"/>
    <w:rsid w:val="00641BCB"/>
    <w:rsid w:val="00650AC5"/>
    <w:rsid w:val="006D578A"/>
    <w:rsid w:val="00813C3F"/>
    <w:rsid w:val="008D73FC"/>
    <w:rsid w:val="008F19CF"/>
    <w:rsid w:val="00922BAF"/>
    <w:rsid w:val="00934944"/>
    <w:rsid w:val="00984F2D"/>
    <w:rsid w:val="009A4560"/>
    <w:rsid w:val="009C686C"/>
    <w:rsid w:val="009F49D4"/>
    <w:rsid w:val="00A22619"/>
    <w:rsid w:val="00AE47BE"/>
    <w:rsid w:val="00B23AB1"/>
    <w:rsid w:val="00B30102"/>
    <w:rsid w:val="00C353DF"/>
    <w:rsid w:val="00C75CA4"/>
    <w:rsid w:val="00C84F9A"/>
    <w:rsid w:val="00CC3D5F"/>
    <w:rsid w:val="00CD7263"/>
    <w:rsid w:val="00DD73CF"/>
    <w:rsid w:val="00E21026"/>
    <w:rsid w:val="00E302A7"/>
    <w:rsid w:val="00E35BCE"/>
    <w:rsid w:val="00F442DF"/>
    <w:rsid w:val="00F77906"/>
    <w:rsid w:val="00FD2E45"/>
    <w:rsid w:val="00FE0538"/>
    <w:rsid w:val="00FF38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F9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D2E45"/>
  </w:style>
  <w:style w:type="paragraph" w:styleId="TextosemFormatao">
    <w:name w:val="Plain Text"/>
    <w:basedOn w:val="Normal"/>
    <w:link w:val="TextosemFormataoChar"/>
    <w:uiPriority w:val="99"/>
    <w:semiHidden/>
    <w:unhideWhenUsed/>
    <w:rsid w:val="00641B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uiPriority w:val="99"/>
    <w:semiHidden/>
    <w:rsid w:val="00641BCB"/>
    <w:rPr>
      <w:rFonts w:ascii="Times New Roman" w:eastAsia="Times New Roman" w:hAnsi="Times New Roman" w:cs="Times New Roman"/>
      <w:sz w:val="24"/>
      <w:szCs w:val="24"/>
      <w:lang w:eastAsia="pt-BR"/>
    </w:rPr>
  </w:style>
  <w:style w:type="paragraph" w:customStyle="1" w:styleId="textosemformatao1">
    <w:name w:val="textosemformatao1"/>
    <w:basedOn w:val="Normal"/>
    <w:rsid w:val="00072D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uncao">
    <w:name w:val="funcao"/>
    <w:basedOn w:val="Normal"/>
    <w:rsid w:val="00072DC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A7C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036042">
      <w:bodyDiv w:val="1"/>
      <w:marLeft w:val="0"/>
      <w:marRight w:val="0"/>
      <w:marTop w:val="0"/>
      <w:marBottom w:val="0"/>
      <w:divBdr>
        <w:top w:val="none" w:sz="0" w:space="0" w:color="auto"/>
        <w:left w:val="none" w:sz="0" w:space="0" w:color="auto"/>
        <w:bottom w:val="none" w:sz="0" w:space="0" w:color="auto"/>
        <w:right w:val="none" w:sz="0" w:space="0" w:color="auto"/>
      </w:divBdr>
    </w:div>
    <w:div w:id="128013795">
      <w:bodyDiv w:val="1"/>
      <w:marLeft w:val="0"/>
      <w:marRight w:val="0"/>
      <w:marTop w:val="0"/>
      <w:marBottom w:val="0"/>
      <w:divBdr>
        <w:top w:val="none" w:sz="0" w:space="0" w:color="auto"/>
        <w:left w:val="none" w:sz="0" w:space="0" w:color="auto"/>
        <w:bottom w:val="none" w:sz="0" w:space="0" w:color="auto"/>
        <w:right w:val="none" w:sz="0" w:space="0" w:color="auto"/>
      </w:divBdr>
    </w:div>
    <w:div w:id="208303715">
      <w:bodyDiv w:val="1"/>
      <w:marLeft w:val="0"/>
      <w:marRight w:val="0"/>
      <w:marTop w:val="0"/>
      <w:marBottom w:val="0"/>
      <w:divBdr>
        <w:top w:val="none" w:sz="0" w:space="0" w:color="auto"/>
        <w:left w:val="none" w:sz="0" w:space="0" w:color="auto"/>
        <w:bottom w:val="none" w:sz="0" w:space="0" w:color="auto"/>
        <w:right w:val="none" w:sz="0" w:space="0" w:color="auto"/>
      </w:divBdr>
    </w:div>
    <w:div w:id="249853997">
      <w:bodyDiv w:val="1"/>
      <w:marLeft w:val="0"/>
      <w:marRight w:val="0"/>
      <w:marTop w:val="0"/>
      <w:marBottom w:val="0"/>
      <w:divBdr>
        <w:top w:val="none" w:sz="0" w:space="0" w:color="auto"/>
        <w:left w:val="none" w:sz="0" w:space="0" w:color="auto"/>
        <w:bottom w:val="none" w:sz="0" w:space="0" w:color="auto"/>
        <w:right w:val="none" w:sz="0" w:space="0" w:color="auto"/>
      </w:divBdr>
    </w:div>
    <w:div w:id="320813691">
      <w:bodyDiv w:val="1"/>
      <w:marLeft w:val="0"/>
      <w:marRight w:val="0"/>
      <w:marTop w:val="0"/>
      <w:marBottom w:val="0"/>
      <w:divBdr>
        <w:top w:val="none" w:sz="0" w:space="0" w:color="auto"/>
        <w:left w:val="none" w:sz="0" w:space="0" w:color="auto"/>
        <w:bottom w:val="none" w:sz="0" w:space="0" w:color="auto"/>
        <w:right w:val="none" w:sz="0" w:space="0" w:color="auto"/>
      </w:divBdr>
    </w:div>
    <w:div w:id="368650546">
      <w:bodyDiv w:val="1"/>
      <w:marLeft w:val="0"/>
      <w:marRight w:val="0"/>
      <w:marTop w:val="0"/>
      <w:marBottom w:val="0"/>
      <w:divBdr>
        <w:top w:val="none" w:sz="0" w:space="0" w:color="auto"/>
        <w:left w:val="none" w:sz="0" w:space="0" w:color="auto"/>
        <w:bottom w:val="none" w:sz="0" w:space="0" w:color="auto"/>
        <w:right w:val="none" w:sz="0" w:space="0" w:color="auto"/>
      </w:divBdr>
    </w:div>
    <w:div w:id="471212611">
      <w:bodyDiv w:val="1"/>
      <w:marLeft w:val="0"/>
      <w:marRight w:val="0"/>
      <w:marTop w:val="0"/>
      <w:marBottom w:val="0"/>
      <w:divBdr>
        <w:top w:val="none" w:sz="0" w:space="0" w:color="auto"/>
        <w:left w:val="none" w:sz="0" w:space="0" w:color="auto"/>
        <w:bottom w:val="none" w:sz="0" w:space="0" w:color="auto"/>
        <w:right w:val="none" w:sz="0" w:space="0" w:color="auto"/>
      </w:divBdr>
    </w:div>
    <w:div w:id="487286653">
      <w:bodyDiv w:val="1"/>
      <w:marLeft w:val="0"/>
      <w:marRight w:val="0"/>
      <w:marTop w:val="0"/>
      <w:marBottom w:val="0"/>
      <w:divBdr>
        <w:top w:val="none" w:sz="0" w:space="0" w:color="auto"/>
        <w:left w:val="none" w:sz="0" w:space="0" w:color="auto"/>
        <w:bottom w:val="none" w:sz="0" w:space="0" w:color="auto"/>
        <w:right w:val="none" w:sz="0" w:space="0" w:color="auto"/>
      </w:divBdr>
    </w:div>
    <w:div w:id="809520871">
      <w:bodyDiv w:val="1"/>
      <w:marLeft w:val="0"/>
      <w:marRight w:val="0"/>
      <w:marTop w:val="0"/>
      <w:marBottom w:val="0"/>
      <w:divBdr>
        <w:top w:val="none" w:sz="0" w:space="0" w:color="auto"/>
        <w:left w:val="none" w:sz="0" w:space="0" w:color="auto"/>
        <w:bottom w:val="none" w:sz="0" w:space="0" w:color="auto"/>
        <w:right w:val="none" w:sz="0" w:space="0" w:color="auto"/>
      </w:divBdr>
    </w:div>
    <w:div w:id="815679883">
      <w:bodyDiv w:val="1"/>
      <w:marLeft w:val="0"/>
      <w:marRight w:val="0"/>
      <w:marTop w:val="0"/>
      <w:marBottom w:val="0"/>
      <w:divBdr>
        <w:top w:val="none" w:sz="0" w:space="0" w:color="auto"/>
        <w:left w:val="none" w:sz="0" w:space="0" w:color="auto"/>
        <w:bottom w:val="none" w:sz="0" w:space="0" w:color="auto"/>
        <w:right w:val="none" w:sz="0" w:space="0" w:color="auto"/>
      </w:divBdr>
    </w:div>
    <w:div w:id="1230648575">
      <w:bodyDiv w:val="1"/>
      <w:marLeft w:val="0"/>
      <w:marRight w:val="0"/>
      <w:marTop w:val="0"/>
      <w:marBottom w:val="0"/>
      <w:divBdr>
        <w:top w:val="none" w:sz="0" w:space="0" w:color="auto"/>
        <w:left w:val="none" w:sz="0" w:space="0" w:color="auto"/>
        <w:bottom w:val="none" w:sz="0" w:space="0" w:color="auto"/>
        <w:right w:val="none" w:sz="0" w:space="0" w:color="auto"/>
      </w:divBdr>
    </w:div>
    <w:div w:id="1369646637">
      <w:bodyDiv w:val="1"/>
      <w:marLeft w:val="0"/>
      <w:marRight w:val="0"/>
      <w:marTop w:val="0"/>
      <w:marBottom w:val="0"/>
      <w:divBdr>
        <w:top w:val="none" w:sz="0" w:space="0" w:color="auto"/>
        <w:left w:val="none" w:sz="0" w:space="0" w:color="auto"/>
        <w:bottom w:val="none" w:sz="0" w:space="0" w:color="auto"/>
        <w:right w:val="none" w:sz="0" w:space="0" w:color="auto"/>
      </w:divBdr>
    </w:div>
    <w:div w:id="1527520258">
      <w:bodyDiv w:val="1"/>
      <w:marLeft w:val="0"/>
      <w:marRight w:val="0"/>
      <w:marTop w:val="0"/>
      <w:marBottom w:val="0"/>
      <w:divBdr>
        <w:top w:val="none" w:sz="0" w:space="0" w:color="auto"/>
        <w:left w:val="none" w:sz="0" w:space="0" w:color="auto"/>
        <w:bottom w:val="none" w:sz="0" w:space="0" w:color="auto"/>
        <w:right w:val="none" w:sz="0" w:space="0" w:color="auto"/>
      </w:divBdr>
    </w:div>
    <w:div w:id="1636184080">
      <w:bodyDiv w:val="1"/>
      <w:marLeft w:val="0"/>
      <w:marRight w:val="0"/>
      <w:marTop w:val="0"/>
      <w:marBottom w:val="0"/>
      <w:divBdr>
        <w:top w:val="none" w:sz="0" w:space="0" w:color="auto"/>
        <w:left w:val="none" w:sz="0" w:space="0" w:color="auto"/>
        <w:bottom w:val="none" w:sz="0" w:space="0" w:color="auto"/>
        <w:right w:val="none" w:sz="0" w:space="0" w:color="auto"/>
      </w:divBdr>
    </w:div>
    <w:div w:id="1735087043">
      <w:bodyDiv w:val="1"/>
      <w:marLeft w:val="0"/>
      <w:marRight w:val="0"/>
      <w:marTop w:val="0"/>
      <w:marBottom w:val="0"/>
      <w:divBdr>
        <w:top w:val="none" w:sz="0" w:space="0" w:color="auto"/>
        <w:left w:val="none" w:sz="0" w:space="0" w:color="auto"/>
        <w:bottom w:val="none" w:sz="0" w:space="0" w:color="auto"/>
        <w:right w:val="none" w:sz="0" w:space="0" w:color="auto"/>
      </w:divBdr>
    </w:div>
    <w:div w:id="1818180916">
      <w:bodyDiv w:val="1"/>
      <w:marLeft w:val="0"/>
      <w:marRight w:val="0"/>
      <w:marTop w:val="0"/>
      <w:marBottom w:val="0"/>
      <w:divBdr>
        <w:top w:val="none" w:sz="0" w:space="0" w:color="auto"/>
        <w:left w:val="none" w:sz="0" w:space="0" w:color="auto"/>
        <w:bottom w:val="none" w:sz="0" w:space="0" w:color="auto"/>
        <w:right w:val="none" w:sz="0" w:space="0" w:color="auto"/>
      </w:divBdr>
    </w:div>
    <w:div w:id="19674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9</Pages>
  <Words>2309</Words>
  <Characters>12470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dc:creator>
  <cp:keywords/>
  <dc:description/>
  <cp:lastModifiedBy>Felipe</cp:lastModifiedBy>
  <cp:revision>35</cp:revision>
  <dcterms:created xsi:type="dcterms:W3CDTF">2015-05-31T19:34:00Z</dcterms:created>
  <dcterms:modified xsi:type="dcterms:W3CDTF">2015-05-31T22:54:00Z</dcterms:modified>
</cp:coreProperties>
</file>