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F1" w:rsidRDefault="00DE77F1" w:rsidP="00DE77F1">
      <w:pPr>
        <w:spacing w:after="0" w:line="240" w:lineRule="auto"/>
        <w:rPr>
          <w:rFonts w:ascii="Arial" w:eastAsia="Times New Roman" w:hAnsi="Arial" w:cs="Arial"/>
          <w:b/>
          <w:sz w:val="36"/>
          <w:szCs w:val="36"/>
        </w:rPr>
      </w:pPr>
    </w:p>
    <w:p w:rsidR="00AA28D2" w:rsidRDefault="00421CAA" w:rsidP="00421CAA">
      <w:pPr>
        <w:autoSpaceDE w:val="0"/>
        <w:autoSpaceDN w:val="0"/>
        <w:adjustRightInd w:val="0"/>
        <w:spacing w:line="360" w:lineRule="auto"/>
        <w:jc w:val="both"/>
        <w:rPr>
          <w:rFonts w:ascii="Times New Roman" w:eastAsia="Calibri" w:hAnsi="Times New Roman" w:cs="Times New Roman"/>
          <w:color w:val="000000"/>
          <w:sz w:val="24"/>
          <w:szCs w:val="24"/>
        </w:rPr>
      </w:pPr>
      <w:proofErr w:type="gramStart"/>
      <w:r w:rsidRPr="00421CAA">
        <w:rPr>
          <w:rFonts w:ascii="Times New Roman" w:eastAsia="Calibri" w:hAnsi="Times New Roman" w:cs="Times New Roman"/>
          <w:color w:val="000000"/>
          <w:sz w:val="24"/>
          <w:szCs w:val="24"/>
          <w:lang w:val="en-US"/>
        </w:rPr>
        <w:t>APPLEGATE, Lynda M; NEO, Boon-</w:t>
      </w:r>
      <w:proofErr w:type="spellStart"/>
      <w:r w:rsidRPr="00421CAA">
        <w:rPr>
          <w:rFonts w:ascii="Times New Roman" w:eastAsia="Calibri" w:hAnsi="Times New Roman" w:cs="Times New Roman"/>
          <w:color w:val="000000"/>
          <w:sz w:val="24"/>
          <w:szCs w:val="24"/>
          <w:lang w:val="en-US"/>
        </w:rPr>
        <w:t>Siong</w:t>
      </w:r>
      <w:proofErr w:type="spellEnd"/>
      <w:r w:rsidRPr="00421CAA">
        <w:rPr>
          <w:rFonts w:ascii="Times New Roman" w:eastAsia="Calibri" w:hAnsi="Times New Roman" w:cs="Times New Roman"/>
          <w:color w:val="000000"/>
          <w:sz w:val="24"/>
          <w:szCs w:val="24"/>
          <w:lang w:val="en-US"/>
        </w:rPr>
        <w:t xml:space="preserve">; KING, </w:t>
      </w:r>
      <w:proofErr w:type="spellStart"/>
      <w:r w:rsidRPr="00421CAA">
        <w:rPr>
          <w:rFonts w:ascii="Times New Roman" w:eastAsia="Calibri" w:hAnsi="Times New Roman" w:cs="Times New Roman"/>
          <w:color w:val="000000"/>
          <w:sz w:val="24"/>
          <w:szCs w:val="24"/>
          <w:lang w:val="en-US"/>
        </w:rPr>
        <w:t>Jonh</w:t>
      </w:r>
      <w:proofErr w:type="spellEnd"/>
      <w:r w:rsidRPr="00421CAA">
        <w:rPr>
          <w:rFonts w:ascii="Times New Roman" w:eastAsia="Calibri" w:hAnsi="Times New Roman" w:cs="Times New Roman"/>
          <w:color w:val="000000"/>
          <w:sz w:val="24"/>
          <w:szCs w:val="24"/>
          <w:lang w:val="en-US"/>
        </w:rPr>
        <w:t xml:space="preserve">; KNOOP, </w:t>
      </w:r>
      <w:proofErr w:type="spellStart"/>
      <w:r w:rsidRPr="00421CAA">
        <w:rPr>
          <w:rFonts w:ascii="Times New Roman" w:eastAsia="Calibri" w:hAnsi="Times New Roman" w:cs="Times New Roman"/>
          <w:color w:val="000000"/>
          <w:sz w:val="24"/>
          <w:szCs w:val="24"/>
          <w:lang w:val="en-US"/>
        </w:rPr>
        <w:t>Carin</w:t>
      </w:r>
      <w:proofErr w:type="spellEnd"/>
      <w:r w:rsidRPr="00421CAA">
        <w:rPr>
          <w:rFonts w:ascii="Times New Roman" w:eastAsia="Calibri" w:hAnsi="Times New Roman" w:cs="Times New Roman"/>
          <w:color w:val="000000"/>
          <w:sz w:val="24"/>
          <w:szCs w:val="24"/>
          <w:lang w:val="en-US"/>
        </w:rPr>
        <w:t>-Isabel</w:t>
      </w:r>
      <w:r>
        <w:rPr>
          <w:rFonts w:ascii="Times New Roman" w:eastAsia="Calibri" w:hAnsi="Times New Roman" w:cs="Times New Roman"/>
          <w:color w:val="000000"/>
          <w:sz w:val="24"/>
          <w:szCs w:val="24"/>
          <w:lang w:val="en-US"/>
        </w:rPr>
        <w:t>.</w:t>
      </w:r>
      <w:proofErr w:type="gramEnd"/>
      <w:r>
        <w:rPr>
          <w:rFonts w:ascii="Times New Roman" w:eastAsia="Calibri" w:hAnsi="Times New Roman" w:cs="Times New Roman"/>
          <w:color w:val="000000"/>
          <w:sz w:val="24"/>
          <w:szCs w:val="24"/>
          <w:lang w:val="en-US"/>
        </w:rPr>
        <w:t xml:space="preserve"> </w:t>
      </w:r>
      <w:r w:rsidR="00AA28D2" w:rsidRPr="00421CAA">
        <w:rPr>
          <w:rFonts w:ascii="Times New Roman" w:hAnsi="Times New Roman" w:cs="Times New Roman"/>
          <w:color w:val="000000"/>
          <w:sz w:val="24"/>
          <w:szCs w:val="24"/>
        </w:rPr>
        <w:t xml:space="preserve">Cingapura Ilimitada: Construção da </w:t>
      </w:r>
      <w:proofErr w:type="spellStart"/>
      <w:r w:rsidR="00AA28D2" w:rsidRPr="00421CAA">
        <w:rPr>
          <w:rFonts w:ascii="Times New Roman" w:hAnsi="Times New Roman" w:cs="Times New Roman"/>
          <w:color w:val="000000"/>
          <w:sz w:val="24"/>
          <w:szCs w:val="24"/>
        </w:rPr>
        <w:t>Infra-estrutura</w:t>
      </w:r>
      <w:proofErr w:type="spellEnd"/>
      <w:r w:rsidR="00AA28D2" w:rsidRPr="00421CAA">
        <w:rPr>
          <w:rFonts w:ascii="Times New Roman" w:hAnsi="Times New Roman" w:cs="Times New Roman"/>
          <w:color w:val="000000"/>
          <w:sz w:val="24"/>
          <w:szCs w:val="24"/>
        </w:rPr>
        <w:t xml:space="preserve"> Nacional da Informação.</w:t>
      </w:r>
      <w:r>
        <w:rPr>
          <w:rFonts w:ascii="Times New Roman" w:eastAsia="Calibri" w:hAnsi="Times New Roman" w:cs="Times New Roman"/>
          <w:color w:val="000000"/>
          <w:sz w:val="24"/>
          <w:szCs w:val="24"/>
        </w:rPr>
        <w:t xml:space="preserve"> </w:t>
      </w:r>
      <w:r w:rsidR="00AA28D2" w:rsidRPr="00421CAA">
        <w:rPr>
          <w:rFonts w:ascii="Times New Roman" w:eastAsia="Calibri" w:hAnsi="Times New Roman" w:cs="Times New Roman"/>
          <w:color w:val="000000"/>
          <w:sz w:val="24"/>
          <w:szCs w:val="24"/>
        </w:rPr>
        <w:t>Harva</w:t>
      </w:r>
      <w:r w:rsidR="002D70BC" w:rsidRPr="00421CAA">
        <w:rPr>
          <w:rFonts w:ascii="Times New Roman" w:eastAsia="Calibri" w:hAnsi="Times New Roman" w:cs="Times New Roman"/>
          <w:color w:val="000000"/>
          <w:sz w:val="24"/>
          <w:szCs w:val="24"/>
        </w:rPr>
        <w:t xml:space="preserve">rd Business </w:t>
      </w:r>
      <w:proofErr w:type="spellStart"/>
      <w:r w:rsidR="002D70BC" w:rsidRPr="00421CAA">
        <w:rPr>
          <w:rFonts w:ascii="Times New Roman" w:eastAsia="Calibri" w:hAnsi="Times New Roman" w:cs="Times New Roman"/>
          <w:color w:val="000000"/>
          <w:sz w:val="24"/>
          <w:szCs w:val="24"/>
        </w:rPr>
        <w:t>School</w:t>
      </w:r>
      <w:proofErr w:type="spellEnd"/>
      <w:r w:rsidR="002D70BC" w:rsidRPr="00421CAA">
        <w:rPr>
          <w:rFonts w:ascii="Times New Roman" w:eastAsia="Calibri" w:hAnsi="Times New Roman" w:cs="Times New Roman"/>
          <w:color w:val="000000"/>
          <w:sz w:val="24"/>
          <w:szCs w:val="24"/>
        </w:rPr>
        <w:t>, 107-P01, 16 de outubro de 1996</w:t>
      </w:r>
      <w:r w:rsidR="00AA28D2" w:rsidRPr="00421CAA">
        <w:rPr>
          <w:rFonts w:ascii="Times New Roman" w:eastAsia="Calibri" w:hAnsi="Times New Roman" w:cs="Times New Roman"/>
          <w:color w:val="000000"/>
          <w:sz w:val="24"/>
          <w:szCs w:val="24"/>
        </w:rPr>
        <w:t xml:space="preserve">. Universidade Estácio de Sá: Biblioteca da disciplina </w:t>
      </w:r>
      <w:r w:rsidR="002D70BC" w:rsidRPr="00421CAA">
        <w:rPr>
          <w:rFonts w:ascii="Times New Roman" w:eastAsia="Calibri" w:hAnsi="Times New Roman" w:cs="Times New Roman"/>
          <w:color w:val="000000"/>
          <w:sz w:val="24"/>
          <w:szCs w:val="24"/>
        </w:rPr>
        <w:t>de Gestão Estratégica da Informação</w:t>
      </w:r>
      <w:r w:rsidR="00AA28D2" w:rsidRPr="00421CAA">
        <w:rPr>
          <w:rFonts w:ascii="Times New Roman" w:eastAsia="Calibri" w:hAnsi="Times New Roman" w:cs="Times New Roman"/>
          <w:color w:val="000000"/>
          <w:sz w:val="24"/>
          <w:szCs w:val="24"/>
        </w:rPr>
        <w:t>. Acessado em 25 de março de 2016.</w:t>
      </w:r>
    </w:p>
    <w:p w:rsidR="00421CAA" w:rsidRPr="00421CAA" w:rsidRDefault="00421CAA" w:rsidP="00421CAA">
      <w:pPr>
        <w:autoSpaceDE w:val="0"/>
        <w:autoSpaceDN w:val="0"/>
        <w:adjustRightInd w:val="0"/>
        <w:spacing w:line="360" w:lineRule="auto"/>
        <w:jc w:val="right"/>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Joabson</w:t>
      </w:r>
      <w:proofErr w:type="spellEnd"/>
      <w:r>
        <w:rPr>
          <w:rFonts w:ascii="Times New Roman" w:eastAsia="Calibri" w:hAnsi="Times New Roman" w:cs="Times New Roman"/>
          <w:color w:val="000000"/>
          <w:sz w:val="24"/>
          <w:szCs w:val="24"/>
        </w:rPr>
        <w:t xml:space="preserve"> Cruz Soares</w:t>
      </w:r>
      <w:r>
        <w:rPr>
          <w:rStyle w:val="Refdenotaderodap"/>
          <w:rFonts w:ascii="Times New Roman" w:eastAsia="Calibri" w:hAnsi="Times New Roman" w:cs="Times New Roman"/>
          <w:color w:val="000000"/>
          <w:sz w:val="24"/>
          <w:szCs w:val="24"/>
        </w:rPr>
        <w:footnoteReference w:id="1"/>
      </w:r>
    </w:p>
    <w:p w:rsidR="006169D9" w:rsidRPr="00421CAA" w:rsidRDefault="00F86375" w:rsidP="002D70BC">
      <w:pPr>
        <w:spacing w:after="0" w:line="360" w:lineRule="auto"/>
        <w:jc w:val="both"/>
        <w:rPr>
          <w:rFonts w:ascii="Times New Roman" w:hAnsi="Times New Roman" w:cs="Times New Roman"/>
          <w:sz w:val="24"/>
          <w:szCs w:val="24"/>
        </w:rPr>
      </w:pPr>
      <w:r w:rsidRPr="00421CAA">
        <w:rPr>
          <w:rFonts w:ascii="Times New Roman" w:hAnsi="Times New Roman" w:cs="Times New Roman"/>
          <w:sz w:val="24"/>
          <w:szCs w:val="24"/>
        </w:rPr>
        <w:t>Vinte e seis anos após Cingapura te</w:t>
      </w:r>
      <w:r w:rsidR="00AA28D2" w:rsidRPr="00421CAA">
        <w:rPr>
          <w:rFonts w:ascii="Times New Roman" w:hAnsi="Times New Roman" w:cs="Times New Roman"/>
          <w:sz w:val="24"/>
          <w:szCs w:val="24"/>
        </w:rPr>
        <w:t xml:space="preserve">r declarado sua independência, o </w:t>
      </w:r>
      <w:r w:rsidRPr="00421CAA">
        <w:rPr>
          <w:rFonts w:ascii="Times New Roman" w:hAnsi="Times New Roman" w:cs="Times New Roman"/>
          <w:sz w:val="24"/>
          <w:szCs w:val="24"/>
        </w:rPr>
        <w:t>país havia passado de condição de uma “ilha Selvagem” para uma das mais prósperas economias do mundo com um desempenho econômico recorde, marcado por taxas de crescimento anuais próximas dos 10% durante os últimos 30 anos.</w:t>
      </w:r>
      <w:r w:rsidR="00015544" w:rsidRPr="00421CAA">
        <w:rPr>
          <w:rFonts w:ascii="Times New Roman" w:hAnsi="Times New Roman" w:cs="Times New Roman"/>
          <w:sz w:val="24"/>
          <w:szCs w:val="24"/>
        </w:rPr>
        <w:t xml:space="preserve"> </w:t>
      </w:r>
      <w:r w:rsidR="006169D9" w:rsidRPr="00421CAA">
        <w:rPr>
          <w:rFonts w:ascii="Times New Roman" w:hAnsi="Times New Roman" w:cs="Times New Roman"/>
          <w:sz w:val="24"/>
          <w:szCs w:val="24"/>
        </w:rPr>
        <w:t>Para dar continuidade a esse crescimento econômico e elevar o país ao status de desenvolvido, foi elaborado um Plano econômico estratégico pelo Comitê d</w:t>
      </w:r>
      <w:r w:rsidR="00015544" w:rsidRPr="00421CAA">
        <w:rPr>
          <w:rFonts w:ascii="Times New Roman" w:hAnsi="Times New Roman" w:cs="Times New Roman"/>
          <w:sz w:val="24"/>
          <w:szCs w:val="24"/>
        </w:rPr>
        <w:t xml:space="preserve">e Planejamento Econômico que </w:t>
      </w:r>
      <w:r w:rsidR="006169D9" w:rsidRPr="00421CAA">
        <w:rPr>
          <w:rFonts w:ascii="Times New Roman" w:hAnsi="Times New Roman" w:cs="Times New Roman"/>
          <w:sz w:val="24"/>
          <w:szCs w:val="24"/>
        </w:rPr>
        <w:t xml:space="preserve">traçava </w:t>
      </w:r>
      <w:proofErr w:type="gramStart"/>
      <w:r w:rsidR="006169D9" w:rsidRPr="00421CAA">
        <w:rPr>
          <w:rFonts w:ascii="Times New Roman" w:hAnsi="Times New Roman" w:cs="Times New Roman"/>
          <w:sz w:val="24"/>
          <w:szCs w:val="24"/>
        </w:rPr>
        <w:t>8</w:t>
      </w:r>
      <w:proofErr w:type="gramEnd"/>
      <w:r w:rsidR="006169D9" w:rsidRPr="00421CAA">
        <w:rPr>
          <w:rFonts w:ascii="Times New Roman" w:hAnsi="Times New Roman" w:cs="Times New Roman"/>
          <w:sz w:val="24"/>
          <w:szCs w:val="24"/>
        </w:rPr>
        <w:t xml:space="preserve"> objetivos estratégicos e 19 programas através dos quais eles poderiam ser </w:t>
      </w:r>
      <w:r w:rsidR="00B22328" w:rsidRPr="00421CAA">
        <w:rPr>
          <w:rFonts w:ascii="Times New Roman" w:hAnsi="Times New Roman" w:cs="Times New Roman"/>
          <w:sz w:val="24"/>
          <w:szCs w:val="24"/>
        </w:rPr>
        <w:t xml:space="preserve">implementados. </w:t>
      </w:r>
      <w:r w:rsidR="006169D9" w:rsidRPr="00421CAA">
        <w:rPr>
          <w:rFonts w:ascii="Times New Roman" w:hAnsi="Times New Roman" w:cs="Times New Roman"/>
          <w:sz w:val="24"/>
          <w:szCs w:val="24"/>
        </w:rPr>
        <w:t>Um desses objetivos estratégicos era aumentar ainda mais o papel da Tecnologia da Informação (TI) no desenvolvimento de Cingapura.</w:t>
      </w:r>
    </w:p>
    <w:p w:rsidR="00F86375" w:rsidRPr="00421CAA" w:rsidRDefault="006169D9" w:rsidP="002D70BC">
      <w:pPr>
        <w:spacing w:after="0" w:line="360" w:lineRule="auto"/>
        <w:ind w:firstLine="567"/>
        <w:jc w:val="both"/>
        <w:rPr>
          <w:rFonts w:ascii="Times New Roman" w:hAnsi="Times New Roman" w:cs="Times New Roman"/>
          <w:sz w:val="24"/>
          <w:szCs w:val="24"/>
        </w:rPr>
      </w:pPr>
      <w:r w:rsidRPr="00421CAA">
        <w:rPr>
          <w:rFonts w:ascii="Times New Roman" w:hAnsi="Times New Roman" w:cs="Times New Roman"/>
          <w:sz w:val="24"/>
          <w:szCs w:val="24"/>
        </w:rPr>
        <w:t>Em abril de 1992</w:t>
      </w:r>
      <w:r w:rsidR="00A56138" w:rsidRPr="00421CAA">
        <w:rPr>
          <w:rFonts w:ascii="Times New Roman" w:hAnsi="Times New Roman" w:cs="Times New Roman"/>
          <w:sz w:val="24"/>
          <w:szCs w:val="24"/>
        </w:rPr>
        <w:t>, o Conselho</w:t>
      </w:r>
      <w:r w:rsidRPr="00421CAA">
        <w:rPr>
          <w:rFonts w:ascii="Times New Roman" w:hAnsi="Times New Roman" w:cs="Times New Roman"/>
          <w:sz w:val="24"/>
          <w:szCs w:val="24"/>
        </w:rPr>
        <w:t xml:space="preserve"> </w:t>
      </w:r>
      <w:r w:rsidR="00A56138" w:rsidRPr="00421CAA">
        <w:rPr>
          <w:rFonts w:ascii="Times New Roman" w:hAnsi="Times New Roman" w:cs="Times New Roman"/>
          <w:sz w:val="24"/>
          <w:szCs w:val="24"/>
        </w:rPr>
        <w:t xml:space="preserve">Nacional de Informática (NCB – </w:t>
      </w:r>
      <w:proofErr w:type="spellStart"/>
      <w:r w:rsidR="00A56138" w:rsidRPr="00421CAA">
        <w:rPr>
          <w:rFonts w:ascii="Times New Roman" w:hAnsi="Times New Roman" w:cs="Times New Roman"/>
          <w:sz w:val="24"/>
          <w:szCs w:val="24"/>
        </w:rPr>
        <w:t>National</w:t>
      </w:r>
      <w:proofErr w:type="spellEnd"/>
      <w:r w:rsidR="00A56138" w:rsidRPr="00421CAA">
        <w:rPr>
          <w:rFonts w:ascii="Times New Roman" w:hAnsi="Times New Roman" w:cs="Times New Roman"/>
          <w:sz w:val="24"/>
          <w:szCs w:val="24"/>
        </w:rPr>
        <w:t xml:space="preserve"> Computer </w:t>
      </w:r>
      <w:proofErr w:type="spellStart"/>
      <w:r w:rsidR="00A56138" w:rsidRPr="00421CAA">
        <w:rPr>
          <w:rFonts w:ascii="Times New Roman" w:hAnsi="Times New Roman" w:cs="Times New Roman"/>
          <w:sz w:val="24"/>
          <w:szCs w:val="24"/>
        </w:rPr>
        <w:t>Board</w:t>
      </w:r>
      <w:proofErr w:type="spellEnd"/>
      <w:r w:rsidR="00A56138" w:rsidRPr="00421CAA">
        <w:rPr>
          <w:rFonts w:ascii="Times New Roman" w:hAnsi="Times New Roman" w:cs="Times New Roman"/>
          <w:sz w:val="24"/>
          <w:szCs w:val="24"/>
        </w:rPr>
        <w:t>) e o Comitê IT200 publicaram o IT2000: Visão de uma Ilha Inteligente. A visão pre</w:t>
      </w:r>
      <w:r w:rsidR="00B22328" w:rsidRPr="00421CAA">
        <w:rPr>
          <w:rFonts w:ascii="Times New Roman" w:hAnsi="Times New Roman" w:cs="Times New Roman"/>
          <w:sz w:val="24"/>
          <w:szCs w:val="24"/>
        </w:rPr>
        <w:t>conizava a criação de uma Infra</w:t>
      </w:r>
      <w:r w:rsidR="00A56138" w:rsidRPr="00421CAA">
        <w:rPr>
          <w:rFonts w:ascii="Times New Roman" w:hAnsi="Times New Roman" w:cs="Times New Roman"/>
          <w:sz w:val="24"/>
          <w:szCs w:val="24"/>
        </w:rPr>
        <w:t>estrutura Nacional da Informação (</w:t>
      </w:r>
      <w:proofErr w:type="gramStart"/>
      <w:r w:rsidR="00A56138" w:rsidRPr="00421CAA">
        <w:rPr>
          <w:rFonts w:ascii="Times New Roman" w:hAnsi="Times New Roman" w:cs="Times New Roman"/>
          <w:sz w:val="24"/>
          <w:szCs w:val="24"/>
        </w:rPr>
        <w:t>NII –</w:t>
      </w:r>
      <w:proofErr w:type="spellStart"/>
      <w:r w:rsidR="00A56138" w:rsidRPr="00421CAA">
        <w:rPr>
          <w:rFonts w:ascii="Times New Roman" w:hAnsi="Times New Roman" w:cs="Times New Roman"/>
          <w:sz w:val="24"/>
          <w:szCs w:val="24"/>
        </w:rPr>
        <w:t>National</w:t>
      </w:r>
      <w:proofErr w:type="spellEnd"/>
      <w:proofErr w:type="gramEnd"/>
      <w:r w:rsidR="00A56138" w:rsidRPr="00421CAA">
        <w:rPr>
          <w:rFonts w:ascii="Times New Roman" w:hAnsi="Times New Roman" w:cs="Times New Roman"/>
          <w:sz w:val="24"/>
          <w:szCs w:val="24"/>
        </w:rPr>
        <w:t xml:space="preserve"> </w:t>
      </w:r>
      <w:proofErr w:type="spellStart"/>
      <w:r w:rsidR="00A56138" w:rsidRPr="00421CAA">
        <w:rPr>
          <w:rFonts w:ascii="Times New Roman" w:hAnsi="Times New Roman" w:cs="Times New Roman"/>
          <w:sz w:val="24"/>
          <w:szCs w:val="24"/>
        </w:rPr>
        <w:t>Information</w:t>
      </w:r>
      <w:proofErr w:type="spellEnd"/>
      <w:r w:rsidR="00A56138" w:rsidRPr="00421CAA">
        <w:rPr>
          <w:rFonts w:ascii="Times New Roman" w:hAnsi="Times New Roman" w:cs="Times New Roman"/>
          <w:sz w:val="24"/>
          <w:szCs w:val="24"/>
        </w:rPr>
        <w:t xml:space="preserve"> </w:t>
      </w:r>
      <w:proofErr w:type="spellStart"/>
      <w:r w:rsidR="00A56138" w:rsidRPr="00421CAA">
        <w:rPr>
          <w:rFonts w:ascii="Times New Roman" w:hAnsi="Times New Roman" w:cs="Times New Roman"/>
          <w:sz w:val="24"/>
          <w:szCs w:val="24"/>
        </w:rPr>
        <w:t>Infraestructure</w:t>
      </w:r>
      <w:proofErr w:type="spellEnd"/>
      <w:r w:rsidR="00A56138" w:rsidRPr="00421CAA">
        <w:rPr>
          <w:rFonts w:ascii="Times New Roman" w:hAnsi="Times New Roman" w:cs="Times New Roman"/>
          <w:sz w:val="24"/>
          <w:szCs w:val="24"/>
        </w:rPr>
        <w:t>) que seria alavancada para permitir que Cingapura competi</w:t>
      </w:r>
      <w:r w:rsidR="00B22328" w:rsidRPr="00421CAA">
        <w:rPr>
          <w:rFonts w:ascii="Times New Roman" w:hAnsi="Times New Roman" w:cs="Times New Roman"/>
          <w:sz w:val="24"/>
          <w:szCs w:val="24"/>
        </w:rPr>
        <w:t xml:space="preserve">sse internamente e no exterior que </w:t>
      </w:r>
      <w:r w:rsidR="002D70BC" w:rsidRPr="00421CAA">
        <w:rPr>
          <w:rFonts w:ascii="Times New Roman" w:hAnsi="Times New Roman" w:cs="Times New Roman"/>
          <w:sz w:val="24"/>
          <w:szCs w:val="24"/>
        </w:rPr>
        <w:t xml:space="preserve">transformaria o país </w:t>
      </w:r>
      <w:r w:rsidR="00B22328" w:rsidRPr="00421CAA">
        <w:rPr>
          <w:rFonts w:ascii="Times New Roman" w:hAnsi="Times New Roman" w:cs="Times New Roman"/>
          <w:sz w:val="24"/>
          <w:szCs w:val="24"/>
        </w:rPr>
        <w:t>n</w:t>
      </w:r>
      <w:r w:rsidR="00A56138" w:rsidRPr="00421CAA">
        <w:rPr>
          <w:rFonts w:ascii="Times New Roman" w:hAnsi="Times New Roman" w:cs="Times New Roman"/>
          <w:sz w:val="24"/>
          <w:szCs w:val="24"/>
        </w:rPr>
        <w:t>um eficiente centro de troca de mercadorias, serviços, capitais, informações e mão de obra. O objetivo da iniciativa IT2000 era simples, porém, poderoso</w:t>
      </w:r>
      <w:r w:rsidR="00C76639" w:rsidRPr="00421CAA">
        <w:rPr>
          <w:rFonts w:ascii="Times New Roman" w:hAnsi="Times New Roman" w:cs="Times New Roman"/>
          <w:sz w:val="24"/>
          <w:szCs w:val="24"/>
        </w:rPr>
        <w:t>: sustentar aumentos substanciais</w:t>
      </w:r>
      <w:r w:rsidR="00F46A4E" w:rsidRPr="00421CAA">
        <w:rPr>
          <w:rFonts w:ascii="Times New Roman" w:hAnsi="Times New Roman" w:cs="Times New Roman"/>
          <w:sz w:val="24"/>
          <w:szCs w:val="24"/>
        </w:rPr>
        <w:t xml:space="preserve"> de produtividade com recursos </w:t>
      </w:r>
      <w:r w:rsidR="00C76639" w:rsidRPr="00421CAA">
        <w:rPr>
          <w:rFonts w:ascii="Times New Roman" w:hAnsi="Times New Roman" w:cs="Times New Roman"/>
          <w:sz w:val="24"/>
          <w:szCs w:val="24"/>
        </w:rPr>
        <w:t>físicos e humanos limitados.</w:t>
      </w:r>
    </w:p>
    <w:p w:rsidR="00D67CDC" w:rsidRPr="00421CAA" w:rsidRDefault="005042A7" w:rsidP="002D70BC">
      <w:pPr>
        <w:spacing w:after="0" w:line="360" w:lineRule="auto"/>
        <w:ind w:firstLine="567"/>
        <w:jc w:val="both"/>
        <w:rPr>
          <w:rFonts w:ascii="Times New Roman" w:hAnsi="Times New Roman" w:cs="Times New Roman"/>
          <w:sz w:val="24"/>
          <w:szCs w:val="24"/>
        </w:rPr>
      </w:pPr>
      <w:r w:rsidRPr="00421CAA">
        <w:rPr>
          <w:rFonts w:ascii="Times New Roman" w:hAnsi="Times New Roman" w:cs="Times New Roman"/>
          <w:sz w:val="24"/>
          <w:szCs w:val="24"/>
        </w:rPr>
        <w:t>A atração de multinacionais no setor de TI</w:t>
      </w:r>
      <w:r w:rsidR="00AA28D2" w:rsidRPr="00421CAA">
        <w:rPr>
          <w:rFonts w:ascii="Times New Roman" w:hAnsi="Times New Roman" w:cs="Times New Roman"/>
          <w:sz w:val="24"/>
          <w:szCs w:val="24"/>
        </w:rPr>
        <w:t>, neste contexto,</w:t>
      </w:r>
      <w:r w:rsidRPr="00421CAA">
        <w:rPr>
          <w:rFonts w:ascii="Times New Roman" w:hAnsi="Times New Roman" w:cs="Times New Roman"/>
          <w:sz w:val="24"/>
          <w:szCs w:val="24"/>
        </w:rPr>
        <w:t xml:space="preserve"> desempenhou um papel fundamental na estratégia de TI do país. Em 1992, as multinacionais foram responsáveis pela maior parte das unidades de disco, impressoras e outros periféricos fabricados no país. A maioria das multinacionais utilizou empresas subcontratadas locais. Os computadores e periféricos, por sua vez, foram responsáveis por mais de um terço do total das exportações de produtos eletrônicos de Cingapura e cerca de um quarto de seu PIB.</w:t>
      </w:r>
    </w:p>
    <w:p w:rsidR="00015544" w:rsidRPr="00421CAA" w:rsidRDefault="00D40392" w:rsidP="002D70BC">
      <w:pPr>
        <w:spacing w:after="0" w:line="360" w:lineRule="auto"/>
        <w:ind w:firstLine="567"/>
        <w:jc w:val="both"/>
        <w:rPr>
          <w:rFonts w:ascii="Times New Roman" w:hAnsi="Times New Roman" w:cs="Times New Roman"/>
          <w:sz w:val="24"/>
          <w:szCs w:val="24"/>
        </w:rPr>
      </w:pPr>
      <w:r w:rsidRPr="00421CAA">
        <w:rPr>
          <w:rFonts w:ascii="Times New Roman" w:hAnsi="Times New Roman" w:cs="Times New Roman"/>
          <w:sz w:val="24"/>
          <w:szCs w:val="24"/>
        </w:rPr>
        <w:lastRenderedPageBreak/>
        <w:t xml:space="preserve">Em 1994, em colaboração com vários fornecedores de TI e instalação de pesquisas, o NCB, propôs um protótipo “Comprovação do Conceito” da NII. A NII foi definida como uma “plataforma eletrônica comum para o fornecimento eficiente de informações e de serviços”. Inicialmente, usaria a infraestrutura de telecomunicações atual, mas o máximo de flexibilidade seria </w:t>
      </w:r>
      <w:r w:rsidR="00CD43B6" w:rsidRPr="00421CAA">
        <w:rPr>
          <w:rFonts w:ascii="Times New Roman" w:hAnsi="Times New Roman" w:cs="Times New Roman"/>
          <w:sz w:val="24"/>
          <w:szCs w:val="24"/>
        </w:rPr>
        <w:t xml:space="preserve">embutido </w:t>
      </w:r>
      <w:r w:rsidRPr="00421CAA">
        <w:rPr>
          <w:rFonts w:ascii="Times New Roman" w:hAnsi="Times New Roman" w:cs="Times New Roman"/>
          <w:sz w:val="24"/>
          <w:szCs w:val="24"/>
        </w:rPr>
        <w:t>no</w:t>
      </w:r>
      <w:r w:rsidR="00CD43B6" w:rsidRPr="00421CAA">
        <w:rPr>
          <w:rFonts w:ascii="Times New Roman" w:hAnsi="Times New Roman" w:cs="Times New Roman"/>
          <w:sz w:val="24"/>
          <w:szCs w:val="24"/>
        </w:rPr>
        <w:t xml:space="preserve"> Sistema para migração para tecnologias futuras. Ela </w:t>
      </w:r>
      <w:r w:rsidR="00B22328" w:rsidRPr="00421CAA">
        <w:rPr>
          <w:rFonts w:ascii="Times New Roman" w:hAnsi="Times New Roman" w:cs="Times New Roman"/>
          <w:sz w:val="24"/>
          <w:szCs w:val="24"/>
        </w:rPr>
        <w:t>forneceria um conjunto básico</w:t>
      </w:r>
      <w:r w:rsidR="00CD43B6" w:rsidRPr="00421CAA">
        <w:rPr>
          <w:rFonts w:ascii="Times New Roman" w:hAnsi="Times New Roman" w:cs="Times New Roman"/>
          <w:sz w:val="24"/>
          <w:szCs w:val="24"/>
        </w:rPr>
        <w:t xml:space="preserve"> de serviços essenciais de NII como um ambiente de processamento distribuído, serviços de diretórios, </w:t>
      </w:r>
      <w:proofErr w:type="spellStart"/>
      <w:r w:rsidR="00CD43B6" w:rsidRPr="00421CAA">
        <w:rPr>
          <w:rFonts w:ascii="Times New Roman" w:hAnsi="Times New Roman" w:cs="Times New Roman"/>
          <w:sz w:val="24"/>
          <w:szCs w:val="24"/>
        </w:rPr>
        <w:t>groupware</w:t>
      </w:r>
      <w:proofErr w:type="spellEnd"/>
      <w:r w:rsidR="00CD43B6" w:rsidRPr="00421CAA">
        <w:rPr>
          <w:rFonts w:ascii="Times New Roman" w:hAnsi="Times New Roman" w:cs="Times New Roman"/>
          <w:sz w:val="24"/>
          <w:szCs w:val="24"/>
        </w:rPr>
        <w:t>, e-mail com recursos multimídia e kits de ferramentas de desenvolvimento. Os serviços que poderiam ser realizados na NII seriam de caráter multimídia, fornecendo aos clientes uma experiência sensorial ao extremo</w:t>
      </w:r>
      <w:r w:rsidR="00B22328" w:rsidRPr="00421CAA">
        <w:rPr>
          <w:rFonts w:ascii="Times New Roman" w:hAnsi="Times New Roman" w:cs="Times New Roman"/>
          <w:sz w:val="24"/>
          <w:szCs w:val="24"/>
        </w:rPr>
        <w:t xml:space="preserve">.  </w:t>
      </w:r>
    </w:p>
    <w:p w:rsidR="005042A7" w:rsidRPr="00421CAA" w:rsidRDefault="008618BA" w:rsidP="002D70BC">
      <w:pPr>
        <w:spacing w:after="0" w:line="360" w:lineRule="auto"/>
        <w:ind w:firstLine="567"/>
        <w:jc w:val="both"/>
        <w:rPr>
          <w:rFonts w:ascii="Times New Roman" w:hAnsi="Times New Roman" w:cs="Times New Roman"/>
          <w:sz w:val="24"/>
          <w:szCs w:val="24"/>
        </w:rPr>
      </w:pPr>
      <w:r w:rsidRPr="00421CAA">
        <w:rPr>
          <w:rFonts w:ascii="Times New Roman" w:hAnsi="Times New Roman" w:cs="Times New Roman"/>
          <w:sz w:val="24"/>
          <w:szCs w:val="24"/>
        </w:rPr>
        <w:t xml:space="preserve">O </w:t>
      </w:r>
      <w:r w:rsidR="00B22328" w:rsidRPr="00421CAA">
        <w:rPr>
          <w:rFonts w:ascii="Times New Roman" w:hAnsi="Times New Roman" w:cs="Times New Roman"/>
          <w:sz w:val="24"/>
          <w:szCs w:val="24"/>
        </w:rPr>
        <w:t xml:space="preserve">NCB </w:t>
      </w:r>
      <w:r w:rsidRPr="00421CAA">
        <w:rPr>
          <w:rFonts w:ascii="Times New Roman" w:hAnsi="Times New Roman" w:cs="Times New Roman"/>
          <w:sz w:val="24"/>
          <w:szCs w:val="24"/>
        </w:rPr>
        <w:t xml:space="preserve">e seus 1.500 funcionários se sentiam preparados para cumprirem sua missão de conduzir Cingapura para a era da informação. Seu </w:t>
      </w:r>
      <w:r w:rsidR="00B54296" w:rsidRPr="00421CAA">
        <w:rPr>
          <w:rFonts w:ascii="Times New Roman" w:hAnsi="Times New Roman" w:cs="Times New Roman"/>
          <w:sz w:val="24"/>
          <w:szCs w:val="24"/>
        </w:rPr>
        <w:t xml:space="preserve">presidente, </w:t>
      </w:r>
      <w:proofErr w:type="spellStart"/>
      <w:r w:rsidR="00B54296" w:rsidRPr="00421CAA">
        <w:rPr>
          <w:rFonts w:ascii="Times New Roman" w:hAnsi="Times New Roman" w:cs="Times New Roman"/>
          <w:sz w:val="24"/>
          <w:szCs w:val="24"/>
        </w:rPr>
        <w:t>Tan</w:t>
      </w:r>
      <w:proofErr w:type="spellEnd"/>
      <w:r w:rsidR="00B54296" w:rsidRPr="00421CAA">
        <w:rPr>
          <w:rFonts w:ascii="Times New Roman" w:hAnsi="Times New Roman" w:cs="Times New Roman"/>
          <w:sz w:val="24"/>
          <w:szCs w:val="24"/>
        </w:rPr>
        <w:t xml:space="preserve"> Chin Nam, explicou</w:t>
      </w:r>
      <w:r w:rsidR="00B22328" w:rsidRPr="00421CAA">
        <w:rPr>
          <w:rFonts w:ascii="Times New Roman" w:hAnsi="Times New Roman" w:cs="Times New Roman"/>
          <w:sz w:val="24"/>
          <w:szCs w:val="24"/>
        </w:rPr>
        <w:t xml:space="preserve"> que</w:t>
      </w:r>
      <w:r w:rsidR="00B54296" w:rsidRPr="00421CAA">
        <w:rPr>
          <w:rFonts w:ascii="Times New Roman" w:hAnsi="Times New Roman" w:cs="Times New Roman"/>
          <w:sz w:val="24"/>
          <w:szCs w:val="24"/>
        </w:rPr>
        <w:t xml:space="preserve">: “Em 1981, a mobilização original de informatização, que levou ao estabelecimento do NCB, exigiu o desenvolvimento de competência fundamental em tecnologia de software para computador. Em 1986, o plano nacional de TI começou integrar essa competência de software embrionário com a tecnologia de comunicação para criar aplicação de TI de primeiro mundo. Em 1991, o Plano Mestre de TI [integrava] as tecnologias de computação e de comunicações [...] para gerar uma visão de Cingapura como ilha inteligente com avançada infraestrutura </w:t>
      </w:r>
      <w:r w:rsidR="006D5DAA" w:rsidRPr="00421CAA">
        <w:rPr>
          <w:rFonts w:ascii="Times New Roman" w:hAnsi="Times New Roman" w:cs="Times New Roman"/>
          <w:sz w:val="24"/>
          <w:szCs w:val="24"/>
        </w:rPr>
        <w:t>da informação”.</w:t>
      </w:r>
    </w:p>
    <w:p w:rsidR="001C0518" w:rsidRPr="00421CAA" w:rsidRDefault="006D5DAA" w:rsidP="002D70BC">
      <w:pPr>
        <w:spacing w:after="0" w:line="360" w:lineRule="auto"/>
        <w:ind w:firstLine="567"/>
        <w:jc w:val="both"/>
        <w:rPr>
          <w:rFonts w:ascii="Times New Roman" w:hAnsi="Times New Roman" w:cs="Times New Roman"/>
          <w:sz w:val="24"/>
          <w:szCs w:val="24"/>
        </w:rPr>
      </w:pPr>
      <w:r w:rsidRPr="00421CAA">
        <w:rPr>
          <w:rFonts w:ascii="Times New Roman" w:hAnsi="Times New Roman" w:cs="Times New Roman"/>
          <w:sz w:val="24"/>
          <w:szCs w:val="24"/>
        </w:rPr>
        <w:t xml:space="preserve">O primeiro-ministro de Cingapura estava igualmente confiante: </w:t>
      </w:r>
      <w:r w:rsidR="001C0518" w:rsidRPr="00421CAA">
        <w:rPr>
          <w:rFonts w:ascii="Times New Roman" w:hAnsi="Times New Roman" w:cs="Times New Roman"/>
          <w:sz w:val="24"/>
          <w:szCs w:val="24"/>
        </w:rPr>
        <w:t>“</w:t>
      </w:r>
      <w:r w:rsidRPr="00421CAA">
        <w:rPr>
          <w:rFonts w:ascii="Times New Roman" w:hAnsi="Times New Roman" w:cs="Times New Roman"/>
          <w:sz w:val="24"/>
          <w:szCs w:val="24"/>
        </w:rPr>
        <w:t>O plano [IT200] reafirmou o papel estratégico que a TI ira desempenhar na etapa seguinte do desenvolvimento de Cingapura e</w:t>
      </w:r>
      <w:r w:rsidR="001C0518" w:rsidRPr="00421CAA">
        <w:rPr>
          <w:rFonts w:ascii="Times New Roman" w:hAnsi="Times New Roman" w:cs="Times New Roman"/>
          <w:sz w:val="24"/>
          <w:szCs w:val="24"/>
        </w:rPr>
        <w:t xml:space="preserve"> mostrou que, pelo fato do país ter ousado sonhar, irá se tornar uma realidade. [...] Nosso destino é continuarmos a todo vapor para poder acompanhar as mudanças na nova economia mundial”.</w:t>
      </w:r>
      <w:r w:rsidR="00B22328" w:rsidRPr="00421CAA">
        <w:rPr>
          <w:rFonts w:ascii="Times New Roman" w:hAnsi="Times New Roman" w:cs="Times New Roman"/>
          <w:sz w:val="24"/>
          <w:szCs w:val="24"/>
        </w:rPr>
        <w:t xml:space="preserve"> </w:t>
      </w:r>
      <w:r w:rsidR="001C0518" w:rsidRPr="00421CAA">
        <w:rPr>
          <w:rFonts w:ascii="Times New Roman" w:hAnsi="Times New Roman" w:cs="Times New Roman"/>
          <w:sz w:val="24"/>
          <w:szCs w:val="24"/>
        </w:rPr>
        <w:t xml:space="preserve">Em </w:t>
      </w:r>
      <w:r w:rsidR="00AA28D2" w:rsidRPr="00421CAA">
        <w:rPr>
          <w:rFonts w:ascii="Times New Roman" w:hAnsi="Times New Roman" w:cs="Times New Roman"/>
          <w:sz w:val="24"/>
          <w:szCs w:val="24"/>
        </w:rPr>
        <w:t xml:space="preserve">maio de 1995, neste sentido, </w:t>
      </w:r>
      <w:r w:rsidR="001C0518" w:rsidRPr="00421CAA">
        <w:rPr>
          <w:rFonts w:ascii="Times New Roman" w:hAnsi="Times New Roman" w:cs="Times New Roman"/>
          <w:sz w:val="24"/>
          <w:szCs w:val="24"/>
        </w:rPr>
        <w:t xml:space="preserve">a organização para o desenvolvimento e Cooperação econômica anunciou que Cingapura seria promovida à categoria de “país desenvolvido” em janeiro de 1996. </w:t>
      </w:r>
    </w:p>
    <w:p w:rsidR="005042A7" w:rsidRPr="00F86375" w:rsidRDefault="005042A7" w:rsidP="00C76639">
      <w:pPr>
        <w:spacing w:line="360" w:lineRule="auto"/>
        <w:ind w:firstLine="567"/>
        <w:jc w:val="both"/>
        <w:rPr>
          <w:rFonts w:ascii="Arial" w:hAnsi="Arial" w:cs="Arial"/>
          <w:sz w:val="24"/>
          <w:szCs w:val="24"/>
        </w:rPr>
      </w:pPr>
      <w:bookmarkStart w:id="0" w:name="_GoBack"/>
      <w:bookmarkEnd w:id="0"/>
    </w:p>
    <w:sectPr w:rsidR="005042A7" w:rsidRPr="00F8637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7B" w:rsidRDefault="00755E7B" w:rsidP="00015544">
      <w:pPr>
        <w:spacing w:after="0" w:line="240" w:lineRule="auto"/>
      </w:pPr>
      <w:r>
        <w:separator/>
      </w:r>
    </w:p>
  </w:endnote>
  <w:endnote w:type="continuationSeparator" w:id="0">
    <w:p w:rsidR="00755E7B" w:rsidRDefault="00755E7B" w:rsidP="0001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15761"/>
      <w:docPartObj>
        <w:docPartGallery w:val="Page Numbers (Bottom of Page)"/>
        <w:docPartUnique/>
      </w:docPartObj>
    </w:sdtPr>
    <w:sdtEndPr/>
    <w:sdtContent>
      <w:p w:rsidR="00015544" w:rsidRDefault="00015544">
        <w:pPr>
          <w:pStyle w:val="Rodap"/>
          <w:jc w:val="right"/>
        </w:pPr>
        <w:r>
          <w:fldChar w:fldCharType="begin"/>
        </w:r>
        <w:r>
          <w:instrText>PAGE   \* MERGEFORMAT</w:instrText>
        </w:r>
        <w:r>
          <w:fldChar w:fldCharType="separate"/>
        </w:r>
        <w:r w:rsidR="00421CAA">
          <w:rPr>
            <w:noProof/>
          </w:rPr>
          <w:t>1</w:t>
        </w:r>
        <w:r>
          <w:fldChar w:fldCharType="end"/>
        </w:r>
      </w:p>
    </w:sdtContent>
  </w:sdt>
  <w:p w:rsidR="00015544" w:rsidRDefault="000155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7B" w:rsidRDefault="00755E7B" w:rsidP="00015544">
      <w:pPr>
        <w:spacing w:after="0" w:line="240" w:lineRule="auto"/>
      </w:pPr>
      <w:r>
        <w:separator/>
      </w:r>
    </w:p>
  </w:footnote>
  <w:footnote w:type="continuationSeparator" w:id="0">
    <w:p w:rsidR="00755E7B" w:rsidRDefault="00755E7B" w:rsidP="00015544">
      <w:pPr>
        <w:spacing w:after="0" w:line="240" w:lineRule="auto"/>
      </w:pPr>
      <w:r>
        <w:continuationSeparator/>
      </w:r>
    </w:p>
  </w:footnote>
  <w:footnote w:id="1">
    <w:p w:rsidR="00421CAA" w:rsidRPr="00421CAA" w:rsidRDefault="00421CAA" w:rsidP="00421CAA">
      <w:pPr>
        <w:pStyle w:val="Textodenotaderodap"/>
        <w:jc w:val="both"/>
        <w:rPr>
          <w:rFonts w:ascii="Times New Roman" w:hAnsi="Times New Roman" w:cs="Times New Roman"/>
        </w:rPr>
      </w:pPr>
      <w:r w:rsidRPr="00421CAA">
        <w:rPr>
          <w:rStyle w:val="Refdenotaderodap"/>
          <w:rFonts w:ascii="Times New Roman" w:hAnsi="Times New Roman" w:cs="Times New Roman"/>
        </w:rPr>
        <w:footnoteRef/>
      </w:r>
      <w:r w:rsidRPr="00421CAA">
        <w:rPr>
          <w:rFonts w:ascii="Times New Roman" w:hAnsi="Times New Roman" w:cs="Times New Roman"/>
        </w:rPr>
        <w:t xml:space="preserve"> Pós-graduando em Gestão Empresarial pela Universidade Estácio de Sá e Graduado em Relações Internacionais pela Universidade Estadual da Paraíba.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75"/>
    <w:rsid w:val="00015544"/>
    <w:rsid w:val="000739D4"/>
    <w:rsid w:val="000B1753"/>
    <w:rsid w:val="001C0518"/>
    <w:rsid w:val="002D70BC"/>
    <w:rsid w:val="00421CAA"/>
    <w:rsid w:val="005042A7"/>
    <w:rsid w:val="006169D9"/>
    <w:rsid w:val="006D5DAA"/>
    <w:rsid w:val="00755E7B"/>
    <w:rsid w:val="008618BA"/>
    <w:rsid w:val="00A20CA0"/>
    <w:rsid w:val="00A56138"/>
    <w:rsid w:val="00AA28D2"/>
    <w:rsid w:val="00B22328"/>
    <w:rsid w:val="00B54296"/>
    <w:rsid w:val="00B757D9"/>
    <w:rsid w:val="00C76639"/>
    <w:rsid w:val="00CD43B6"/>
    <w:rsid w:val="00D40392"/>
    <w:rsid w:val="00D67CDC"/>
    <w:rsid w:val="00DE77F1"/>
    <w:rsid w:val="00F46A4E"/>
    <w:rsid w:val="00F61BF3"/>
    <w:rsid w:val="00F86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55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5544"/>
  </w:style>
  <w:style w:type="paragraph" w:styleId="Rodap">
    <w:name w:val="footer"/>
    <w:basedOn w:val="Normal"/>
    <w:link w:val="RodapChar"/>
    <w:uiPriority w:val="99"/>
    <w:unhideWhenUsed/>
    <w:rsid w:val="00015544"/>
    <w:pPr>
      <w:tabs>
        <w:tab w:val="center" w:pos="4252"/>
        <w:tab w:val="right" w:pos="8504"/>
      </w:tabs>
      <w:spacing w:after="0" w:line="240" w:lineRule="auto"/>
    </w:pPr>
  </w:style>
  <w:style w:type="character" w:customStyle="1" w:styleId="RodapChar">
    <w:name w:val="Rodapé Char"/>
    <w:basedOn w:val="Fontepargpadro"/>
    <w:link w:val="Rodap"/>
    <w:uiPriority w:val="99"/>
    <w:rsid w:val="00015544"/>
  </w:style>
  <w:style w:type="paragraph" w:styleId="NormalWeb">
    <w:name w:val="Normal (Web)"/>
    <w:basedOn w:val="Normal"/>
    <w:uiPriority w:val="99"/>
    <w:unhideWhenUsed/>
    <w:rsid w:val="00AA28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E77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7F1"/>
    <w:rPr>
      <w:rFonts w:ascii="Tahoma" w:hAnsi="Tahoma" w:cs="Tahoma"/>
      <w:sz w:val="16"/>
      <w:szCs w:val="16"/>
    </w:rPr>
  </w:style>
  <w:style w:type="paragraph" w:styleId="Textodenotaderodap">
    <w:name w:val="footnote text"/>
    <w:basedOn w:val="Normal"/>
    <w:link w:val="TextodenotaderodapChar"/>
    <w:uiPriority w:val="99"/>
    <w:semiHidden/>
    <w:unhideWhenUsed/>
    <w:rsid w:val="00421C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1CAA"/>
    <w:rPr>
      <w:sz w:val="20"/>
      <w:szCs w:val="20"/>
    </w:rPr>
  </w:style>
  <w:style w:type="character" w:styleId="Refdenotaderodap">
    <w:name w:val="footnote reference"/>
    <w:basedOn w:val="Fontepargpadro"/>
    <w:uiPriority w:val="99"/>
    <w:semiHidden/>
    <w:unhideWhenUsed/>
    <w:rsid w:val="00421C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55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5544"/>
  </w:style>
  <w:style w:type="paragraph" w:styleId="Rodap">
    <w:name w:val="footer"/>
    <w:basedOn w:val="Normal"/>
    <w:link w:val="RodapChar"/>
    <w:uiPriority w:val="99"/>
    <w:unhideWhenUsed/>
    <w:rsid w:val="00015544"/>
    <w:pPr>
      <w:tabs>
        <w:tab w:val="center" w:pos="4252"/>
        <w:tab w:val="right" w:pos="8504"/>
      </w:tabs>
      <w:spacing w:after="0" w:line="240" w:lineRule="auto"/>
    </w:pPr>
  </w:style>
  <w:style w:type="character" w:customStyle="1" w:styleId="RodapChar">
    <w:name w:val="Rodapé Char"/>
    <w:basedOn w:val="Fontepargpadro"/>
    <w:link w:val="Rodap"/>
    <w:uiPriority w:val="99"/>
    <w:rsid w:val="00015544"/>
  </w:style>
  <w:style w:type="paragraph" w:styleId="NormalWeb">
    <w:name w:val="Normal (Web)"/>
    <w:basedOn w:val="Normal"/>
    <w:uiPriority w:val="99"/>
    <w:unhideWhenUsed/>
    <w:rsid w:val="00AA28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E77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7F1"/>
    <w:rPr>
      <w:rFonts w:ascii="Tahoma" w:hAnsi="Tahoma" w:cs="Tahoma"/>
      <w:sz w:val="16"/>
      <w:szCs w:val="16"/>
    </w:rPr>
  </w:style>
  <w:style w:type="paragraph" w:styleId="Textodenotaderodap">
    <w:name w:val="footnote text"/>
    <w:basedOn w:val="Normal"/>
    <w:link w:val="TextodenotaderodapChar"/>
    <w:uiPriority w:val="99"/>
    <w:semiHidden/>
    <w:unhideWhenUsed/>
    <w:rsid w:val="00421C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1CAA"/>
    <w:rPr>
      <w:sz w:val="20"/>
      <w:szCs w:val="20"/>
    </w:rPr>
  </w:style>
  <w:style w:type="character" w:styleId="Refdenotaderodap">
    <w:name w:val="footnote reference"/>
    <w:basedOn w:val="Fontepargpadro"/>
    <w:uiPriority w:val="99"/>
    <w:semiHidden/>
    <w:unhideWhenUsed/>
    <w:rsid w:val="00421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BC9B-E3B5-424B-B526-0E22A978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Neide</cp:lastModifiedBy>
  <cp:revision>6</cp:revision>
  <dcterms:created xsi:type="dcterms:W3CDTF">2016-03-31T12:29:00Z</dcterms:created>
  <dcterms:modified xsi:type="dcterms:W3CDTF">2016-05-02T12:23:00Z</dcterms:modified>
</cp:coreProperties>
</file>