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B0" w:rsidRPr="004408B0" w:rsidRDefault="004408B0" w:rsidP="004408B0">
      <w:pPr>
        <w:spacing w:after="0"/>
        <w:jc w:val="center"/>
        <w:rPr>
          <w:b/>
          <w:i/>
          <w:iCs/>
        </w:rPr>
      </w:pPr>
      <w:r w:rsidRPr="004408B0">
        <w:rPr>
          <w:b/>
          <w:i/>
          <w:iCs/>
        </w:rPr>
        <w:t>PROCEDIMENTO DE INCORPORAÇÃO DE NORMAS DE DIREITO INTERNACIONAL PÚBLICO</w:t>
      </w:r>
    </w:p>
    <w:p w:rsidR="00781A6D" w:rsidRPr="00781A6D" w:rsidRDefault="00781A6D" w:rsidP="00781A6D">
      <w:pPr>
        <w:spacing w:after="0"/>
        <w:jc w:val="right"/>
        <w:rPr>
          <w:i/>
          <w:iCs/>
        </w:rPr>
      </w:pPr>
      <w:r>
        <w:rPr>
          <w:i/>
          <w:iCs/>
        </w:rPr>
        <w:t>Thais Rodrigues da Silva</w:t>
      </w:r>
    </w:p>
    <w:p w:rsidR="007B0FD2" w:rsidRPr="004408B0" w:rsidRDefault="007B0FD2" w:rsidP="004408B0">
      <w:pPr>
        <w:tabs>
          <w:tab w:val="center" w:pos="4535"/>
          <w:tab w:val="left" w:pos="7334"/>
        </w:tabs>
        <w:spacing w:after="0"/>
        <w:rPr>
          <w:b/>
          <w:bCs/>
        </w:rPr>
      </w:pPr>
    </w:p>
    <w:p w:rsidR="007B0FD2" w:rsidRDefault="007B0FD2" w:rsidP="007B0FD2">
      <w:pPr>
        <w:spacing w:after="0"/>
        <w:ind w:firstLine="1134"/>
        <w:jc w:val="both"/>
      </w:pPr>
      <w:r>
        <w:t>O Direito Internacional Público disciplina normas da sociedade internacional, dos Estados autônomos e independentes</w:t>
      </w:r>
      <w:r w:rsidR="00D160EB">
        <w:t>, bem como das organizações internacionais</w:t>
      </w:r>
      <w:r>
        <w:t>. Desse modo, regulamenta as relações firmadas entre tais</w:t>
      </w:r>
      <w:r w:rsidR="00D160EB">
        <w:t>,</w:t>
      </w:r>
      <w:r>
        <w:t xml:space="preserve"> com o objetivo de harmonizar a coexistência de vários estados, não sendo obrigatório a </w:t>
      </w:r>
      <w:proofErr w:type="spellStart"/>
      <w:r>
        <w:t>internalização</w:t>
      </w:r>
      <w:proofErr w:type="spellEnd"/>
      <w:r>
        <w:t xml:space="preserve"> destas no ordenamento jurídico pátrio. De acordo com </w:t>
      </w:r>
      <w:proofErr w:type="spellStart"/>
      <w:r>
        <w:t>Valerio</w:t>
      </w:r>
      <w:proofErr w:type="spellEnd"/>
      <w:r>
        <w:t xml:space="preserve"> Oliveira, nesse caso “o Direito vai deixando de somente </w:t>
      </w:r>
      <w:proofErr w:type="gramStart"/>
      <w:r>
        <w:t>regular</w:t>
      </w:r>
      <w:proofErr w:type="gramEnd"/>
      <w:r>
        <w:t xml:space="preserve"> </w:t>
      </w:r>
      <w:proofErr w:type="gramStart"/>
      <w:r>
        <w:t>questões</w:t>
      </w:r>
      <w:proofErr w:type="gramEnd"/>
      <w:r>
        <w:t xml:space="preserve"> internas para </w:t>
      </w:r>
      <w:r w:rsidRPr="00D160EB">
        <w:rPr>
          <w:i/>
          <w:iCs/>
        </w:rPr>
        <w:t>também</w:t>
      </w:r>
      <w:r>
        <w:t xml:space="preserve"> disciplinar atividades que transcendem os limites físicos dos Estados</w:t>
      </w:r>
      <w:r w:rsidR="00D160EB">
        <w:t>, criando um conjunto de normas capazes de realizar esse mister”(2012,p.48)</w:t>
      </w:r>
    </w:p>
    <w:p w:rsidR="007B0FD2" w:rsidRDefault="00D160EB" w:rsidP="00D160EB">
      <w:pPr>
        <w:tabs>
          <w:tab w:val="center" w:pos="5102"/>
        </w:tabs>
        <w:spacing w:after="0"/>
        <w:ind w:firstLine="1134"/>
        <w:jc w:val="both"/>
      </w:pPr>
      <w:r>
        <w:t xml:space="preserve">No Brasil, por exemplo, a recepção dos tratados e convenções </w:t>
      </w:r>
      <w:r w:rsidR="00B25430">
        <w:t>está</w:t>
      </w:r>
      <w:r>
        <w:t xml:space="preserve"> sujeitos à apreciação do Congresso Nacional</w:t>
      </w:r>
      <w:r w:rsidR="00B25430">
        <w:t>, embora seja competência do Presidente da República a celebração destes</w:t>
      </w:r>
      <w:r>
        <w:t xml:space="preserve">. </w:t>
      </w:r>
      <w:r w:rsidR="00B25430">
        <w:t xml:space="preserve">Como dispõe os artigos 84 e 49 da Constituição Federal: </w:t>
      </w:r>
    </w:p>
    <w:p w:rsidR="00B25430" w:rsidRPr="00B25430" w:rsidRDefault="00B25430" w:rsidP="00B25430">
      <w:pPr>
        <w:tabs>
          <w:tab w:val="center" w:pos="5102"/>
        </w:tabs>
        <w:spacing w:after="0" w:line="240" w:lineRule="auto"/>
        <w:ind w:left="2268"/>
        <w:jc w:val="both"/>
        <w:rPr>
          <w:sz w:val="20"/>
          <w:szCs w:val="20"/>
        </w:rPr>
      </w:pPr>
      <w:r w:rsidRPr="00B25430">
        <w:rPr>
          <w:sz w:val="20"/>
          <w:szCs w:val="20"/>
        </w:rPr>
        <w:t>Art. 84. Compete privativamente ao Presidente da República:</w:t>
      </w:r>
    </w:p>
    <w:p w:rsidR="00B25430" w:rsidRDefault="00B25430" w:rsidP="00B25430">
      <w:pPr>
        <w:tabs>
          <w:tab w:val="center" w:pos="5102"/>
        </w:tabs>
        <w:spacing w:after="0" w:line="240" w:lineRule="auto"/>
        <w:ind w:left="2268"/>
        <w:jc w:val="both"/>
        <w:rPr>
          <w:sz w:val="20"/>
          <w:szCs w:val="20"/>
        </w:rPr>
      </w:pPr>
      <w:r w:rsidRPr="00B25430">
        <w:rPr>
          <w:sz w:val="20"/>
          <w:szCs w:val="20"/>
        </w:rPr>
        <w:t>VIII - celebrar tratados, convenções e atos internacionais, sujeitos a referendo do Congresso Nacional;</w:t>
      </w:r>
    </w:p>
    <w:p w:rsidR="00B25430" w:rsidRPr="00B25430" w:rsidRDefault="00B25430" w:rsidP="00B25430">
      <w:pPr>
        <w:tabs>
          <w:tab w:val="center" w:pos="5102"/>
        </w:tabs>
        <w:spacing w:after="0" w:line="240" w:lineRule="auto"/>
        <w:ind w:left="2268"/>
        <w:jc w:val="center"/>
        <w:rPr>
          <w:sz w:val="20"/>
          <w:szCs w:val="20"/>
        </w:rPr>
      </w:pPr>
      <w:r>
        <w:rPr>
          <w:sz w:val="20"/>
          <w:szCs w:val="20"/>
        </w:rPr>
        <w:t>****</w:t>
      </w:r>
    </w:p>
    <w:p w:rsidR="00B25430" w:rsidRPr="00B25430" w:rsidRDefault="00B25430" w:rsidP="00B25430">
      <w:pPr>
        <w:tabs>
          <w:tab w:val="center" w:pos="5102"/>
        </w:tabs>
        <w:spacing w:after="0" w:line="240" w:lineRule="auto"/>
        <w:ind w:left="2268"/>
        <w:jc w:val="both"/>
        <w:rPr>
          <w:sz w:val="20"/>
          <w:szCs w:val="20"/>
        </w:rPr>
      </w:pPr>
      <w:r w:rsidRPr="00B25430">
        <w:rPr>
          <w:sz w:val="20"/>
          <w:szCs w:val="20"/>
        </w:rPr>
        <w:t>Art. 49. É da competência exclusiva do Congresso Nacional:</w:t>
      </w:r>
    </w:p>
    <w:p w:rsidR="00B25430" w:rsidRPr="00B25430" w:rsidRDefault="00B25430" w:rsidP="00B25430">
      <w:pPr>
        <w:tabs>
          <w:tab w:val="center" w:pos="5102"/>
        </w:tabs>
        <w:spacing w:after="0" w:line="240" w:lineRule="auto"/>
        <w:ind w:left="2268"/>
        <w:jc w:val="both"/>
        <w:rPr>
          <w:sz w:val="20"/>
          <w:szCs w:val="20"/>
        </w:rPr>
      </w:pPr>
      <w:r w:rsidRPr="00B25430">
        <w:rPr>
          <w:sz w:val="20"/>
          <w:szCs w:val="20"/>
        </w:rPr>
        <w:t>I - resolver definitivamente sobre tratados, acordos ou atos internacionais que acarretem encargos ou compromissos gravosos ao patrimônio nacional;</w:t>
      </w:r>
    </w:p>
    <w:p w:rsidR="00B25430" w:rsidRPr="007B0FD2" w:rsidRDefault="00B25430" w:rsidP="00D160EB">
      <w:pPr>
        <w:tabs>
          <w:tab w:val="center" w:pos="5102"/>
        </w:tabs>
        <w:spacing w:after="0"/>
        <w:ind w:firstLine="1134"/>
        <w:jc w:val="both"/>
      </w:pPr>
    </w:p>
    <w:p w:rsidR="007B0FD2" w:rsidRDefault="00B25430" w:rsidP="00B25430">
      <w:pPr>
        <w:spacing w:after="0"/>
        <w:ind w:firstLine="1134"/>
        <w:jc w:val="both"/>
        <w:rPr>
          <w:rFonts w:eastAsia="Times New Roman" w:cs="Times New Roman"/>
          <w:szCs w:val="24"/>
          <w:lang w:eastAsia="pt-BR"/>
        </w:rPr>
      </w:pPr>
      <w:proofErr w:type="spellStart"/>
      <w:r>
        <w:rPr>
          <w:rFonts w:eastAsia="Times New Roman" w:cs="Times New Roman"/>
          <w:szCs w:val="24"/>
          <w:lang w:eastAsia="pt-BR"/>
        </w:rPr>
        <w:t>Valerio</w:t>
      </w:r>
      <w:proofErr w:type="spellEnd"/>
      <w:r>
        <w:rPr>
          <w:rFonts w:eastAsia="Times New Roman" w:cs="Times New Roman"/>
          <w:szCs w:val="24"/>
          <w:lang w:eastAsia="pt-BR"/>
        </w:rPr>
        <w:t xml:space="preserve"> de </w:t>
      </w:r>
      <w:proofErr w:type="spellStart"/>
      <w:r>
        <w:rPr>
          <w:rFonts w:eastAsia="Times New Roman" w:cs="Times New Roman"/>
          <w:szCs w:val="24"/>
          <w:lang w:eastAsia="pt-BR"/>
        </w:rPr>
        <w:t>Olievira</w:t>
      </w:r>
      <w:proofErr w:type="spellEnd"/>
      <w:r>
        <w:rPr>
          <w:rFonts w:eastAsia="Times New Roman" w:cs="Times New Roman"/>
          <w:szCs w:val="24"/>
          <w:lang w:eastAsia="pt-BR"/>
        </w:rPr>
        <w:t xml:space="preserve"> </w:t>
      </w:r>
      <w:proofErr w:type="spellStart"/>
      <w:r>
        <w:rPr>
          <w:rFonts w:eastAsia="Times New Roman" w:cs="Times New Roman"/>
          <w:szCs w:val="24"/>
          <w:lang w:eastAsia="pt-BR"/>
        </w:rPr>
        <w:t>Manzuolli</w:t>
      </w:r>
      <w:proofErr w:type="spellEnd"/>
      <w:r>
        <w:rPr>
          <w:rFonts w:eastAsia="Times New Roman" w:cs="Times New Roman"/>
          <w:szCs w:val="24"/>
          <w:lang w:eastAsia="pt-BR"/>
        </w:rPr>
        <w:t xml:space="preserve"> expõe que apenas alguns procedimentos poderiam</w:t>
      </w:r>
      <w:proofErr w:type="gramStart"/>
      <w:r>
        <w:rPr>
          <w:rFonts w:eastAsia="Times New Roman" w:cs="Times New Roman"/>
          <w:szCs w:val="24"/>
          <w:lang w:eastAsia="pt-BR"/>
        </w:rPr>
        <w:t xml:space="preserve">  </w:t>
      </w:r>
      <w:proofErr w:type="gramEnd"/>
      <w:r>
        <w:rPr>
          <w:rFonts w:eastAsia="Times New Roman" w:cs="Times New Roman"/>
          <w:szCs w:val="24"/>
          <w:lang w:eastAsia="pt-BR"/>
        </w:rPr>
        <w:t>ser feitos sem apreciação do</w:t>
      </w:r>
      <w:r w:rsidR="003F70D4">
        <w:rPr>
          <w:rFonts w:eastAsia="Times New Roman" w:cs="Times New Roman"/>
          <w:szCs w:val="24"/>
          <w:lang w:eastAsia="pt-BR"/>
        </w:rPr>
        <w:t xml:space="preserve"> </w:t>
      </w:r>
      <w:r>
        <w:rPr>
          <w:rFonts w:eastAsia="Times New Roman" w:cs="Times New Roman"/>
          <w:szCs w:val="24"/>
          <w:lang w:eastAsia="pt-BR"/>
        </w:rPr>
        <w:t>Poder Legislativo,</w:t>
      </w:r>
      <w:r w:rsidR="00AC7D86">
        <w:rPr>
          <w:rFonts w:eastAsia="Times New Roman" w:cs="Times New Roman"/>
          <w:szCs w:val="24"/>
          <w:lang w:eastAsia="pt-BR"/>
        </w:rPr>
        <w:t xml:space="preserve"> em discussões acerca de </w:t>
      </w:r>
      <w:proofErr w:type="spellStart"/>
      <w:r w:rsidR="00AC7D86">
        <w:rPr>
          <w:rFonts w:eastAsia="Times New Roman" w:cs="Times New Roman"/>
          <w:szCs w:val="24"/>
          <w:lang w:eastAsia="pt-BR"/>
        </w:rPr>
        <w:t>Cdonstituições</w:t>
      </w:r>
      <w:proofErr w:type="spellEnd"/>
      <w:r w:rsidR="00AC7D86">
        <w:rPr>
          <w:rFonts w:eastAsia="Times New Roman" w:cs="Times New Roman"/>
          <w:szCs w:val="24"/>
          <w:lang w:eastAsia="pt-BR"/>
        </w:rPr>
        <w:t xml:space="preserve"> anteriores,</w:t>
      </w:r>
      <w:r>
        <w:rPr>
          <w:rFonts w:eastAsia="Times New Roman" w:cs="Times New Roman"/>
          <w:szCs w:val="24"/>
          <w:lang w:eastAsia="pt-BR"/>
        </w:rPr>
        <w:t xml:space="preserve"> tais como: acordos relacionados ao executivo, atos de funcionários competentes, os que representam apenas interpretaçã</w:t>
      </w:r>
      <w:r w:rsidR="003F70D4">
        <w:rPr>
          <w:rFonts w:eastAsia="Times New Roman" w:cs="Times New Roman"/>
          <w:szCs w:val="24"/>
          <w:lang w:eastAsia="pt-BR"/>
        </w:rPr>
        <w:t>o de outras normas já vigentes ou os que decorrem destes, bases de negociação, a prorrogação, e, as declarações de extradição (2012).</w:t>
      </w:r>
    </w:p>
    <w:p w:rsidR="003F70D4" w:rsidRDefault="003F70D4" w:rsidP="0027643C">
      <w:pPr>
        <w:spacing w:after="0"/>
        <w:ind w:firstLine="1134"/>
        <w:jc w:val="both"/>
        <w:rPr>
          <w:rFonts w:eastAsia="Times New Roman" w:cs="Times New Roman"/>
          <w:szCs w:val="24"/>
          <w:lang w:eastAsia="pt-BR"/>
        </w:rPr>
      </w:pPr>
      <w:r>
        <w:rPr>
          <w:rFonts w:eastAsia="Times New Roman" w:cs="Times New Roman"/>
          <w:szCs w:val="24"/>
          <w:lang w:eastAsia="pt-BR"/>
        </w:rPr>
        <w:t xml:space="preserve">Ademais, o Supremo Tribunal Federal entende que, para que as normas internacionais sejam internalizadas no ordenamento jurídico brasileiro, </w:t>
      </w:r>
      <w:proofErr w:type="gramStart"/>
      <w:r>
        <w:rPr>
          <w:rFonts w:eastAsia="Times New Roman" w:cs="Times New Roman"/>
          <w:szCs w:val="24"/>
          <w:lang w:eastAsia="pt-BR"/>
        </w:rPr>
        <w:t>deve-se</w:t>
      </w:r>
      <w:proofErr w:type="gramEnd"/>
      <w:r>
        <w:rPr>
          <w:rFonts w:eastAsia="Times New Roman" w:cs="Times New Roman"/>
          <w:szCs w:val="24"/>
          <w:lang w:eastAsia="pt-BR"/>
        </w:rPr>
        <w:t xml:space="preserve"> considerar duas teorias: </w:t>
      </w:r>
      <w:proofErr w:type="spellStart"/>
      <w:r>
        <w:rPr>
          <w:rFonts w:eastAsia="Times New Roman" w:cs="Times New Roman"/>
          <w:szCs w:val="24"/>
          <w:lang w:eastAsia="pt-BR"/>
        </w:rPr>
        <w:t>monista</w:t>
      </w:r>
      <w:proofErr w:type="spellEnd"/>
      <w:r>
        <w:rPr>
          <w:rFonts w:eastAsia="Times New Roman" w:cs="Times New Roman"/>
          <w:szCs w:val="24"/>
          <w:lang w:eastAsia="pt-BR"/>
        </w:rPr>
        <w:t xml:space="preserve"> e dualista.</w:t>
      </w:r>
      <w:r w:rsidR="0027643C">
        <w:rPr>
          <w:rFonts w:eastAsia="Times New Roman" w:cs="Times New Roman"/>
          <w:szCs w:val="24"/>
          <w:lang w:eastAsia="pt-BR"/>
        </w:rPr>
        <w:t xml:space="preserve"> A doutrina dualista apregoa que “as normas de Direito Internacional só tem eficácia no âmbito internacional, ao passo que as normas de Direito interno só </w:t>
      </w:r>
      <w:proofErr w:type="gramStart"/>
      <w:r w:rsidR="0027643C">
        <w:rPr>
          <w:rFonts w:eastAsia="Times New Roman" w:cs="Times New Roman"/>
          <w:szCs w:val="24"/>
          <w:lang w:eastAsia="pt-BR"/>
        </w:rPr>
        <w:t>tem</w:t>
      </w:r>
      <w:proofErr w:type="gramEnd"/>
      <w:r w:rsidR="0027643C">
        <w:rPr>
          <w:rFonts w:eastAsia="Times New Roman" w:cs="Times New Roman"/>
          <w:szCs w:val="24"/>
          <w:lang w:eastAsia="pt-BR"/>
        </w:rPr>
        <w:t xml:space="preserve"> eficácia na ordem jurídica interna” e, para que sejam incorporadas é necessário processo legislativo. (MANZUOLLI, 2012, p. 80). A </w:t>
      </w:r>
      <w:proofErr w:type="spellStart"/>
      <w:r w:rsidR="0027643C">
        <w:rPr>
          <w:rFonts w:eastAsia="Times New Roman" w:cs="Times New Roman"/>
          <w:szCs w:val="24"/>
          <w:lang w:eastAsia="pt-BR"/>
        </w:rPr>
        <w:t>monista</w:t>
      </w:r>
      <w:proofErr w:type="spellEnd"/>
      <w:r w:rsidR="0027643C">
        <w:rPr>
          <w:rFonts w:eastAsia="Times New Roman" w:cs="Times New Roman"/>
          <w:szCs w:val="24"/>
          <w:lang w:eastAsia="pt-BR"/>
        </w:rPr>
        <w:t xml:space="preserve">, por sua vez, defende a existência de uma só ordem jurídica, e os tratados possuem eficácia </w:t>
      </w:r>
      <w:proofErr w:type="gramStart"/>
      <w:r w:rsidR="0027643C">
        <w:rPr>
          <w:rFonts w:eastAsia="Times New Roman" w:cs="Times New Roman"/>
          <w:szCs w:val="24"/>
          <w:lang w:eastAsia="pt-BR"/>
        </w:rPr>
        <w:t>imediata,</w:t>
      </w:r>
      <w:proofErr w:type="gramEnd"/>
      <w:r w:rsidR="0027643C">
        <w:rPr>
          <w:rFonts w:eastAsia="Times New Roman" w:cs="Times New Roman"/>
          <w:szCs w:val="24"/>
          <w:lang w:eastAsia="pt-BR"/>
        </w:rPr>
        <w:t>podendo ser exigidos como compromisso jurídico no ordenamento interno. (MANZUOLLI, 2012)</w:t>
      </w:r>
    </w:p>
    <w:p w:rsidR="0027643C" w:rsidRPr="00B25430" w:rsidRDefault="0027643C" w:rsidP="0027643C">
      <w:pPr>
        <w:spacing w:after="0"/>
        <w:ind w:firstLine="1134"/>
        <w:jc w:val="both"/>
        <w:rPr>
          <w:rFonts w:eastAsia="Times New Roman" w:cs="Times New Roman"/>
          <w:szCs w:val="24"/>
          <w:lang w:eastAsia="pt-BR"/>
        </w:rPr>
      </w:pPr>
      <w:r>
        <w:rPr>
          <w:rFonts w:eastAsia="Times New Roman" w:cs="Times New Roman"/>
          <w:szCs w:val="24"/>
          <w:lang w:eastAsia="pt-BR"/>
        </w:rPr>
        <w:lastRenderedPageBreak/>
        <w:t>Nesse sentido, o STF esclarece que o Brasil adota a teoria dualista, a qual exige apreciação do poder legislativo para incorporação de normas internacionais. Conforme anota jurisprudência a seguir:</w:t>
      </w:r>
    </w:p>
    <w:p w:rsidR="003F70D4" w:rsidRDefault="003F70D4" w:rsidP="00DF05E2">
      <w:pPr>
        <w:spacing w:after="0" w:line="240" w:lineRule="auto"/>
        <w:ind w:left="2268"/>
        <w:jc w:val="both"/>
        <w:rPr>
          <w:rFonts w:eastAsia="Times New Roman" w:cs="Times New Roman"/>
          <w:sz w:val="20"/>
          <w:szCs w:val="20"/>
          <w:lang w:eastAsia="pt-BR"/>
        </w:rPr>
      </w:pPr>
    </w:p>
    <w:p w:rsidR="00DF05E2" w:rsidRPr="00DF05E2" w:rsidRDefault="00DF05E2" w:rsidP="00DF05E2">
      <w:pPr>
        <w:spacing w:after="0" w:line="240" w:lineRule="auto"/>
        <w:ind w:left="2268"/>
        <w:jc w:val="both"/>
        <w:rPr>
          <w:rFonts w:eastAsia="Times New Roman" w:cs="Times New Roman"/>
          <w:sz w:val="20"/>
          <w:szCs w:val="20"/>
          <w:lang w:eastAsia="pt-BR"/>
        </w:rPr>
      </w:pPr>
      <w:r w:rsidRPr="00DF05E2">
        <w:rPr>
          <w:rFonts w:eastAsia="Times New Roman" w:cs="Times New Roman"/>
          <w:sz w:val="20"/>
          <w:szCs w:val="20"/>
          <w:lang w:eastAsia="pt-BR"/>
        </w:rPr>
        <w:t xml:space="preserve">E M E N T A: - AÇÃO DIRETA DE INCONSTITUCIONALIDADE - CONVENÇÃO Nº 158/OIT - PROTEÇÃO DO TRABALHADOR CONTRA A DESPEDIDA ARBITRÁRIA OU SEM JUSTA CAUSA - ARGÜIÇÃO DE ILEGITIMIDADE CONSTITUCIONAL DOS ATOS QUE INCORPORARAM ESSA CONVENÇÃO INTERNACIONAL AO DIREITO POSITIVO INTERNO DO BRASIL (DECRETO LEGISLATIVO Nº 68/92 E DECRETO Nº 1.855/96) - POSSIBILIDADE DE CONTROLE ABSTRATO DE CONSTITUCIONALIDADE DE TRATADOS OU CONVENÇÕES INTERNACIONAIS EM FACE DA CONSTITUIÇÃO DA REPÚBLICA - ALEGADA TRANSGRESSÃO AO ART. 7º, I, DA CONSTITUIÇÃO DA REPÚBLICA E AO ART. 10, I DO ADCT/88 - REGULAMENTAÇÃO NORMATIVA DA PROTEÇÃO CONTRA A DESPEDIDA ARBITRÁRIA OU SEM JUSTA CAUSA, POSTA </w:t>
      </w:r>
      <w:proofErr w:type="gramStart"/>
      <w:r w:rsidRPr="00DF05E2">
        <w:rPr>
          <w:rFonts w:eastAsia="Times New Roman" w:cs="Times New Roman"/>
          <w:sz w:val="20"/>
          <w:szCs w:val="20"/>
          <w:lang w:eastAsia="pt-BR"/>
        </w:rPr>
        <w:t>SOB RESERVA</w:t>
      </w:r>
      <w:proofErr w:type="gramEnd"/>
      <w:r w:rsidRPr="00DF05E2">
        <w:rPr>
          <w:rFonts w:eastAsia="Times New Roman" w:cs="Times New Roman"/>
          <w:sz w:val="20"/>
          <w:szCs w:val="20"/>
          <w:lang w:eastAsia="pt-BR"/>
        </w:rPr>
        <w:t xml:space="preserve"> CONSTITUCIONAL DE LEI COMPLEMENTAR - CONSEQÜENTE IMPOSSIBILIDADE JURÍDICA DE TRATADO OU CONVENÇÃO INTERNACIONAL ATUAR COMO SUCEDÂNEO DA LEI COMPLEMENTAR EXIGIDA PELA CONSTITUIÇÃO (CF, ART. 7º, I) - CONSAGRAÇÃO CONSTITUCIONAL DA GARANTIA DE INDENIZAÇÃO COMPENSATÓRIA COMO EXPRESSÃO DA REAÇÃO ESTATAL À DEMISSÃO ARBITRÁRIA DO TRABALHADOR (CF, ART. 7º, I, C/C O ART. 10, I DO ADCT/88) - CONTEÚDO PROGRAMÁTICO DA CONVENÇÃO Nº 158/OIT, CUJA APLICABILIDADE DEPENDE DA AÇÃO NORMATIVA DO LEGISLADOR INTERNO DE CADA PAÍS - POSSIBILIDADE DE ADEQUAÇÃO DAS DIRETRIZES CONSTANTES DA CONVENÇÃO Nº 158/OIT ÀS EXIGÊNCIAS FORMAIS E MATERIAIS DO ESTATUTO CONSTITUCIONAL BRASILEIRO - PEDIDO DE MEDIDA CAUTELAR DEFERIDO, EM PARTE, MEDIANTE INTERPRETAÇÃO CONFORME À CONSTITUIÇÃO. PROCEDIMENTO CONSTITUCIONAL DE INCORPORAÇÃO DOS TRATADOS OU CONVENÇÕES INTERNACIONAIS. - É na Constituição da República - e não na controvérsia </w:t>
      </w:r>
      <w:proofErr w:type="gramStart"/>
      <w:r w:rsidRPr="00DF05E2">
        <w:rPr>
          <w:rFonts w:eastAsia="Times New Roman" w:cs="Times New Roman"/>
          <w:sz w:val="20"/>
          <w:szCs w:val="20"/>
          <w:lang w:eastAsia="pt-BR"/>
        </w:rPr>
        <w:t xml:space="preserve">doutrinária que antagoniza </w:t>
      </w:r>
      <w:proofErr w:type="spellStart"/>
      <w:r w:rsidRPr="00DF05E2">
        <w:rPr>
          <w:rFonts w:eastAsia="Times New Roman" w:cs="Times New Roman"/>
          <w:sz w:val="20"/>
          <w:szCs w:val="20"/>
          <w:lang w:eastAsia="pt-BR"/>
        </w:rPr>
        <w:t>monistas</w:t>
      </w:r>
      <w:proofErr w:type="spellEnd"/>
      <w:r w:rsidRPr="00DF05E2">
        <w:rPr>
          <w:rFonts w:eastAsia="Times New Roman" w:cs="Times New Roman"/>
          <w:sz w:val="20"/>
          <w:szCs w:val="20"/>
          <w:lang w:eastAsia="pt-BR"/>
        </w:rPr>
        <w:t xml:space="preserve"> e dualistas - que se deve buscar</w:t>
      </w:r>
      <w:proofErr w:type="gramEnd"/>
      <w:r w:rsidRPr="00DF05E2">
        <w:rPr>
          <w:rFonts w:eastAsia="Times New Roman" w:cs="Times New Roman"/>
          <w:sz w:val="20"/>
          <w:szCs w:val="20"/>
          <w:lang w:eastAsia="pt-BR"/>
        </w:rPr>
        <w:t xml:space="preserve"> a solução normativa para a questão da incorporação dos atos internacionais ao sistema de direito positivo interno brasileiro</w:t>
      </w:r>
      <w:r w:rsidRPr="00DF05E2">
        <w:rPr>
          <w:rFonts w:eastAsia="Times New Roman" w:cs="Times New Roman"/>
          <w:b/>
          <w:bCs/>
          <w:sz w:val="20"/>
          <w:szCs w:val="20"/>
          <w:lang w:eastAsia="pt-BR"/>
        </w:rPr>
        <w:t>. O exame da vigente Constituição Federal permite constatar que a execução dos tratados internacionais e a sua incorporação à ordem jurídica interna decorrem, no sistema adotado pelo Brasil, de um ato subjetivamente complexo, resultante da conjugação de duas vontades homogêneas: a do Congresso Nacional, que resolve, definitivamente, mediante decreto legislativo, sobre tratados, acordos ou atos internacionais (CF, art. 49, I) e a do Presidente da República, que, além de poder celebrar esses atos de direito internacional (CF, art. 84, VIII), também dispõe - enquanto Chefe de Estado que é - da competência para promulgá-los mediante decreto.</w:t>
      </w:r>
      <w:r w:rsidRPr="00DF05E2">
        <w:rPr>
          <w:rFonts w:eastAsia="Times New Roman" w:cs="Times New Roman"/>
          <w:sz w:val="20"/>
          <w:szCs w:val="20"/>
          <w:lang w:eastAsia="pt-BR"/>
        </w:rPr>
        <w:t xml:space="preserve"> O </w:t>
      </w:r>
      <w:proofErr w:type="spellStart"/>
      <w:r w:rsidRPr="00DF05E2">
        <w:rPr>
          <w:rFonts w:eastAsia="Times New Roman" w:cs="Times New Roman"/>
          <w:sz w:val="20"/>
          <w:szCs w:val="20"/>
          <w:lang w:eastAsia="pt-BR"/>
        </w:rPr>
        <w:t>iter</w:t>
      </w:r>
      <w:proofErr w:type="spellEnd"/>
      <w:r w:rsidRPr="00DF05E2">
        <w:rPr>
          <w:rFonts w:eastAsia="Times New Roman" w:cs="Times New Roman"/>
          <w:sz w:val="20"/>
          <w:szCs w:val="20"/>
          <w:lang w:eastAsia="pt-BR"/>
        </w:rPr>
        <w:t xml:space="preserve"> procedimental de incorporação dos tratados internacionais - superadas as fases prévias da celebração da convenção internacional, de sua aprovação congressional e da ratificação pelo Chefe de Estado - conclui-se com a expedição, pelo Presidente da República, de decreto, de cuja edição </w:t>
      </w:r>
      <w:proofErr w:type="gramStart"/>
      <w:r w:rsidRPr="00DF05E2">
        <w:rPr>
          <w:rFonts w:eastAsia="Times New Roman" w:cs="Times New Roman"/>
          <w:sz w:val="20"/>
          <w:szCs w:val="20"/>
          <w:lang w:eastAsia="pt-BR"/>
        </w:rPr>
        <w:t>derivam</w:t>
      </w:r>
      <w:proofErr w:type="gramEnd"/>
      <w:r w:rsidRPr="00DF05E2">
        <w:rPr>
          <w:rFonts w:eastAsia="Times New Roman" w:cs="Times New Roman"/>
          <w:sz w:val="20"/>
          <w:szCs w:val="20"/>
          <w:lang w:eastAsia="pt-BR"/>
        </w:rPr>
        <w:t xml:space="preserve"> três efeitos básicos que lhe são inerentes: (a) a promulgação do tratado internacional; (b) a publicação oficial de seu texto; e (c) a </w:t>
      </w:r>
      <w:proofErr w:type="spellStart"/>
      <w:r w:rsidRPr="00DF05E2">
        <w:rPr>
          <w:rFonts w:eastAsia="Times New Roman" w:cs="Times New Roman"/>
          <w:sz w:val="20"/>
          <w:szCs w:val="20"/>
          <w:lang w:eastAsia="pt-BR"/>
        </w:rPr>
        <w:t>executoriedade</w:t>
      </w:r>
      <w:proofErr w:type="spellEnd"/>
      <w:r w:rsidRPr="00DF05E2">
        <w:rPr>
          <w:rFonts w:eastAsia="Times New Roman" w:cs="Times New Roman"/>
          <w:sz w:val="20"/>
          <w:szCs w:val="20"/>
          <w:lang w:eastAsia="pt-BR"/>
        </w:rPr>
        <w:t xml:space="preserve"> do ato internacional, que passa, então, e somente então, a vincular e a obrigar no plano do direito positivo interno. Precedentes. SUBORDINAÇÃO NORMATIVA DOS TRATADOS INTERNACIONAIS À CONSTITUIÇÃO DA REPÚBLICA. - </w:t>
      </w:r>
      <w:r w:rsidRPr="00DF05E2">
        <w:rPr>
          <w:rFonts w:eastAsia="Times New Roman" w:cs="Times New Roman"/>
          <w:b/>
          <w:bCs/>
          <w:sz w:val="20"/>
          <w:szCs w:val="20"/>
          <w:lang w:eastAsia="pt-BR"/>
        </w:rPr>
        <w:t xml:space="preserve">No sistema jurídico brasileiro, os tratados ou convenções internacionais estão hierarquicamente subordinados à autoridade normativa da Constituição da República. Em </w:t>
      </w:r>
      <w:proofErr w:type="spellStart"/>
      <w:r w:rsidRPr="00DF05E2">
        <w:rPr>
          <w:rFonts w:eastAsia="Times New Roman" w:cs="Times New Roman"/>
          <w:b/>
          <w:bCs/>
          <w:sz w:val="20"/>
          <w:szCs w:val="20"/>
          <w:lang w:eastAsia="pt-BR"/>
        </w:rPr>
        <w:t>conseqüência</w:t>
      </w:r>
      <w:proofErr w:type="spellEnd"/>
      <w:r w:rsidRPr="00DF05E2">
        <w:rPr>
          <w:rFonts w:eastAsia="Times New Roman" w:cs="Times New Roman"/>
          <w:b/>
          <w:bCs/>
          <w:sz w:val="20"/>
          <w:szCs w:val="20"/>
          <w:lang w:eastAsia="pt-BR"/>
        </w:rPr>
        <w:t xml:space="preserve">, nenhum valor jurídico terão os tratados internacionais, que, incorporados ao sistema de direito positivo interno, transgredirem, formal ou materialmente, o texto da Carta Política. O exercício do </w:t>
      </w:r>
      <w:proofErr w:type="spellStart"/>
      <w:r w:rsidRPr="00DF05E2">
        <w:rPr>
          <w:rFonts w:eastAsia="Times New Roman" w:cs="Times New Roman"/>
          <w:b/>
          <w:bCs/>
          <w:sz w:val="20"/>
          <w:szCs w:val="20"/>
          <w:lang w:eastAsia="pt-BR"/>
        </w:rPr>
        <w:t>treaty-making</w:t>
      </w:r>
      <w:proofErr w:type="spellEnd"/>
      <w:r w:rsidRPr="00DF05E2">
        <w:rPr>
          <w:rFonts w:eastAsia="Times New Roman" w:cs="Times New Roman"/>
          <w:b/>
          <w:bCs/>
          <w:sz w:val="20"/>
          <w:szCs w:val="20"/>
          <w:lang w:eastAsia="pt-BR"/>
        </w:rPr>
        <w:t xml:space="preserve"> </w:t>
      </w:r>
      <w:proofErr w:type="spellStart"/>
      <w:proofErr w:type="gramStart"/>
      <w:r w:rsidRPr="00DF05E2">
        <w:rPr>
          <w:rFonts w:eastAsia="Times New Roman" w:cs="Times New Roman"/>
          <w:b/>
          <w:bCs/>
          <w:sz w:val="20"/>
          <w:szCs w:val="20"/>
          <w:lang w:eastAsia="pt-BR"/>
        </w:rPr>
        <w:t>power</w:t>
      </w:r>
      <w:proofErr w:type="spellEnd"/>
      <w:proofErr w:type="gramEnd"/>
      <w:r w:rsidRPr="00DF05E2">
        <w:rPr>
          <w:rFonts w:eastAsia="Times New Roman" w:cs="Times New Roman"/>
          <w:b/>
          <w:bCs/>
          <w:sz w:val="20"/>
          <w:szCs w:val="20"/>
          <w:lang w:eastAsia="pt-BR"/>
        </w:rPr>
        <w:t xml:space="preserve">, pelo Estado brasileiro - não obstante o polêmico art. 46 da Convenção de Viena sobre o </w:t>
      </w:r>
      <w:r w:rsidRPr="00DF05E2">
        <w:rPr>
          <w:rFonts w:eastAsia="Times New Roman" w:cs="Times New Roman"/>
          <w:b/>
          <w:bCs/>
          <w:sz w:val="20"/>
          <w:szCs w:val="20"/>
          <w:lang w:eastAsia="pt-BR"/>
        </w:rPr>
        <w:lastRenderedPageBreak/>
        <w:t>Direito dos Tratados (ainda em curso de tramitação perante o Congresso Nacional) -, está sujeito à necessária observância das limitações jurídicas impostas pelo texto constitucional. CONTROLE DE CONSTITUCIONALIDADE DE TRATADOS INTERNACIONAIS NO SISTEMA JURÍDICO BRASILEIRO.</w:t>
      </w:r>
      <w:r w:rsidRPr="00DF05E2">
        <w:rPr>
          <w:rFonts w:eastAsia="Times New Roman" w:cs="Times New Roman"/>
          <w:sz w:val="20"/>
          <w:szCs w:val="20"/>
          <w:lang w:eastAsia="pt-BR"/>
        </w:rPr>
        <w:t xml:space="preserve"> - O Poder Judiciário - fundado na supremacia da Constituição da República - dispõe de competência, para, quer em sede de fiscalização abstrata, quer no âmbito do controle difuso, efetuar o exame de constitucionalidade dos tratados ou convenções internacionais já incorporados ao sistema de direito positivo interno. Doutrina e Jurisprudência. PARIDADE NORMATIVA ENTRE ATOS INTERNACIONAIS E NORMAS INFRACONSTITUCIONAIS DE DIREITO INTERNO. - Os tratados ou convenções internacionais, uma vez regularmente incorporados ao direito interno, situam-se, no sistema jurídico brasileiro, nos mesmos planos de validade, de eficácia e de autoridade em que se posicionam as leis ordinárias, havendo, em </w:t>
      </w:r>
      <w:proofErr w:type="spellStart"/>
      <w:r w:rsidRPr="00DF05E2">
        <w:rPr>
          <w:rFonts w:eastAsia="Times New Roman" w:cs="Times New Roman"/>
          <w:sz w:val="20"/>
          <w:szCs w:val="20"/>
          <w:lang w:eastAsia="pt-BR"/>
        </w:rPr>
        <w:t>conseqüência</w:t>
      </w:r>
      <w:proofErr w:type="spellEnd"/>
      <w:r w:rsidRPr="00DF05E2">
        <w:rPr>
          <w:rFonts w:eastAsia="Times New Roman" w:cs="Times New Roman"/>
          <w:sz w:val="20"/>
          <w:szCs w:val="20"/>
          <w:lang w:eastAsia="pt-BR"/>
        </w:rPr>
        <w:t>, entre estas e os atos de direito internacional público, mera relação de paridade normativa. Precedentes. No sistema jurídico brasileiro, os atos internacionais não dispõem de primazia hierárquica sobre as normas de direito interno. A eventual precedência dos tratados ou convenções internacionais sobre as regras infraconstitucionais de direito interno somente se justificará quando a situação de antinomia com o ordenamento doméstico impuser, para a solução do conflito, a aplicação alternativa do critério cronológico ("</w:t>
      </w:r>
      <w:proofErr w:type="spellStart"/>
      <w:proofErr w:type="gramStart"/>
      <w:r w:rsidRPr="00DF05E2">
        <w:rPr>
          <w:rFonts w:eastAsia="Times New Roman" w:cs="Times New Roman"/>
          <w:sz w:val="20"/>
          <w:szCs w:val="20"/>
          <w:lang w:eastAsia="pt-BR"/>
        </w:rPr>
        <w:t>lex</w:t>
      </w:r>
      <w:proofErr w:type="spellEnd"/>
      <w:proofErr w:type="gramEnd"/>
      <w:r w:rsidRPr="00DF05E2">
        <w:rPr>
          <w:rFonts w:eastAsia="Times New Roman" w:cs="Times New Roman"/>
          <w:sz w:val="20"/>
          <w:szCs w:val="20"/>
          <w:lang w:eastAsia="pt-BR"/>
        </w:rPr>
        <w:t xml:space="preserve"> posterior </w:t>
      </w:r>
      <w:proofErr w:type="spellStart"/>
      <w:r w:rsidRPr="00DF05E2">
        <w:rPr>
          <w:rFonts w:eastAsia="Times New Roman" w:cs="Times New Roman"/>
          <w:sz w:val="20"/>
          <w:szCs w:val="20"/>
          <w:lang w:eastAsia="pt-BR"/>
        </w:rPr>
        <w:t>derogat</w:t>
      </w:r>
      <w:proofErr w:type="spellEnd"/>
      <w:r w:rsidRPr="00DF05E2">
        <w:rPr>
          <w:rFonts w:eastAsia="Times New Roman" w:cs="Times New Roman"/>
          <w:sz w:val="20"/>
          <w:szCs w:val="20"/>
          <w:lang w:eastAsia="pt-BR"/>
        </w:rPr>
        <w:t xml:space="preserve"> priori") ou, quando cabível, do critério da especialidade. Precedentes. TRATADO INTERNACIONAL E RESERVA CONSTITUCIONAL DE LEI COMPLEMENTAR. - O primado da Constituição, no sistema jurídico brasileiro, é oponível ao princípio </w:t>
      </w:r>
      <w:proofErr w:type="spellStart"/>
      <w:r w:rsidRPr="00DF05E2">
        <w:rPr>
          <w:rFonts w:eastAsia="Times New Roman" w:cs="Times New Roman"/>
          <w:sz w:val="20"/>
          <w:szCs w:val="20"/>
          <w:lang w:eastAsia="pt-BR"/>
        </w:rPr>
        <w:t>pacta</w:t>
      </w:r>
      <w:proofErr w:type="spellEnd"/>
      <w:r w:rsidRPr="00DF05E2">
        <w:rPr>
          <w:rFonts w:eastAsia="Times New Roman" w:cs="Times New Roman"/>
          <w:sz w:val="20"/>
          <w:szCs w:val="20"/>
          <w:lang w:eastAsia="pt-BR"/>
        </w:rPr>
        <w:t xml:space="preserve"> </w:t>
      </w:r>
      <w:proofErr w:type="spellStart"/>
      <w:r w:rsidRPr="00DF05E2">
        <w:rPr>
          <w:rFonts w:eastAsia="Times New Roman" w:cs="Times New Roman"/>
          <w:sz w:val="20"/>
          <w:szCs w:val="20"/>
          <w:lang w:eastAsia="pt-BR"/>
        </w:rPr>
        <w:t>sunt</w:t>
      </w:r>
      <w:proofErr w:type="spellEnd"/>
      <w:r w:rsidRPr="00DF05E2">
        <w:rPr>
          <w:rFonts w:eastAsia="Times New Roman" w:cs="Times New Roman"/>
          <w:sz w:val="20"/>
          <w:szCs w:val="20"/>
          <w:lang w:eastAsia="pt-BR"/>
        </w:rPr>
        <w:t xml:space="preserve"> </w:t>
      </w:r>
      <w:proofErr w:type="spellStart"/>
      <w:r w:rsidRPr="00DF05E2">
        <w:rPr>
          <w:rFonts w:eastAsia="Times New Roman" w:cs="Times New Roman"/>
          <w:sz w:val="20"/>
          <w:szCs w:val="20"/>
          <w:lang w:eastAsia="pt-BR"/>
        </w:rPr>
        <w:t>servanda</w:t>
      </w:r>
      <w:proofErr w:type="spellEnd"/>
      <w:r w:rsidRPr="00DF05E2">
        <w:rPr>
          <w:rFonts w:eastAsia="Times New Roman" w:cs="Times New Roman"/>
          <w:sz w:val="20"/>
          <w:szCs w:val="20"/>
          <w:lang w:eastAsia="pt-BR"/>
        </w:rPr>
        <w:t xml:space="preserve">, inexistindo, por isso mesmo, no direito positivo nacional, o problema da concorrência entre tratados internacionais e a Lei Fundamental da República, cuja suprema autoridade normativa deverá sempre prevalecer sobre os atos de direito internacional público. Os tratados internacionais celebrados pelo Brasil - ou aos quais o Brasil venha a aderir - não podem, em </w:t>
      </w:r>
      <w:proofErr w:type="spellStart"/>
      <w:r w:rsidRPr="00DF05E2">
        <w:rPr>
          <w:rFonts w:eastAsia="Times New Roman" w:cs="Times New Roman"/>
          <w:sz w:val="20"/>
          <w:szCs w:val="20"/>
          <w:lang w:eastAsia="pt-BR"/>
        </w:rPr>
        <w:t>conseqüência</w:t>
      </w:r>
      <w:proofErr w:type="spellEnd"/>
      <w:r w:rsidRPr="00DF05E2">
        <w:rPr>
          <w:rFonts w:eastAsia="Times New Roman" w:cs="Times New Roman"/>
          <w:sz w:val="20"/>
          <w:szCs w:val="20"/>
          <w:lang w:eastAsia="pt-BR"/>
        </w:rPr>
        <w:t xml:space="preserve">, versar matéria posta </w:t>
      </w:r>
      <w:proofErr w:type="gramStart"/>
      <w:r w:rsidRPr="00DF05E2">
        <w:rPr>
          <w:rFonts w:eastAsia="Times New Roman" w:cs="Times New Roman"/>
          <w:sz w:val="20"/>
          <w:szCs w:val="20"/>
          <w:lang w:eastAsia="pt-BR"/>
        </w:rPr>
        <w:t>sob reserva</w:t>
      </w:r>
      <w:proofErr w:type="gramEnd"/>
      <w:r w:rsidRPr="00DF05E2">
        <w:rPr>
          <w:rFonts w:eastAsia="Times New Roman" w:cs="Times New Roman"/>
          <w:sz w:val="20"/>
          <w:szCs w:val="20"/>
          <w:lang w:eastAsia="pt-BR"/>
        </w:rPr>
        <w:t xml:space="preserve"> constitucional de lei complementar. É que, em tal situação, a própria Carta Política subordina o tratamento legislativo de determinado tema ao exclusivo domínio normativo da lei complementar, que não pode ser substituída por qualquer outra espécie normativa infraconstitucional, inclusive pelos atos internacionais já incorporados ao direito positivo interno. LEGITIMIDADE CONSTITUCIONAL DA CONVENÇÃO Nº 158/OIT, DESDE QUE OBSERVADA A INTERPRETAÇÃO CONFORME FIXADA PELO SUPREMO TRIBUNAL FEDERAL. - A Convenção nº 158/OIT, além de depender de necessária e ulterior intermediação legislativa para efeito de sua integral aplicabilidade no plano doméstico, configurando, sob tal aspecto, mera proposta de legislação dirigida ao legislador interno, não consagrou, como única </w:t>
      </w:r>
      <w:proofErr w:type="spellStart"/>
      <w:r w:rsidRPr="00DF05E2">
        <w:rPr>
          <w:rFonts w:eastAsia="Times New Roman" w:cs="Times New Roman"/>
          <w:sz w:val="20"/>
          <w:szCs w:val="20"/>
          <w:lang w:eastAsia="pt-BR"/>
        </w:rPr>
        <w:t>conseqüência</w:t>
      </w:r>
      <w:proofErr w:type="spellEnd"/>
      <w:r w:rsidRPr="00DF05E2">
        <w:rPr>
          <w:rFonts w:eastAsia="Times New Roman" w:cs="Times New Roman"/>
          <w:sz w:val="20"/>
          <w:szCs w:val="20"/>
          <w:lang w:eastAsia="pt-BR"/>
        </w:rPr>
        <w:t xml:space="preserve"> derivada da ruptura abusiva ou arbitrária do contrato de trabalho, o dever de os </w:t>
      </w:r>
      <w:proofErr w:type="spellStart"/>
      <w:r w:rsidRPr="00DF05E2">
        <w:rPr>
          <w:rFonts w:eastAsia="Times New Roman" w:cs="Times New Roman"/>
          <w:sz w:val="20"/>
          <w:szCs w:val="20"/>
          <w:lang w:eastAsia="pt-BR"/>
        </w:rPr>
        <w:t>Estados-Partes</w:t>
      </w:r>
      <w:proofErr w:type="spellEnd"/>
      <w:r w:rsidRPr="00DF05E2">
        <w:rPr>
          <w:rFonts w:eastAsia="Times New Roman" w:cs="Times New Roman"/>
          <w:sz w:val="20"/>
          <w:szCs w:val="20"/>
          <w:lang w:eastAsia="pt-BR"/>
        </w:rPr>
        <w:t xml:space="preserve">, como o Brasil, </w:t>
      </w:r>
      <w:proofErr w:type="gramStart"/>
      <w:r w:rsidRPr="00DF05E2">
        <w:rPr>
          <w:rFonts w:eastAsia="Times New Roman" w:cs="Times New Roman"/>
          <w:sz w:val="20"/>
          <w:szCs w:val="20"/>
          <w:lang w:eastAsia="pt-BR"/>
        </w:rPr>
        <w:t>instituírem</w:t>
      </w:r>
      <w:proofErr w:type="gramEnd"/>
      <w:r w:rsidRPr="00DF05E2">
        <w:rPr>
          <w:rFonts w:eastAsia="Times New Roman" w:cs="Times New Roman"/>
          <w:sz w:val="20"/>
          <w:szCs w:val="20"/>
          <w:lang w:eastAsia="pt-BR"/>
        </w:rPr>
        <w:t xml:space="preserve">, em sua legislação nacional, apenas a garantia da reintegração no emprego. Pelo contrário, a Convenção nº 158/OIT expressamente permite a cada </w:t>
      </w:r>
      <w:proofErr w:type="spellStart"/>
      <w:r w:rsidRPr="00DF05E2">
        <w:rPr>
          <w:rFonts w:eastAsia="Times New Roman" w:cs="Times New Roman"/>
          <w:sz w:val="20"/>
          <w:szCs w:val="20"/>
          <w:lang w:eastAsia="pt-BR"/>
        </w:rPr>
        <w:t>Estado-Parte</w:t>
      </w:r>
      <w:proofErr w:type="spellEnd"/>
      <w:r w:rsidRPr="00DF05E2">
        <w:rPr>
          <w:rFonts w:eastAsia="Times New Roman" w:cs="Times New Roman"/>
          <w:sz w:val="20"/>
          <w:szCs w:val="20"/>
          <w:lang w:eastAsia="pt-BR"/>
        </w:rPr>
        <w:t xml:space="preserve"> (Artigo 10), que, em função de seu próprio ordenamento positivo interno, opte pela solução normativa que se revelar mais consentânea e compatível com a legislação e a prática nacionais, adotando, em </w:t>
      </w:r>
      <w:proofErr w:type="spellStart"/>
      <w:r w:rsidRPr="00DF05E2">
        <w:rPr>
          <w:rFonts w:eastAsia="Times New Roman" w:cs="Times New Roman"/>
          <w:sz w:val="20"/>
          <w:szCs w:val="20"/>
          <w:lang w:eastAsia="pt-BR"/>
        </w:rPr>
        <w:t>conseqüência</w:t>
      </w:r>
      <w:proofErr w:type="spellEnd"/>
      <w:r w:rsidRPr="00DF05E2">
        <w:rPr>
          <w:rFonts w:eastAsia="Times New Roman" w:cs="Times New Roman"/>
          <w:sz w:val="20"/>
          <w:szCs w:val="20"/>
          <w:lang w:eastAsia="pt-BR"/>
        </w:rPr>
        <w:t>, sempre com estrita observância do estatuto fundamental de cada País (a Constituição brasileira, no caso), a fórmula da reintegração no emprego e/ou da indenização compensatória. Análise de cada um dos Artigos impugnados da Convençã</w:t>
      </w:r>
      <w:r w:rsidR="008B02FA">
        <w:rPr>
          <w:rFonts w:eastAsia="Times New Roman" w:cs="Times New Roman"/>
          <w:sz w:val="20"/>
          <w:szCs w:val="20"/>
          <w:lang w:eastAsia="pt-BR"/>
        </w:rPr>
        <w:t>o nº 158/OIT (Artigos 4º a 10).</w:t>
      </w:r>
      <w:r w:rsidRPr="00DF05E2">
        <w:rPr>
          <w:rFonts w:eastAsia="Times New Roman" w:cs="Times New Roman"/>
          <w:sz w:val="20"/>
          <w:szCs w:val="20"/>
          <w:lang w:eastAsia="pt-BR"/>
        </w:rPr>
        <w:br/>
      </w:r>
      <w:proofErr w:type="gramStart"/>
      <w:r w:rsidRPr="00DF05E2">
        <w:rPr>
          <w:rFonts w:eastAsia="Times New Roman" w:cs="Times New Roman"/>
          <w:sz w:val="20"/>
          <w:szCs w:val="20"/>
          <w:lang w:eastAsia="pt-BR"/>
        </w:rPr>
        <w:t>(</w:t>
      </w:r>
      <w:proofErr w:type="gramEnd"/>
      <w:r w:rsidRPr="00DF05E2">
        <w:rPr>
          <w:rFonts w:eastAsia="Times New Roman" w:cs="Times New Roman"/>
          <w:sz w:val="20"/>
          <w:szCs w:val="20"/>
          <w:lang w:eastAsia="pt-BR"/>
        </w:rPr>
        <w:t>ADI 1480 MC, Relator(a):  Min. CELSO DE MELLO, Tribunal Pleno, julgado em 04/09/1997, DJ 18-05-2001 PP-00429 EMENT VOL-02031-02 PP-00213)</w:t>
      </w:r>
    </w:p>
    <w:p w:rsidR="008B02FA" w:rsidRDefault="008B02FA" w:rsidP="00781A6D">
      <w:pPr>
        <w:spacing w:after="0"/>
        <w:ind w:firstLine="1134"/>
      </w:pPr>
    </w:p>
    <w:p w:rsidR="008B02FA" w:rsidRDefault="008B02FA" w:rsidP="008B02FA">
      <w:pPr>
        <w:spacing w:after="0"/>
        <w:ind w:firstLine="1134"/>
        <w:jc w:val="both"/>
      </w:pPr>
      <w:r>
        <w:t xml:space="preserve">Assim, para que ocorra a </w:t>
      </w:r>
      <w:proofErr w:type="spellStart"/>
      <w:r>
        <w:t>internalização</w:t>
      </w:r>
      <w:proofErr w:type="spellEnd"/>
      <w:r>
        <w:t xml:space="preserve"> das normas internacionais ao ordenamento jurídico pátrio é necessário que se tenha procedimento, já afirmara STF em jurisprudência acima citada: </w:t>
      </w:r>
    </w:p>
    <w:p w:rsidR="00AC7D86" w:rsidRDefault="00AC7D86" w:rsidP="00AC7D86">
      <w:pPr>
        <w:tabs>
          <w:tab w:val="left" w:pos="2268"/>
        </w:tabs>
        <w:spacing w:after="0" w:line="240" w:lineRule="auto"/>
        <w:ind w:left="2268"/>
        <w:jc w:val="both"/>
        <w:rPr>
          <w:rFonts w:eastAsia="Times New Roman" w:cs="Times New Roman"/>
          <w:sz w:val="20"/>
          <w:szCs w:val="20"/>
          <w:lang w:eastAsia="pt-BR"/>
        </w:rPr>
      </w:pPr>
    </w:p>
    <w:p w:rsidR="00AC7D86" w:rsidRDefault="008B02FA" w:rsidP="00AC7D86">
      <w:pPr>
        <w:tabs>
          <w:tab w:val="left" w:pos="2268"/>
        </w:tabs>
        <w:spacing w:after="0" w:line="240" w:lineRule="auto"/>
        <w:ind w:left="2268"/>
        <w:jc w:val="both"/>
      </w:pPr>
      <w:proofErr w:type="gramStart"/>
      <w:r w:rsidRPr="00DF05E2">
        <w:rPr>
          <w:rFonts w:eastAsia="Times New Roman" w:cs="Times New Roman"/>
          <w:sz w:val="20"/>
          <w:szCs w:val="20"/>
          <w:lang w:eastAsia="pt-BR"/>
        </w:rPr>
        <w:lastRenderedPageBreak/>
        <w:t>procedimental</w:t>
      </w:r>
      <w:proofErr w:type="gramEnd"/>
      <w:r w:rsidRPr="00DF05E2">
        <w:rPr>
          <w:rFonts w:eastAsia="Times New Roman" w:cs="Times New Roman"/>
          <w:sz w:val="20"/>
          <w:szCs w:val="20"/>
          <w:lang w:eastAsia="pt-BR"/>
        </w:rPr>
        <w:t xml:space="preserve"> de incorporação dos tratados internacionais - superadas as fases prévias da celebração da convenção internacional, de sua aprovação congressional e da ratificação pelo Chefe de Estado - conclui-se com a expedição, pelo Presidente da República, de decreto, de cuja edição derivam três efeitos básicos que lhe são inerentes: (a) a promulgação do tratado internacional; (b) a publicação oficial de seu texto; e (c) a </w:t>
      </w:r>
      <w:proofErr w:type="spellStart"/>
      <w:r w:rsidRPr="00DF05E2">
        <w:rPr>
          <w:rFonts w:eastAsia="Times New Roman" w:cs="Times New Roman"/>
          <w:sz w:val="20"/>
          <w:szCs w:val="20"/>
          <w:lang w:eastAsia="pt-BR"/>
        </w:rPr>
        <w:t>executoriedade</w:t>
      </w:r>
      <w:proofErr w:type="spellEnd"/>
      <w:r w:rsidRPr="00DF05E2">
        <w:rPr>
          <w:rFonts w:eastAsia="Times New Roman" w:cs="Times New Roman"/>
          <w:sz w:val="20"/>
          <w:szCs w:val="20"/>
          <w:lang w:eastAsia="pt-BR"/>
        </w:rPr>
        <w:t xml:space="preserve"> do ato internacional, que passa, então, e somente então, a vincular e a obrigar no plano do direito positivo interno.</w:t>
      </w:r>
    </w:p>
    <w:p w:rsidR="00AC7D86" w:rsidRDefault="00AC7D86" w:rsidP="00AC7D86">
      <w:pPr>
        <w:tabs>
          <w:tab w:val="left" w:pos="1708"/>
        </w:tabs>
        <w:ind w:firstLine="1134"/>
        <w:jc w:val="both"/>
      </w:pPr>
    </w:p>
    <w:p w:rsidR="00AC7D86" w:rsidRDefault="00AC7D86" w:rsidP="00AC7D86">
      <w:pPr>
        <w:tabs>
          <w:tab w:val="left" w:pos="1708"/>
        </w:tabs>
        <w:ind w:firstLine="1134"/>
        <w:jc w:val="both"/>
      </w:pPr>
      <w:r>
        <w:t>Vale ressaltar que os casos de dispensa de apreciação do Congresso Nacional não configuram pauta de discussões na nova Constituição, em particular o caso dos funcionários públicos, que agiam em defesa de interesse local ou importância restrita. Desse modo, todos os tratados e convenções serão submetidos ao poder legislativo para incorporação no ordenamento jurídico brasileiro.</w:t>
      </w:r>
    </w:p>
    <w:p w:rsidR="00781A6D" w:rsidRDefault="00AC7D86" w:rsidP="00AC7D86">
      <w:pPr>
        <w:tabs>
          <w:tab w:val="left" w:pos="1708"/>
        </w:tabs>
        <w:ind w:firstLine="1134"/>
      </w:pPr>
      <w:r>
        <w:t xml:space="preserve">É </w:t>
      </w:r>
      <w:proofErr w:type="gramStart"/>
      <w:r>
        <w:t>mister</w:t>
      </w:r>
      <w:proofErr w:type="gramEnd"/>
      <w:r>
        <w:t xml:space="preserve"> expor,outrossim,exemplos de incorporação:</w:t>
      </w:r>
    </w:p>
    <w:p w:rsidR="009C2745" w:rsidRDefault="009C2745" w:rsidP="009C2745">
      <w:pPr>
        <w:pStyle w:val="PargrafodaLista"/>
        <w:numPr>
          <w:ilvl w:val="0"/>
          <w:numId w:val="2"/>
        </w:numPr>
        <w:spacing w:after="0"/>
        <w:jc w:val="both"/>
        <w:rPr>
          <w:rFonts w:cs="Times New Roman"/>
          <w:szCs w:val="24"/>
        </w:rPr>
      </w:pPr>
      <w:r w:rsidRPr="009C2745">
        <w:rPr>
          <w:rFonts w:cs="Times New Roman"/>
          <w:szCs w:val="24"/>
        </w:rPr>
        <w:t>Decreto Legislativo nº 803/2010, cuja Ementa aprova o </w:t>
      </w:r>
      <w:hyperlink r:id="rId7" w:tgtFrame="_blank" w:history="1">
        <w:r w:rsidRPr="009C2745">
          <w:rPr>
            <w:rStyle w:val="Hyperlink"/>
            <w:rFonts w:cs="Times New Roman"/>
            <w:color w:val="000000" w:themeColor="text1"/>
            <w:szCs w:val="24"/>
            <w:u w:val="none"/>
          </w:rPr>
          <w:t xml:space="preserve">Acordo de Admissão de Títulos, Certificados e Diplomas para o Exercício da Docência no Ensino do Espanhol e do Português como Línguas Estrangeiras nos Estados Partes, celebrado em Assunção, em 20 de junho de 2005, retificado pela Fé de Erratas de 28 de junho de </w:t>
        </w:r>
        <w:proofErr w:type="gramStart"/>
        <w:r w:rsidRPr="009C2745">
          <w:rPr>
            <w:rStyle w:val="Hyperlink"/>
            <w:rFonts w:cs="Times New Roman"/>
            <w:color w:val="000000" w:themeColor="text1"/>
            <w:szCs w:val="24"/>
            <w:u w:val="none"/>
          </w:rPr>
          <w:t>2007.</w:t>
        </w:r>
        <w:proofErr w:type="gramEnd"/>
      </w:hyperlink>
      <w:r w:rsidRPr="009C2745">
        <w:rPr>
          <w:rFonts w:cs="Times New Roman"/>
          <w:szCs w:val="24"/>
        </w:rPr>
        <w:t xml:space="preserve"> (BRASIL).</w:t>
      </w:r>
    </w:p>
    <w:p w:rsidR="009C2745" w:rsidRDefault="009C2745" w:rsidP="0044488F">
      <w:pPr>
        <w:pStyle w:val="PargrafodaLista"/>
        <w:numPr>
          <w:ilvl w:val="0"/>
          <w:numId w:val="2"/>
        </w:numPr>
        <w:spacing w:after="0"/>
        <w:jc w:val="both"/>
        <w:rPr>
          <w:rFonts w:cs="Times New Roman"/>
          <w:szCs w:val="24"/>
        </w:rPr>
      </w:pPr>
      <w:r w:rsidRPr="009C2745">
        <w:rPr>
          <w:rFonts w:cs="Times New Roman"/>
          <w:szCs w:val="24"/>
        </w:rPr>
        <w:t xml:space="preserve">Decreto Legislativo </w:t>
      </w:r>
      <w:r>
        <w:rPr>
          <w:rFonts w:cs="Times New Roman"/>
          <w:szCs w:val="24"/>
        </w:rPr>
        <w:t>nº 979/2009</w:t>
      </w:r>
      <w:r w:rsidRPr="009C2745">
        <w:rPr>
          <w:rFonts w:cs="Times New Roman"/>
          <w:szCs w:val="24"/>
        </w:rPr>
        <w:t xml:space="preserve">, cuja Ementa aprova </w:t>
      </w:r>
      <w:proofErr w:type="spellStart"/>
      <w:r w:rsidR="0044488F" w:rsidRPr="0044488F">
        <w:rPr>
          <w:rFonts w:cs="Times New Roman"/>
          <w:szCs w:val="24"/>
        </w:rPr>
        <w:t>Aprova</w:t>
      </w:r>
      <w:proofErr w:type="spellEnd"/>
      <w:r w:rsidR="0044488F" w:rsidRPr="0044488F">
        <w:rPr>
          <w:rFonts w:cs="Times New Roman"/>
          <w:szCs w:val="24"/>
        </w:rPr>
        <w:t xml:space="preserve"> o texto do </w:t>
      </w:r>
      <w:hyperlink r:id="rId8" w:tgtFrame="_blank" w:history="1">
        <w:r w:rsidR="0044488F" w:rsidRPr="0044488F">
          <w:rPr>
            <w:rStyle w:val="Hyperlink"/>
            <w:rFonts w:cs="Times New Roman"/>
            <w:color w:val="000000" w:themeColor="text1"/>
            <w:szCs w:val="24"/>
            <w:u w:val="none"/>
          </w:rPr>
          <w:t xml:space="preserve">Acordo-Quadro sobre Complementação Energética Regional entre os Estados Partes do </w:t>
        </w:r>
        <w:proofErr w:type="spellStart"/>
        <w:proofErr w:type="gramStart"/>
        <w:r w:rsidR="0044488F" w:rsidRPr="0044488F">
          <w:rPr>
            <w:rStyle w:val="Hyperlink"/>
            <w:rFonts w:cs="Times New Roman"/>
            <w:color w:val="000000" w:themeColor="text1"/>
            <w:szCs w:val="24"/>
            <w:u w:val="none"/>
          </w:rPr>
          <w:t>Mercosul</w:t>
        </w:r>
        <w:proofErr w:type="spellEnd"/>
        <w:proofErr w:type="gramEnd"/>
        <w:r w:rsidR="0044488F" w:rsidRPr="0044488F">
          <w:rPr>
            <w:rStyle w:val="Hyperlink"/>
            <w:rFonts w:cs="Times New Roman"/>
            <w:color w:val="000000" w:themeColor="text1"/>
            <w:szCs w:val="24"/>
            <w:u w:val="none"/>
          </w:rPr>
          <w:t xml:space="preserve"> e Estados Associados, protocolizado ao amparo do Tratado de Montevidéu de 1980 como Acordo de Alcance Parcial de Promoção do Comércio nº 19 (AAP.PC nº19), celebrado durante a Cúpula do MERCOSUL em Montevidéu, no dia 9 de dezembro de 2005, entre a República Federativa do Brasil, a República Argentina, a República do Paraguai, a República Oriental do Uruguai, a República da Colômbia, a República do Chile, a República do Equador e a República Bolivariana da Venezuela.</w:t>
        </w:r>
      </w:hyperlink>
      <w:r w:rsidR="0044488F" w:rsidRPr="0044488F">
        <w:rPr>
          <w:rFonts w:cs="Times New Roman"/>
          <w:szCs w:val="24"/>
        </w:rPr>
        <w:t xml:space="preserve"> </w:t>
      </w:r>
      <w:r w:rsidRPr="009C2745">
        <w:rPr>
          <w:rFonts w:cs="Times New Roman"/>
          <w:szCs w:val="24"/>
        </w:rPr>
        <w:t>(BRASIL).</w:t>
      </w:r>
    </w:p>
    <w:p w:rsidR="004408B0" w:rsidRDefault="004408B0" w:rsidP="0044488F">
      <w:pPr>
        <w:spacing w:after="0"/>
        <w:jc w:val="center"/>
        <w:rPr>
          <w:rFonts w:cs="Times New Roman"/>
          <w:b/>
          <w:bCs/>
          <w:szCs w:val="24"/>
        </w:rPr>
      </w:pPr>
    </w:p>
    <w:p w:rsidR="004408B0" w:rsidRDefault="004408B0" w:rsidP="0044488F">
      <w:pPr>
        <w:spacing w:after="0"/>
        <w:jc w:val="center"/>
        <w:rPr>
          <w:rFonts w:cs="Times New Roman"/>
          <w:b/>
          <w:bCs/>
          <w:szCs w:val="24"/>
        </w:rPr>
      </w:pPr>
    </w:p>
    <w:p w:rsidR="004408B0" w:rsidRDefault="004408B0" w:rsidP="0044488F">
      <w:pPr>
        <w:spacing w:after="0"/>
        <w:jc w:val="center"/>
        <w:rPr>
          <w:rFonts w:cs="Times New Roman"/>
          <w:b/>
          <w:bCs/>
          <w:szCs w:val="24"/>
        </w:rPr>
      </w:pPr>
    </w:p>
    <w:p w:rsidR="004408B0" w:rsidRDefault="004408B0" w:rsidP="0044488F">
      <w:pPr>
        <w:spacing w:after="0"/>
        <w:jc w:val="center"/>
        <w:rPr>
          <w:rFonts w:cs="Times New Roman"/>
          <w:b/>
          <w:bCs/>
          <w:szCs w:val="24"/>
        </w:rPr>
      </w:pPr>
    </w:p>
    <w:p w:rsidR="004408B0" w:rsidRDefault="004408B0" w:rsidP="0044488F">
      <w:pPr>
        <w:spacing w:after="0"/>
        <w:jc w:val="center"/>
        <w:rPr>
          <w:rFonts w:cs="Times New Roman"/>
          <w:b/>
          <w:bCs/>
          <w:szCs w:val="24"/>
        </w:rPr>
      </w:pPr>
    </w:p>
    <w:p w:rsidR="004408B0" w:rsidRDefault="004408B0" w:rsidP="0044488F">
      <w:pPr>
        <w:spacing w:after="0"/>
        <w:jc w:val="center"/>
        <w:rPr>
          <w:rFonts w:cs="Times New Roman"/>
          <w:b/>
          <w:bCs/>
          <w:szCs w:val="24"/>
        </w:rPr>
      </w:pPr>
    </w:p>
    <w:p w:rsidR="004408B0" w:rsidRDefault="004408B0" w:rsidP="0044488F">
      <w:pPr>
        <w:spacing w:after="0"/>
        <w:jc w:val="center"/>
        <w:rPr>
          <w:rFonts w:cs="Times New Roman"/>
          <w:b/>
          <w:bCs/>
          <w:szCs w:val="24"/>
        </w:rPr>
      </w:pPr>
    </w:p>
    <w:p w:rsidR="009C2745" w:rsidRPr="0044488F" w:rsidRDefault="0044488F" w:rsidP="0044488F">
      <w:pPr>
        <w:spacing w:after="0"/>
        <w:jc w:val="center"/>
        <w:rPr>
          <w:rFonts w:cs="Times New Roman"/>
          <w:b/>
          <w:bCs/>
          <w:szCs w:val="24"/>
        </w:rPr>
      </w:pPr>
      <w:r w:rsidRPr="0044488F">
        <w:rPr>
          <w:rFonts w:cs="Times New Roman"/>
          <w:b/>
          <w:bCs/>
          <w:szCs w:val="24"/>
        </w:rPr>
        <w:lastRenderedPageBreak/>
        <w:t>REFERÊNCIAS</w:t>
      </w:r>
    </w:p>
    <w:p w:rsidR="0044488F" w:rsidRDefault="0044488F" w:rsidP="0044488F">
      <w:pPr>
        <w:rPr>
          <w:rFonts w:cs="Times New Roman"/>
          <w:szCs w:val="24"/>
        </w:rPr>
      </w:pPr>
    </w:p>
    <w:p w:rsidR="0044488F" w:rsidRDefault="0044488F" w:rsidP="0044488F">
      <w:pPr>
        <w:rPr>
          <w:rFonts w:cs="Times New Roman"/>
          <w:szCs w:val="24"/>
        </w:rPr>
      </w:pPr>
      <w:proofErr w:type="gramStart"/>
      <w:r w:rsidRPr="00101B5A">
        <w:rPr>
          <w:rFonts w:cs="Times New Roman"/>
          <w:szCs w:val="24"/>
        </w:rPr>
        <w:t>BRASIL.</w:t>
      </w:r>
      <w:proofErr w:type="gramEnd"/>
      <w:r>
        <w:rPr>
          <w:rFonts w:cs="Times New Roman"/>
          <w:b/>
          <w:szCs w:val="24"/>
        </w:rPr>
        <w:t>Constituição da República Federativa do Brasil. Presidência da República</w:t>
      </w:r>
      <w:r>
        <w:rPr>
          <w:rFonts w:cs="Times New Roman"/>
          <w:szCs w:val="24"/>
        </w:rPr>
        <w:t xml:space="preserve"> Disponível em:&lt;</w:t>
      </w:r>
      <w:r w:rsidRPr="0044488F">
        <w:t xml:space="preserve"> http://www.planalto.gov.br/ccivil_03/constituicao/ConstituicaoCompilado.htm</w:t>
      </w:r>
      <w:r>
        <w:rPr>
          <w:rFonts w:cs="Times New Roman"/>
          <w:szCs w:val="24"/>
        </w:rPr>
        <w:t>&gt;. Acesso em mar 2016.</w:t>
      </w:r>
    </w:p>
    <w:p w:rsidR="0044488F" w:rsidRDefault="0044488F" w:rsidP="0044488F">
      <w:pPr>
        <w:rPr>
          <w:rFonts w:cs="Times New Roman"/>
          <w:szCs w:val="24"/>
        </w:rPr>
      </w:pPr>
      <w:r>
        <w:rPr>
          <w:rFonts w:cs="Times New Roman"/>
          <w:szCs w:val="24"/>
        </w:rPr>
        <w:t>_______</w:t>
      </w:r>
      <w:proofErr w:type="gramStart"/>
      <w:r w:rsidRPr="00101B5A">
        <w:rPr>
          <w:rFonts w:cs="Times New Roman"/>
          <w:szCs w:val="24"/>
        </w:rPr>
        <w:t>.</w:t>
      </w:r>
      <w:proofErr w:type="gramEnd"/>
      <w:r w:rsidRPr="00101B5A">
        <w:rPr>
          <w:rFonts w:cs="Times New Roman"/>
          <w:b/>
          <w:szCs w:val="24"/>
        </w:rPr>
        <w:t>Acordos internacionais ratificados pelo Brasil</w:t>
      </w:r>
      <w:r w:rsidRPr="00101B5A">
        <w:rPr>
          <w:rFonts w:cs="Times New Roman"/>
          <w:szCs w:val="24"/>
        </w:rPr>
        <w:t xml:space="preserve"> — Portal da Câmara dos Deputados</w:t>
      </w:r>
      <w:r>
        <w:rPr>
          <w:rFonts w:cs="Times New Roman"/>
          <w:szCs w:val="24"/>
        </w:rPr>
        <w:t>. Disponível em:&lt;</w:t>
      </w:r>
      <w:hyperlink r:id="rId9" w:history="1">
        <w:r w:rsidRPr="0044488F">
          <w:rPr>
            <w:rStyle w:val="Hyperlink"/>
            <w:rFonts w:cs="Times New Roman"/>
            <w:color w:val="000000" w:themeColor="text1"/>
            <w:szCs w:val="24"/>
            <w:u w:val="none"/>
          </w:rPr>
          <w:t>http://www2.camara.leg.br/atividade-legislativa/comissoes/comissoes-mistas/cpcms/normativas/decretos-legislativos-relativos-ao-mercosul</w:t>
        </w:r>
      </w:hyperlink>
      <w:r>
        <w:rPr>
          <w:rFonts w:cs="Times New Roman"/>
          <w:szCs w:val="24"/>
        </w:rPr>
        <w:t>&gt;. Acesso em mar 2016.</w:t>
      </w:r>
    </w:p>
    <w:p w:rsidR="0044488F" w:rsidRPr="0044488F" w:rsidRDefault="0044488F" w:rsidP="0044488F">
      <w:pPr>
        <w:tabs>
          <w:tab w:val="left" w:pos="6463"/>
        </w:tabs>
      </w:pPr>
      <w:r>
        <w:t xml:space="preserve">MANZUOLLI, </w:t>
      </w:r>
      <w:proofErr w:type="spellStart"/>
      <w:r>
        <w:t>Valerio</w:t>
      </w:r>
      <w:proofErr w:type="spellEnd"/>
      <w:r>
        <w:t xml:space="preserve"> de Oliveira. </w:t>
      </w:r>
      <w:r>
        <w:rPr>
          <w:b/>
          <w:bCs/>
        </w:rPr>
        <w:t xml:space="preserve">Curso de Direito Internacional Público. </w:t>
      </w:r>
      <w:proofErr w:type="gramStart"/>
      <w:r>
        <w:t>6</w:t>
      </w:r>
      <w:proofErr w:type="gramEnd"/>
      <w:r>
        <w:t xml:space="preserve"> ed.São Paulo: Revista dos Tribunais, 2012.</w:t>
      </w:r>
    </w:p>
    <w:p w:rsidR="00AC7D86" w:rsidRPr="00AC7D86" w:rsidRDefault="0044488F" w:rsidP="0044488F">
      <w:pPr>
        <w:tabs>
          <w:tab w:val="left" w:pos="6463"/>
        </w:tabs>
      </w:pPr>
      <w:r>
        <w:t xml:space="preserve">STF, </w:t>
      </w:r>
      <w:r w:rsidRPr="0044488F">
        <w:t xml:space="preserve">ADI 1480 MC, </w:t>
      </w:r>
      <w:proofErr w:type="gramStart"/>
      <w:r w:rsidRPr="0044488F">
        <w:t>Relator(</w:t>
      </w:r>
      <w:proofErr w:type="gramEnd"/>
      <w:r w:rsidRPr="0044488F">
        <w:t>a):  Min. CELSO DE MELLO, Tribunal Pleno, julgado em 04/09/1997, DJ 18-05-2001 PP-00429 EMENT VOL-02031-02 PP-00213</w:t>
      </w:r>
      <w:r>
        <w:t>.</w:t>
      </w:r>
      <w:r w:rsidR="009C2745">
        <w:tab/>
      </w:r>
    </w:p>
    <w:sectPr w:rsidR="00AC7D86" w:rsidRPr="00AC7D86" w:rsidSect="00781A6D">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8B" w:rsidRDefault="003D208B" w:rsidP="00781A6D">
      <w:pPr>
        <w:spacing w:after="0" w:line="240" w:lineRule="auto"/>
      </w:pPr>
      <w:r>
        <w:separator/>
      </w:r>
    </w:p>
  </w:endnote>
  <w:endnote w:type="continuationSeparator" w:id="0">
    <w:p w:rsidR="003D208B" w:rsidRDefault="003D208B" w:rsidP="00781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8B" w:rsidRDefault="003D208B" w:rsidP="00781A6D">
      <w:pPr>
        <w:spacing w:after="0" w:line="240" w:lineRule="auto"/>
      </w:pPr>
      <w:r>
        <w:separator/>
      </w:r>
    </w:p>
  </w:footnote>
  <w:footnote w:type="continuationSeparator" w:id="0">
    <w:p w:rsidR="003D208B" w:rsidRDefault="003D208B" w:rsidP="00781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49B6"/>
    <w:multiLevelType w:val="hybridMultilevel"/>
    <w:tmpl w:val="976C924E"/>
    <w:lvl w:ilvl="0" w:tplc="6D864C9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56E260BC"/>
    <w:multiLevelType w:val="hybridMultilevel"/>
    <w:tmpl w:val="9A1483D4"/>
    <w:lvl w:ilvl="0" w:tplc="370E7BF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1A6D"/>
    <w:rsid w:val="001B08AB"/>
    <w:rsid w:val="0027643C"/>
    <w:rsid w:val="0028485D"/>
    <w:rsid w:val="002D0B2C"/>
    <w:rsid w:val="0033094D"/>
    <w:rsid w:val="003D208B"/>
    <w:rsid w:val="003F70D4"/>
    <w:rsid w:val="004408B0"/>
    <w:rsid w:val="0044488F"/>
    <w:rsid w:val="004E4F89"/>
    <w:rsid w:val="007038D6"/>
    <w:rsid w:val="00781A6D"/>
    <w:rsid w:val="007B0FD2"/>
    <w:rsid w:val="008B02FA"/>
    <w:rsid w:val="009150F6"/>
    <w:rsid w:val="00990AFE"/>
    <w:rsid w:val="009C2745"/>
    <w:rsid w:val="00AC7D86"/>
    <w:rsid w:val="00B25430"/>
    <w:rsid w:val="00CD000B"/>
    <w:rsid w:val="00D160EB"/>
    <w:rsid w:val="00DF05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81A6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81A6D"/>
  </w:style>
  <w:style w:type="paragraph" w:styleId="Rodap">
    <w:name w:val="footer"/>
    <w:basedOn w:val="Normal"/>
    <w:link w:val="RodapChar"/>
    <w:uiPriority w:val="99"/>
    <w:semiHidden/>
    <w:unhideWhenUsed/>
    <w:rsid w:val="00781A6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81A6D"/>
  </w:style>
  <w:style w:type="paragraph" w:styleId="PargrafodaLista">
    <w:name w:val="List Paragraph"/>
    <w:basedOn w:val="Normal"/>
    <w:uiPriority w:val="34"/>
    <w:qFormat/>
    <w:rsid w:val="00AC7D86"/>
    <w:pPr>
      <w:ind w:left="720"/>
      <w:contextualSpacing/>
    </w:pPr>
  </w:style>
  <w:style w:type="character" w:styleId="Hyperlink">
    <w:name w:val="Hyperlink"/>
    <w:basedOn w:val="Fontepargpadro"/>
    <w:uiPriority w:val="99"/>
    <w:unhideWhenUsed/>
    <w:rsid w:val="009C27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608706">
      <w:bodyDiv w:val="1"/>
      <w:marLeft w:val="0"/>
      <w:marRight w:val="0"/>
      <w:marTop w:val="0"/>
      <w:marBottom w:val="0"/>
      <w:divBdr>
        <w:top w:val="none" w:sz="0" w:space="0" w:color="auto"/>
        <w:left w:val="none" w:sz="0" w:space="0" w:color="auto"/>
        <w:bottom w:val="none" w:sz="0" w:space="0" w:color="auto"/>
        <w:right w:val="none" w:sz="0" w:space="0" w:color="auto"/>
      </w:divBdr>
      <w:divsChild>
        <w:div w:id="1762993238">
          <w:marLeft w:val="0"/>
          <w:marRight w:val="0"/>
          <w:marTop w:val="0"/>
          <w:marBottom w:val="0"/>
          <w:divBdr>
            <w:top w:val="none" w:sz="0" w:space="0" w:color="auto"/>
            <w:left w:val="none" w:sz="0" w:space="0" w:color="auto"/>
            <w:bottom w:val="none" w:sz="0" w:space="0" w:color="auto"/>
            <w:right w:val="none" w:sz="0" w:space="0" w:color="auto"/>
          </w:divBdr>
        </w:div>
      </w:divsChild>
    </w:div>
    <w:div w:id="472991949">
      <w:bodyDiv w:val="1"/>
      <w:marLeft w:val="0"/>
      <w:marRight w:val="0"/>
      <w:marTop w:val="0"/>
      <w:marBottom w:val="0"/>
      <w:divBdr>
        <w:top w:val="none" w:sz="0" w:space="0" w:color="auto"/>
        <w:left w:val="none" w:sz="0" w:space="0" w:color="auto"/>
        <w:bottom w:val="none" w:sz="0" w:space="0" w:color="auto"/>
        <w:right w:val="none" w:sz="0" w:space="0" w:color="auto"/>
      </w:divBdr>
    </w:div>
    <w:div w:id="496851283">
      <w:bodyDiv w:val="1"/>
      <w:marLeft w:val="0"/>
      <w:marRight w:val="0"/>
      <w:marTop w:val="0"/>
      <w:marBottom w:val="0"/>
      <w:divBdr>
        <w:top w:val="none" w:sz="0" w:space="0" w:color="auto"/>
        <w:left w:val="none" w:sz="0" w:space="0" w:color="auto"/>
        <w:bottom w:val="none" w:sz="0" w:space="0" w:color="auto"/>
        <w:right w:val="none" w:sz="0" w:space="0" w:color="auto"/>
      </w:divBdr>
    </w:div>
    <w:div w:id="754471728">
      <w:bodyDiv w:val="1"/>
      <w:marLeft w:val="0"/>
      <w:marRight w:val="0"/>
      <w:marTop w:val="0"/>
      <w:marBottom w:val="0"/>
      <w:divBdr>
        <w:top w:val="none" w:sz="0" w:space="0" w:color="auto"/>
        <w:left w:val="none" w:sz="0" w:space="0" w:color="auto"/>
        <w:bottom w:val="none" w:sz="0" w:space="0" w:color="auto"/>
        <w:right w:val="none" w:sz="0" w:space="0" w:color="auto"/>
      </w:divBdr>
      <w:divsChild>
        <w:div w:id="1429424464">
          <w:marLeft w:val="0"/>
          <w:marRight w:val="0"/>
          <w:marTop w:val="0"/>
          <w:marBottom w:val="0"/>
          <w:divBdr>
            <w:top w:val="none" w:sz="0" w:space="0" w:color="auto"/>
            <w:left w:val="none" w:sz="0" w:space="0" w:color="auto"/>
            <w:bottom w:val="none" w:sz="0" w:space="0" w:color="auto"/>
            <w:right w:val="none" w:sz="0" w:space="0" w:color="auto"/>
          </w:divBdr>
        </w:div>
      </w:divsChild>
    </w:div>
    <w:div w:id="968435017">
      <w:bodyDiv w:val="1"/>
      <w:marLeft w:val="0"/>
      <w:marRight w:val="0"/>
      <w:marTop w:val="0"/>
      <w:marBottom w:val="0"/>
      <w:divBdr>
        <w:top w:val="none" w:sz="0" w:space="0" w:color="auto"/>
        <w:left w:val="none" w:sz="0" w:space="0" w:color="auto"/>
        <w:bottom w:val="none" w:sz="0" w:space="0" w:color="auto"/>
        <w:right w:val="none" w:sz="0" w:space="0" w:color="auto"/>
      </w:divBdr>
      <w:divsChild>
        <w:div w:id="1583493855">
          <w:marLeft w:val="0"/>
          <w:marRight w:val="0"/>
          <w:marTop w:val="0"/>
          <w:marBottom w:val="0"/>
          <w:divBdr>
            <w:top w:val="none" w:sz="0" w:space="0" w:color="auto"/>
            <w:left w:val="none" w:sz="0" w:space="0" w:color="auto"/>
            <w:bottom w:val="none" w:sz="0" w:space="0" w:color="auto"/>
            <w:right w:val="none" w:sz="0" w:space="0" w:color="auto"/>
          </w:divBdr>
        </w:div>
      </w:divsChild>
    </w:div>
    <w:div w:id="1157114761">
      <w:bodyDiv w:val="1"/>
      <w:marLeft w:val="0"/>
      <w:marRight w:val="0"/>
      <w:marTop w:val="0"/>
      <w:marBottom w:val="0"/>
      <w:divBdr>
        <w:top w:val="none" w:sz="0" w:space="0" w:color="auto"/>
        <w:left w:val="none" w:sz="0" w:space="0" w:color="auto"/>
        <w:bottom w:val="none" w:sz="0" w:space="0" w:color="auto"/>
        <w:right w:val="none" w:sz="0" w:space="0" w:color="auto"/>
      </w:divBdr>
    </w:div>
    <w:div w:id="1253202814">
      <w:bodyDiv w:val="1"/>
      <w:marLeft w:val="0"/>
      <w:marRight w:val="0"/>
      <w:marTop w:val="0"/>
      <w:marBottom w:val="0"/>
      <w:divBdr>
        <w:top w:val="none" w:sz="0" w:space="0" w:color="auto"/>
        <w:left w:val="none" w:sz="0" w:space="0" w:color="auto"/>
        <w:bottom w:val="none" w:sz="0" w:space="0" w:color="auto"/>
        <w:right w:val="none" w:sz="0" w:space="0" w:color="auto"/>
      </w:divBdr>
    </w:div>
    <w:div w:id="1262488273">
      <w:bodyDiv w:val="1"/>
      <w:marLeft w:val="0"/>
      <w:marRight w:val="0"/>
      <w:marTop w:val="0"/>
      <w:marBottom w:val="0"/>
      <w:divBdr>
        <w:top w:val="none" w:sz="0" w:space="0" w:color="auto"/>
        <w:left w:val="none" w:sz="0" w:space="0" w:color="auto"/>
        <w:bottom w:val="none" w:sz="0" w:space="0" w:color="auto"/>
        <w:right w:val="none" w:sz="0" w:space="0" w:color="auto"/>
      </w:divBdr>
    </w:div>
    <w:div w:id="1264070460">
      <w:bodyDiv w:val="1"/>
      <w:marLeft w:val="0"/>
      <w:marRight w:val="0"/>
      <w:marTop w:val="0"/>
      <w:marBottom w:val="0"/>
      <w:divBdr>
        <w:top w:val="none" w:sz="0" w:space="0" w:color="auto"/>
        <w:left w:val="none" w:sz="0" w:space="0" w:color="auto"/>
        <w:bottom w:val="none" w:sz="0" w:space="0" w:color="auto"/>
        <w:right w:val="none" w:sz="0" w:space="0" w:color="auto"/>
      </w:divBdr>
      <w:divsChild>
        <w:div w:id="2139257033">
          <w:marLeft w:val="0"/>
          <w:marRight w:val="0"/>
          <w:marTop w:val="0"/>
          <w:marBottom w:val="0"/>
          <w:divBdr>
            <w:top w:val="none" w:sz="0" w:space="0" w:color="auto"/>
            <w:left w:val="none" w:sz="0" w:space="0" w:color="auto"/>
            <w:bottom w:val="none" w:sz="0" w:space="0" w:color="auto"/>
            <w:right w:val="none" w:sz="0" w:space="0" w:color="auto"/>
          </w:divBdr>
          <w:divsChild>
            <w:div w:id="1778594289">
              <w:marLeft w:val="0"/>
              <w:marRight w:val="0"/>
              <w:marTop w:val="0"/>
              <w:marBottom w:val="0"/>
              <w:divBdr>
                <w:top w:val="none" w:sz="0" w:space="0" w:color="auto"/>
                <w:left w:val="none" w:sz="0" w:space="0" w:color="auto"/>
                <w:bottom w:val="none" w:sz="0" w:space="0" w:color="auto"/>
                <w:right w:val="none" w:sz="0" w:space="0" w:color="auto"/>
              </w:divBdr>
              <w:divsChild>
                <w:div w:id="14734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3476">
      <w:bodyDiv w:val="1"/>
      <w:marLeft w:val="0"/>
      <w:marRight w:val="0"/>
      <w:marTop w:val="0"/>
      <w:marBottom w:val="0"/>
      <w:divBdr>
        <w:top w:val="none" w:sz="0" w:space="0" w:color="auto"/>
        <w:left w:val="none" w:sz="0" w:space="0" w:color="auto"/>
        <w:bottom w:val="none" w:sz="0" w:space="0" w:color="auto"/>
        <w:right w:val="none" w:sz="0" w:space="0" w:color="auto"/>
      </w:divBdr>
      <w:divsChild>
        <w:div w:id="32462862">
          <w:marLeft w:val="0"/>
          <w:marRight w:val="0"/>
          <w:marTop w:val="0"/>
          <w:marBottom w:val="0"/>
          <w:divBdr>
            <w:top w:val="none" w:sz="0" w:space="0" w:color="auto"/>
            <w:left w:val="none" w:sz="0" w:space="0" w:color="auto"/>
            <w:bottom w:val="none" w:sz="0" w:space="0" w:color="auto"/>
            <w:right w:val="none" w:sz="0" w:space="0" w:color="auto"/>
          </w:divBdr>
          <w:divsChild>
            <w:div w:id="41057239">
              <w:marLeft w:val="0"/>
              <w:marRight w:val="0"/>
              <w:marTop w:val="0"/>
              <w:marBottom w:val="0"/>
              <w:divBdr>
                <w:top w:val="none" w:sz="0" w:space="0" w:color="auto"/>
                <w:left w:val="none" w:sz="0" w:space="0" w:color="auto"/>
                <w:bottom w:val="none" w:sz="0" w:space="0" w:color="auto"/>
                <w:right w:val="none" w:sz="0" w:space="0" w:color="auto"/>
              </w:divBdr>
              <w:divsChild>
                <w:div w:id="6631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amara.leg.br/atividade-legislativa/comissoes/comissoes-mistas/cpcms/acordos-mercosul/Anexo%20Dec.%20Leg.%20979%202009%20Acordo%20Quadro%20Complementacao%20Energetica%20Regional%20Mercosul.pdf" TargetMode="External"/><Relationship Id="rId3" Type="http://schemas.openxmlformats.org/officeDocument/2006/relationships/settings" Target="settings.xml"/><Relationship Id="rId7" Type="http://schemas.openxmlformats.org/officeDocument/2006/relationships/hyperlink" Target="http://www2.camara.leg.br/atividade-legislativa/comissoes/comissoes-mistas/cpcms/acordos-mercosul/Anexo%20Dec.%20Leg.%20803%202010%20Admissao%20Titulos%20Certificados%20Diplomas%20Docencia%20de%20Espanhol%20e%20Portugu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camara.leg.br/atividade-legislativa/comissoes/comissoes-mistas/cpcms/normativas/decretos-legislativos-relativos-ao-mercosu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2122</Words>
  <Characters>11463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aluno.undb</dc:creator>
  <cp:lastModifiedBy>Cliente</cp:lastModifiedBy>
  <cp:revision>2</cp:revision>
  <dcterms:created xsi:type="dcterms:W3CDTF">2016-03-29T14:36:00Z</dcterms:created>
  <dcterms:modified xsi:type="dcterms:W3CDTF">2016-04-06T12:10:00Z</dcterms:modified>
</cp:coreProperties>
</file>