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63" w:rsidRPr="00590263" w:rsidRDefault="00590263" w:rsidP="00590263">
      <w:pPr>
        <w:ind w:right="1"/>
        <w:rPr>
          <w:rFonts w:ascii="Arial" w:hAnsi="Arial" w:cs="Arial"/>
          <w:b/>
        </w:rPr>
      </w:pPr>
      <w:bookmarkStart w:id="0" w:name="_GoBack"/>
      <w:r w:rsidRPr="00590263">
        <w:rPr>
          <w:rFonts w:ascii="Arial" w:hAnsi="Arial" w:cs="Arial"/>
          <w:b/>
        </w:rPr>
        <w:t>A INCONSTITUCIONALIDADE DO ARTIGO 2º, PARÁGRAFO 1º, DA LEI 8.0</w:t>
      </w:r>
      <w:r w:rsidRPr="00590263">
        <w:rPr>
          <w:rFonts w:ascii="Arial" w:hAnsi="Arial" w:cs="Arial"/>
          <w:b/>
        </w:rPr>
        <w:t>72/90</w:t>
      </w:r>
    </w:p>
    <w:p w:rsidR="00590263" w:rsidRPr="00590263" w:rsidRDefault="00590263" w:rsidP="00590263">
      <w:pPr>
        <w:ind w:right="1"/>
        <w:rPr>
          <w:rFonts w:ascii="Arial" w:hAnsi="Arial" w:cs="Arial"/>
        </w:rPr>
      </w:pPr>
    </w:p>
    <w:p w:rsidR="00590263" w:rsidRDefault="00590263" w:rsidP="00590263">
      <w:pPr>
        <w:ind w:right="1" w:firstLine="2835"/>
        <w:rPr>
          <w:rFonts w:ascii="Arial" w:hAnsi="Arial" w:cs="Arial"/>
        </w:rPr>
      </w:pPr>
      <w:r w:rsidRPr="00590263">
        <w:rPr>
          <w:rFonts w:ascii="Arial" w:hAnsi="Arial" w:cs="Arial"/>
        </w:rPr>
        <w:t>Antigamente o artigo 2º, parágrafo 1º, da Lei nº 8.072/90 dispunha que a pena para os crimes lá previstos deveria ser cumprida i</w:t>
      </w:r>
      <w:r>
        <w:rPr>
          <w:rFonts w:ascii="Arial" w:hAnsi="Arial" w:cs="Arial"/>
        </w:rPr>
        <w:t xml:space="preserve">ntegralmente em regime fechado. </w:t>
      </w:r>
    </w:p>
    <w:p w:rsidR="00590263" w:rsidRDefault="00590263" w:rsidP="00590263">
      <w:pPr>
        <w:ind w:right="1" w:firstLine="2835"/>
        <w:rPr>
          <w:rFonts w:ascii="Arial" w:hAnsi="Arial" w:cs="Arial"/>
        </w:rPr>
      </w:pPr>
    </w:p>
    <w:p w:rsidR="00590263" w:rsidRPr="00895985" w:rsidRDefault="00590263" w:rsidP="00590263">
      <w:pPr>
        <w:ind w:right="1" w:firstLine="2835"/>
        <w:rPr>
          <w:rFonts w:ascii="Arial" w:hAnsi="Arial" w:cs="Arial"/>
        </w:rPr>
      </w:pPr>
      <w:r w:rsidRPr="00590263">
        <w:rPr>
          <w:rFonts w:ascii="Arial" w:hAnsi="Arial" w:cs="Arial"/>
        </w:rPr>
        <w:t>Com a redação desta regra</w:t>
      </w:r>
      <w:r>
        <w:rPr>
          <w:rFonts w:ascii="Arial" w:hAnsi="Arial" w:cs="Arial"/>
        </w:rPr>
        <w:t xml:space="preserve"> supracitada</w:t>
      </w:r>
      <w:r w:rsidRPr="00590263">
        <w:rPr>
          <w:rFonts w:ascii="Arial" w:hAnsi="Arial" w:cs="Arial"/>
        </w:rPr>
        <w:t>, o legislador simplesmente suprimiu da Lei dos Crimes Hediondos o tradicional sistema de progressão de regime de cumprimento de pena estabele</w:t>
      </w:r>
      <w:r>
        <w:rPr>
          <w:rFonts w:ascii="Arial" w:hAnsi="Arial" w:cs="Arial"/>
        </w:rPr>
        <w:t>cido pela Lei de Execução Penal, caracterizando, assim, u</w:t>
      </w:r>
      <w:r w:rsidRPr="00590263">
        <w:rPr>
          <w:rFonts w:ascii="Arial" w:hAnsi="Arial" w:cs="Arial"/>
        </w:rPr>
        <w:t>ma violação clássica ao princípio constitucional da individualização da pena que culminou com a declaração de inconstitucionalidade daquele dispositivo pelo Supremo Tribunal Federal</w:t>
      </w:r>
      <w:r w:rsidR="00895985">
        <w:rPr>
          <w:rFonts w:ascii="Arial" w:hAnsi="Arial" w:cs="Arial"/>
          <w:vertAlign w:val="superscript"/>
        </w:rPr>
        <w:t>1</w:t>
      </w:r>
      <w:r w:rsidR="00895985">
        <w:rPr>
          <w:rFonts w:ascii="Arial" w:hAnsi="Arial" w:cs="Arial"/>
        </w:rPr>
        <w:t>.</w:t>
      </w:r>
    </w:p>
    <w:p w:rsidR="00590263" w:rsidRPr="00590263" w:rsidRDefault="00590263" w:rsidP="00590263">
      <w:pPr>
        <w:ind w:right="1" w:firstLine="2835"/>
        <w:rPr>
          <w:rFonts w:ascii="Arial" w:hAnsi="Arial" w:cs="Arial"/>
        </w:rPr>
      </w:pPr>
    </w:p>
    <w:p w:rsidR="00590263" w:rsidRPr="00590263" w:rsidRDefault="00590263" w:rsidP="00590263">
      <w:pPr>
        <w:ind w:right="1" w:firstLine="2835"/>
        <w:rPr>
          <w:rFonts w:ascii="Arial" w:hAnsi="Arial" w:cs="Arial"/>
        </w:rPr>
      </w:pPr>
      <w:r w:rsidRPr="00590263">
        <w:rPr>
          <w:rFonts w:ascii="Arial" w:hAnsi="Arial" w:cs="Arial"/>
        </w:rPr>
        <w:t>Foi então que editaram a Lei nº 11.464/07, que alterou o artigo 2º, parágrafo 1º, da Lei dos Crimes Hediondos, estabelecendo que a pena para tais infrações seria cumprida inicialmente em regime fechado.</w:t>
      </w:r>
    </w:p>
    <w:p w:rsidR="00590263" w:rsidRPr="00590263" w:rsidRDefault="00590263" w:rsidP="00590263">
      <w:pPr>
        <w:ind w:right="1" w:firstLine="2835"/>
        <w:rPr>
          <w:rFonts w:ascii="Arial" w:hAnsi="Arial" w:cs="Arial"/>
        </w:rPr>
      </w:pPr>
    </w:p>
    <w:p w:rsidR="00590263" w:rsidRPr="00590263" w:rsidRDefault="00590263" w:rsidP="00590263">
      <w:pPr>
        <w:ind w:right="1" w:firstLine="2835"/>
        <w:rPr>
          <w:rFonts w:ascii="Arial" w:hAnsi="Arial" w:cs="Arial"/>
        </w:rPr>
      </w:pPr>
      <w:r w:rsidRPr="00590263">
        <w:rPr>
          <w:rFonts w:ascii="Arial" w:hAnsi="Arial" w:cs="Arial"/>
        </w:rPr>
        <w:t>Não foram raras as vozes que se levantaram contra esta redação, porquanto, ainda assim, mesmo permitindo a progressão de regime, as pessoas que cometessem os crimes previstos na Lei nº 8.072/90 invariavelmente iniciariam o cumprimento da pena em regime fechado, disciplina também violadora da garantia constitucional de se ter uma pena devidamente individualizada (Art. 5º, inc. XLVI, da CF).</w:t>
      </w:r>
    </w:p>
    <w:p w:rsidR="00590263" w:rsidRPr="00590263" w:rsidRDefault="00590263" w:rsidP="00590263">
      <w:pPr>
        <w:ind w:right="1" w:firstLine="2835"/>
        <w:rPr>
          <w:rFonts w:ascii="Arial" w:hAnsi="Arial" w:cs="Arial"/>
        </w:rPr>
      </w:pPr>
    </w:p>
    <w:p w:rsidR="00590263" w:rsidRPr="00895985" w:rsidRDefault="007B29C9" w:rsidP="00590263">
      <w:pPr>
        <w:ind w:right="1" w:firstLine="2835"/>
        <w:rPr>
          <w:rFonts w:ascii="Arial" w:hAnsi="Arial" w:cs="Arial"/>
        </w:rPr>
      </w:pPr>
      <w:r>
        <w:rPr>
          <w:rFonts w:ascii="Arial" w:hAnsi="Arial" w:cs="Arial"/>
        </w:rPr>
        <w:t>Por esta razão</w:t>
      </w:r>
      <w:r w:rsidR="00590263" w:rsidRPr="00590263">
        <w:rPr>
          <w:rFonts w:ascii="Arial" w:hAnsi="Arial" w:cs="Arial"/>
        </w:rPr>
        <w:t>, em</w:t>
      </w:r>
      <w:r>
        <w:rPr>
          <w:rFonts w:ascii="Arial" w:hAnsi="Arial" w:cs="Arial"/>
        </w:rPr>
        <w:t xml:space="preserve"> sessão realizada pelo Supremo Tribunal Federal</w:t>
      </w:r>
      <w:r w:rsidR="00590263" w:rsidRPr="00590263">
        <w:rPr>
          <w:rFonts w:ascii="Arial" w:hAnsi="Arial" w:cs="Arial"/>
        </w:rPr>
        <w:t xml:space="preserve">, </w:t>
      </w:r>
      <w:r w:rsidR="00590263" w:rsidRPr="007B29C9">
        <w:rPr>
          <w:rFonts w:ascii="Arial" w:hAnsi="Arial" w:cs="Arial"/>
        </w:rPr>
        <w:t>foi declarada a inconstitucionalidade do § 1º do artigo 2º da Lei 8.072/90, com a redação dada pela Lei 11.464/07</w:t>
      </w:r>
      <w:r w:rsidR="00895985">
        <w:rPr>
          <w:rFonts w:ascii="Arial" w:hAnsi="Arial" w:cs="Arial"/>
          <w:vertAlign w:val="superscript"/>
        </w:rPr>
        <w:t>2</w:t>
      </w:r>
      <w:r w:rsidR="00895985">
        <w:rPr>
          <w:rFonts w:ascii="Arial" w:hAnsi="Arial" w:cs="Arial"/>
        </w:rPr>
        <w:t>.</w:t>
      </w:r>
    </w:p>
    <w:p w:rsidR="00590263" w:rsidRPr="00590263" w:rsidRDefault="00590263" w:rsidP="00590263">
      <w:pPr>
        <w:ind w:right="1" w:firstLine="2835"/>
        <w:rPr>
          <w:rFonts w:ascii="Arial" w:hAnsi="Arial" w:cs="Arial"/>
        </w:rPr>
      </w:pPr>
    </w:p>
    <w:p w:rsidR="00590263" w:rsidRPr="007B29C9" w:rsidRDefault="007B29C9" w:rsidP="007B29C9">
      <w:pPr>
        <w:ind w:right="1" w:firstLine="2835"/>
        <w:rPr>
          <w:rFonts w:ascii="Arial" w:hAnsi="Arial" w:cs="Arial"/>
        </w:rPr>
      </w:pPr>
      <w:r w:rsidRPr="007B29C9">
        <w:rPr>
          <w:rFonts w:ascii="Arial" w:hAnsi="Arial" w:cs="Arial"/>
        </w:rPr>
        <w:t xml:space="preserve">A partir deste entendimento </w:t>
      </w:r>
      <w:r w:rsidR="00590263" w:rsidRPr="007B29C9">
        <w:rPr>
          <w:rFonts w:ascii="Arial" w:hAnsi="Arial" w:cs="Arial"/>
        </w:rPr>
        <w:t>pacificou-se que para a fixação do regime prisional para o início do cumprimento de pena não seria possível aplicar a regra disposta na Lei dos Crimes Hediondos.</w:t>
      </w:r>
      <w:r w:rsidRPr="007B29C9">
        <w:rPr>
          <w:rFonts w:ascii="Arial" w:hAnsi="Arial" w:cs="Arial"/>
        </w:rPr>
        <w:t xml:space="preserve"> </w:t>
      </w:r>
      <w:r w:rsidR="00590263" w:rsidRPr="007B29C9">
        <w:rPr>
          <w:rFonts w:ascii="Arial" w:hAnsi="Arial" w:cs="Arial"/>
        </w:rPr>
        <w:t xml:space="preserve">Exige-se, pois, que o julgador analise estritamente os termos dos artigos 33, §2º e §3º, e 59 do Código Penal para determinar o regime inicial de cumprimento de pena. </w:t>
      </w:r>
    </w:p>
    <w:p w:rsidR="00590263" w:rsidRPr="00590263" w:rsidRDefault="00590263" w:rsidP="00590263">
      <w:pPr>
        <w:ind w:right="1" w:firstLine="2835"/>
        <w:rPr>
          <w:rFonts w:ascii="Arial" w:hAnsi="Arial" w:cs="Arial"/>
          <w:b/>
          <w:u w:val="single"/>
        </w:rPr>
      </w:pPr>
    </w:p>
    <w:p w:rsidR="007B29C9" w:rsidRDefault="007B29C9" w:rsidP="007B29C9">
      <w:pPr>
        <w:ind w:right="1" w:firstLine="2835"/>
        <w:rPr>
          <w:rFonts w:ascii="Arial" w:hAnsi="Arial" w:cs="Arial"/>
          <w:bCs/>
          <w:color w:val="auto"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</w:rPr>
        <w:t xml:space="preserve">Nesse sentido, é possível afirmar que </w:t>
      </w:r>
      <w:r w:rsidRPr="007B29C9">
        <w:rPr>
          <w:rFonts w:ascii="Arial" w:hAnsi="Arial" w:cs="Arial"/>
          <w:bCs/>
          <w:color w:val="auto"/>
          <w:szCs w:val="24"/>
          <w:shd w:val="clear" w:color="auto" w:fill="FFFFFF"/>
        </w:rPr>
        <w:t>a</w:t>
      </w:r>
      <w:r w:rsidR="00590263" w:rsidRPr="007B29C9">
        <w:rPr>
          <w:rFonts w:ascii="Arial" w:hAnsi="Arial" w:cs="Arial"/>
          <w:bCs/>
          <w:color w:val="auto"/>
          <w:szCs w:val="24"/>
          <w:shd w:val="clear" w:color="auto" w:fill="FFFFFF"/>
        </w:rPr>
        <w:t xml:space="preserve"> determinação do regime inicial de cumprimento da pena deve levar em conta dois fatores: </w:t>
      </w:r>
    </w:p>
    <w:p w:rsidR="007B29C9" w:rsidRDefault="00590263" w:rsidP="007B29C9">
      <w:pPr>
        <w:pStyle w:val="PargrafodaLista"/>
        <w:numPr>
          <w:ilvl w:val="0"/>
          <w:numId w:val="2"/>
        </w:numPr>
        <w:ind w:right="1"/>
        <w:rPr>
          <w:rFonts w:ascii="Arial" w:hAnsi="Arial" w:cs="Arial"/>
          <w:bCs/>
          <w:color w:val="auto"/>
          <w:szCs w:val="24"/>
          <w:shd w:val="clear" w:color="auto" w:fill="FFFFFF"/>
        </w:rPr>
      </w:pPr>
      <w:r w:rsidRPr="007B29C9">
        <w:rPr>
          <w:rFonts w:ascii="Arial" w:hAnsi="Arial" w:cs="Arial"/>
          <w:bCs/>
          <w:color w:val="auto"/>
          <w:szCs w:val="24"/>
          <w:shd w:val="clear" w:color="auto" w:fill="FFFFFF"/>
        </w:rPr>
        <w:t xml:space="preserve">o quantum da reprimenda imposta (CP, art. 33, § 2º); e </w:t>
      </w:r>
    </w:p>
    <w:p w:rsidR="007B29C9" w:rsidRPr="007B29C9" w:rsidRDefault="00590263" w:rsidP="007B29C9">
      <w:pPr>
        <w:pStyle w:val="PargrafodaLista"/>
        <w:numPr>
          <w:ilvl w:val="0"/>
          <w:numId w:val="2"/>
        </w:numPr>
        <w:ind w:right="1"/>
        <w:rPr>
          <w:rFonts w:ascii="Arial" w:hAnsi="Arial" w:cs="Arial"/>
          <w:bCs/>
          <w:color w:val="auto"/>
          <w:szCs w:val="24"/>
          <w:shd w:val="clear" w:color="auto" w:fill="FFFFFF"/>
        </w:rPr>
      </w:pPr>
      <w:r w:rsidRPr="007B29C9">
        <w:rPr>
          <w:rFonts w:ascii="Arial" w:hAnsi="Arial" w:cs="Arial"/>
          <w:bCs/>
          <w:color w:val="auto"/>
          <w:szCs w:val="24"/>
          <w:shd w:val="clear" w:color="auto" w:fill="FFFFFF"/>
        </w:rPr>
        <w:t>as condições pessoais do condenado estabelecidas na primeira etapa da dosimetria (CP, art. 59 c</w:t>
      </w:r>
      <w:r w:rsidR="007B29C9" w:rsidRPr="007B29C9">
        <w:rPr>
          <w:rFonts w:ascii="Arial" w:hAnsi="Arial" w:cs="Arial"/>
          <w:bCs/>
          <w:color w:val="auto"/>
          <w:szCs w:val="24"/>
          <w:shd w:val="clear" w:color="auto" w:fill="FFFFFF"/>
        </w:rPr>
        <w:t xml:space="preserve">/c art. 33 § 3º). </w:t>
      </w:r>
    </w:p>
    <w:p w:rsidR="00E34112" w:rsidRDefault="00E34112" w:rsidP="00E34112">
      <w:pPr>
        <w:ind w:right="1" w:firstLine="2835"/>
        <w:rPr>
          <w:rFonts w:ascii="Arial" w:hAnsi="Arial" w:cs="Arial"/>
          <w:bCs/>
          <w:color w:val="auto"/>
          <w:szCs w:val="24"/>
          <w:shd w:val="clear" w:color="auto" w:fill="FFFFFF"/>
        </w:rPr>
      </w:pPr>
    </w:p>
    <w:p w:rsidR="00E34112" w:rsidRPr="00895985" w:rsidRDefault="007B29C9" w:rsidP="00E34112">
      <w:pPr>
        <w:ind w:right="1" w:firstLine="2835"/>
        <w:rPr>
          <w:rStyle w:val="Forte"/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  <w:shd w:val="clear" w:color="auto" w:fill="FFFFFF"/>
        </w:rPr>
        <w:t>Sendo assim, torna-se i</w:t>
      </w:r>
      <w:r w:rsidR="00590263" w:rsidRPr="007B29C9">
        <w:rPr>
          <w:rFonts w:ascii="Arial" w:hAnsi="Arial" w:cs="Arial"/>
          <w:bCs/>
          <w:color w:val="auto"/>
          <w:szCs w:val="24"/>
          <w:shd w:val="clear" w:color="auto" w:fill="FFFFFF"/>
        </w:rPr>
        <w:t>nviável regime inicial prisional mais gravoso que o quantum da pena aplicada com base na gravidade em abstrato do delito, mormente quando presentes todas circunstâncias judiciais favoráveis</w:t>
      </w:r>
      <w:r w:rsidR="00895985">
        <w:rPr>
          <w:rFonts w:ascii="Arial" w:hAnsi="Arial" w:cs="Arial"/>
          <w:bCs/>
          <w:color w:val="auto"/>
          <w:szCs w:val="24"/>
          <w:shd w:val="clear" w:color="auto" w:fill="FFFFFF"/>
          <w:vertAlign w:val="superscript"/>
        </w:rPr>
        <w:t>3</w:t>
      </w:r>
      <w:r w:rsidR="00895985">
        <w:rPr>
          <w:rFonts w:ascii="Arial" w:hAnsi="Arial" w:cs="Arial"/>
          <w:bCs/>
          <w:color w:val="auto"/>
          <w:szCs w:val="24"/>
          <w:shd w:val="clear" w:color="auto" w:fill="FFFFFF"/>
        </w:rPr>
        <w:t>.</w:t>
      </w:r>
    </w:p>
    <w:p w:rsidR="00E34112" w:rsidRDefault="00E34112" w:rsidP="00E34112">
      <w:pPr>
        <w:ind w:right="1" w:firstLine="2835"/>
        <w:rPr>
          <w:rStyle w:val="Forte"/>
          <w:rFonts w:ascii="Arial" w:hAnsi="Arial" w:cs="Arial"/>
          <w:b w:val="0"/>
          <w:color w:val="auto"/>
          <w:szCs w:val="24"/>
        </w:rPr>
      </w:pPr>
    </w:p>
    <w:p w:rsidR="00E34112" w:rsidRPr="00895985" w:rsidRDefault="00E34112" w:rsidP="00E34112">
      <w:pPr>
        <w:ind w:right="1" w:firstLine="2835"/>
        <w:rPr>
          <w:rStyle w:val="Forte"/>
          <w:rFonts w:ascii="Arial" w:hAnsi="Arial" w:cs="Arial"/>
          <w:b w:val="0"/>
          <w:szCs w:val="24"/>
        </w:rPr>
      </w:pPr>
      <w:r w:rsidRPr="00E34112">
        <w:rPr>
          <w:rFonts w:ascii="Arial" w:hAnsi="Arial" w:cs="Arial"/>
          <w:bCs/>
          <w:color w:val="auto"/>
          <w:szCs w:val="24"/>
        </w:rPr>
        <w:t>Neste passo, s</w:t>
      </w:r>
      <w:r w:rsidR="00590263" w:rsidRPr="00E34112">
        <w:rPr>
          <w:rFonts w:ascii="Arial" w:hAnsi="Arial" w:cs="Arial"/>
          <w:bCs/>
          <w:color w:val="auto"/>
          <w:szCs w:val="24"/>
        </w:rPr>
        <w:t xml:space="preserve">e a Constituição Federal menciona que a lei regulará a individualização da pena, é natural que ela exista. Do mesmo modo, os critérios para a fixação do regime prisional inicial devem-se harmonizar com as garantias constitucionais, sendo necessário exigir-se sempre a fundamentação do regime imposto, ainda que se trate </w:t>
      </w:r>
      <w:r w:rsidR="00895985">
        <w:rPr>
          <w:rFonts w:ascii="Arial" w:hAnsi="Arial" w:cs="Arial"/>
          <w:bCs/>
          <w:color w:val="auto"/>
          <w:szCs w:val="24"/>
        </w:rPr>
        <w:t>de crime hediondo ou equiparado</w:t>
      </w:r>
      <w:r w:rsidR="00895985">
        <w:rPr>
          <w:rFonts w:ascii="Arial" w:hAnsi="Arial" w:cs="Arial"/>
          <w:bCs/>
          <w:color w:val="auto"/>
          <w:szCs w:val="24"/>
          <w:vertAlign w:val="superscript"/>
        </w:rPr>
        <w:t>4</w:t>
      </w:r>
      <w:r w:rsidR="00895985">
        <w:rPr>
          <w:rFonts w:ascii="Arial" w:hAnsi="Arial" w:cs="Arial"/>
          <w:bCs/>
          <w:color w:val="auto"/>
          <w:szCs w:val="24"/>
        </w:rPr>
        <w:t>.</w:t>
      </w:r>
    </w:p>
    <w:p w:rsidR="00590263" w:rsidRPr="00E34112" w:rsidRDefault="00590263" w:rsidP="00E34112">
      <w:pPr>
        <w:ind w:right="1" w:firstLine="2835"/>
        <w:rPr>
          <w:rFonts w:ascii="Arial" w:hAnsi="Arial" w:cs="Arial"/>
          <w:bCs/>
          <w:szCs w:val="24"/>
        </w:rPr>
      </w:pPr>
      <w:r w:rsidRPr="00590263">
        <w:rPr>
          <w:rFonts w:ascii="Arial" w:hAnsi="Arial" w:cs="Arial"/>
        </w:rPr>
        <w:t xml:space="preserve">  </w:t>
      </w:r>
    </w:p>
    <w:p w:rsidR="008A36B1" w:rsidRDefault="00E34112" w:rsidP="008A36B1">
      <w:pPr>
        <w:ind w:right="1" w:firstLine="2835"/>
        <w:rPr>
          <w:rFonts w:ascii="Arial" w:hAnsi="Arial" w:cs="Arial"/>
        </w:rPr>
      </w:pPr>
      <w:r>
        <w:rPr>
          <w:rFonts w:ascii="Arial" w:hAnsi="Arial" w:cs="Arial"/>
        </w:rPr>
        <w:t>No entanto, atualmente</w:t>
      </w:r>
      <w:r w:rsidR="008A36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A36B1">
        <w:rPr>
          <w:rFonts w:ascii="Arial" w:hAnsi="Arial" w:cs="Arial"/>
        </w:rPr>
        <w:t>no judiciário brasileiro</w:t>
      </w:r>
      <w:r w:rsidR="00590263" w:rsidRPr="00590263">
        <w:rPr>
          <w:rFonts w:ascii="Arial" w:hAnsi="Arial" w:cs="Arial"/>
        </w:rPr>
        <w:t xml:space="preserve"> </w:t>
      </w:r>
      <w:r w:rsidR="00590263" w:rsidRPr="00895985">
        <w:rPr>
          <w:rFonts w:ascii="Arial" w:hAnsi="Arial" w:cs="Arial"/>
        </w:rPr>
        <w:t xml:space="preserve">é </w:t>
      </w:r>
      <w:r w:rsidR="008A36B1" w:rsidRPr="00895985">
        <w:rPr>
          <w:rFonts w:ascii="Arial" w:hAnsi="Arial" w:cs="Arial"/>
        </w:rPr>
        <w:t xml:space="preserve">comum ver decisões que determinam </w:t>
      </w:r>
      <w:r w:rsidR="00590263" w:rsidRPr="00895985">
        <w:rPr>
          <w:rFonts w:ascii="Arial" w:hAnsi="Arial" w:cs="Arial"/>
        </w:rPr>
        <w:t xml:space="preserve">o cumprimento inicial da penal </w:t>
      </w:r>
      <w:r w:rsidR="008A36B1" w:rsidRPr="00895985">
        <w:rPr>
          <w:rFonts w:ascii="Arial" w:hAnsi="Arial" w:cs="Arial"/>
        </w:rPr>
        <w:t>em</w:t>
      </w:r>
      <w:r w:rsidR="00590263" w:rsidRPr="00895985">
        <w:rPr>
          <w:rFonts w:ascii="Arial" w:hAnsi="Arial" w:cs="Arial"/>
        </w:rPr>
        <w:t xml:space="preserve"> regime prisional evidentemente </w:t>
      </w:r>
      <w:r w:rsidR="008A36B1" w:rsidRPr="00895985">
        <w:rPr>
          <w:rFonts w:ascii="Arial" w:hAnsi="Arial" w:cs="Arial"/>
        </w:rPr>
        <w:t>mais gravoso baseado</w:t>
      </w:r>
      <w:r w:rsidR="00590263" w:rsidRPr="00895985">
        <w:rPr>
          <w:rFonts w:ascii="Arial" w:hAnsi="Arial" w:cs="Arial"/>
        </w:rPr>
        <w:t xml:space="preserve"> na mencionada norma declarada inconstitucional.</w:t>
      </w:r>
    </w:p>
    <w:p w:rsidR="008A36B1" w:rsidRDefault="008A36B1" w:rsidP="008A36B1">
      <w:pPr>
        <w:ind w:right="1" w:firstLine="2835"/>
        <w:rPr>
          <w:rFonts w:ascii="Arial" w:hAnsi="Arial" w:cs="Arial"/>
        </w:rPr>
      </w:pPr>
    </w:p>
    <w:p w:rsidR="00590263" w:rsidRDefault="008A36B1" w:rsidP="008A36B1">
      <w:pPr>
        <w:ind w:right="1" w:firstLine="2835"/>
        <w:rPr>
          <w:rFonts w:ascii="Arial" w:hAnsi="Arial" w:cs="Arial"/>
        </w:rPr>
      </w:pPr>
      <w:r>
        <w:rPr>
          <w:rFonts w:ascii="Arial" w:hAnsi="Arial" w:cs="Arial"/>
        </w:rPr>
        <w:t xml:space="preserve">Por fim, </w:t>
      </w:r>
      <w:r w:rsidR="00BC4EF5">
        <w:rPr>
          <w:rFonts w:ascii="Arial" w:hAnsi="Arial" w:cs="Arial"/>
        </w:rPr>
        <w:t>d</w:t>
      </w:r>
      <w:r w:rsidR="00590263" w:rsidRPr="00590263">
        <w:rPr>
          <w:rFonts w:ascii="Arial" w:hAnsi="Arial" w:cs="Arial"/>
        </w:rPr>
        <w:t xml:space="preserve">iante de todo o exposto, </w:t>
      </w:r>
      <w:r w:rsidR="00BC4EF5">
        <w:rPr>
          <w:rFonts w:ascii="Arial" w:hAnsi="Arial" w:cs="Arial"/>
        </w:rPr>
        <w:t xml:space="preserve">fica claro que mesmo havendo entendimento pacificado pela Suprema Corte, o judiciário brasileiro necessita de urgente reforma, visto que </w:t>
      </w:r>
      <w:r w:rsidR="00895985">
        <w:rPr>
          <w:rFonts w:ascii="Arial" w:hAnsi="Arial" w:cs="Arial"/>
        </w:rPr>
        <w:t>vem crescendo</w:t>
      </w:r>
      <w:r w:rsidR="00BC4EF5">
        <w:rPr>
          <w:rFonts w:ascii="Arial" w:hAnsi="Arial" w:cs="Arial"/>
        </w:rPr>
        <w:t xml:space="preserve"> o número de decisões com fundamentos inconstitucionais. </w:t>
      </w:r>
      <w:r w:rsidR="00895985">
        <w:rPr>
          <w:rFonts w:ascii="Arial" w:hAnsi="Arial" w:cs="Arial"/>
        </w:rPr>
        <w:t>Sendo assim, e</w:t>
      </w:r>
      <w:r w:rsidR="00BC4EF5">
        <w:rPr>
          <w:rFonts w:ascii="Arial" w:hAnsi="Arial" w:cs="Arial"/>
        </w:rPr>
        <w:t xml:space="preserve">sta reforma é meio necessário para que </w:t>
      </w:r>
      <w:r w:rsidR="00590263" w:rsidRPr="00590263">
        <w:rPr>
          <w:rFonts w:ascii="Arial" w:hAnsi="Arial" w:cs="Arial"/>
        </w:rPr>
        <w:t>o cump</w:t>
      </w:r>
      <w:r w:rsidR="00BC4EF5">
        <w:rPr>
          <w:rFonts w:ascii="Arial" w:hAnsi="Arial" w:cs="Arial"/>
        </w:rPr>
        <w:t xml:space="preserve">rimento das penas </w:t>
      </w:r>
      <w:r w:rsidR="00895985">
        <w:rPr>
          <w:rFonts w:ascii="Arial" w:hAnsi="Arial" w:cs="Arial"/>
        </w:rPr>
        <w:t>impostas</w:t>
      </w:r>
      <w:r w:rsidR="00BC4EF5">
        <w:rPr>
          <w:rFonts w:ascii="Arial" w:hAnsi="Arial" w:cs="Arial"/>
        </w:rPr>
        <w:t xml:space="preserve"> possam condizer </w:t>
      </w:r>
      <w:r w:rsidR="00590263" w:rsidRPr="00590263">
        <w:rPr>
          <w:rFonts w:ascii="Arial" w:hAnsi="Arial" w:cs="Arial"/>
        </w:rPr>
        <w:t>com a sua situação processual</w:t>
      </w:r>
      <w:r w:rsidR="00BC4EF5">
        <w:rPr>
          <w:rFonts w:ascii="Arial" w:hAnsi="Arial" w:cs="Arial"/>
        </w:rPr>
        <w:t xml:space="preserve"> de cada réu.</w:t>
      </w:r>
    </w:p>
    <w:p w:rsidR="00BC4EF5" w:rsidRDefault="00BC4EF5" w:rsidP="008A36B1">
      <w:pPr>
        <w:ind w:right="1"/>
        <w:rPr>
          <w:rFonts w:ascii="Arial" w:hAnsi="Arial" w:cs="Arial"/>
        </w:rPr>
      </w:pPr>
    </w:p>
    <w:p w:rsidR="00BC4EF5" w:rsidRDefault="00BC4EF5" w:rsidP="008A36B1">
      <w:pPr>
        <w:ind w:right="1"/>
        <w:rPr>
          <w:rFonts w:ascii="Arial" w:hAnsi="Arial" w:cs="Arial"/>
        </w:rPr>
      </w:pPr>
    </w:p>
    <w:p w:rsidR="00106214" w:rsidRDefault="008A36B1" w:rsidP="008A36B1">
      <w:pPr>
        <w:ind w:right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Fontes: </w:t>
      </w:r>
    </w:p>
    <w:p w:rsidR="008A36B1" w:rsidRPr="00BC4EF5" w:rsidRDefault="008A36B1" w:rsidP="00BC4EF5">
      <w:pPr>
        <w:pStyle w:val="Textodenotaderodap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BC4EF5">
        <w:rPr>
          <w:rFonts w:ascii="Arial" w:hAnsi="Arial" w:cs="Arial"/>
          <w:sz w:val="24"/>
          <w:szCs w:val="24"/>
        </w:rPr>
        <w:t xml:space="preserve">HC nº 82.959/SP, Tribunal Pleno, Rel. </w:t>
      </w:r>
      <w:r w:rsidRPr="00BC4EF5">
        <w:rPr>
          <w:rFonts w:ascii="Arial" w:hAnsi="Arial" w:cs="Arial"/>
          <w:sz w:val="24"/>
          <w:szCs w:val="24"/>
          <w:lang w:val="es-ES_tradnl"/>
        </w:rPr>
        <w:t xml:space="preserve">Min. Marco Aurélio, j. 23.02.2006. </w:t>
      </w:r>
    </w:p>
    <w:p w:rsidR="00BC4EF5" w:rsidRPr="00BC4EF5" w:rsidRDefault="00BC4EF5" w:rsidP="00BC4EF5">
      <w:pPr>
        <w:pStyle w:val="Textodenotaderodap"/>
        <w:tabs>
          <w:tab w:val="left" w:pos="2077"/>
        </w:tabs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8A36B1" w:rsidRDefault="008A36B1" w:rsidP="00BC4EF5">
      <w:pPr>
        <w:pStyle w:val="Textodenotaderodap"/>
        <w:numPr>
          <w:ilvl w:val="0"/>
          <w:numId w:val="3"/>
        </w:numPr>
        <w:tabs>
          <w:tab w:val="left" w:pos="2077"/>
        </w:tabs>
        <w:spacing w:line="240" w:lineRule="auto"/>
        <w:rPr>
          <w:rFonts w:ascii="Arial" w:hAnsi="Arial" w:cs="Arial"/>
          <w:sz w:val="24"/>
          <w:szCs w:val="24"/>
        </w:rPr>
      </w:pPr>
      <w:r w:rsidRPr="00BC4EF5">
        <w:rPr>
          <w:rFonts w:ascii="Arial" w:hAnsi="Arial" w:cs="Arial"/>
          <w:sz w:val="24"/>
          <w:szCs w:val="24"/>
          <w:lang w:val="es-ES_tradnl"/>
        </w:rPr>
        <w:t xml:space="preserve">HC nº 111.840/ES, Tribunal Pleno, Min. Rel. </w:t>
      </w:r>
      <w:r w:rsidRPr="00BC4EF5">
        <w:rPr>
          <w:rFonts w:ascii="Arial" w:hAnsi="Arial" w:cs="Arial"/>
          <w:sz w:val="24"/>
          <w:szCs w:val="24"/>
        </w:rPr>
        <w:t>Dias Toffoli, j. 27.06.12.</w:t>
      </w:r>
    </w:p>
    <w:p w:rsidR="00BC4EF5" w:rsidRDefault="00BC4EF5" w:rsidP="00BC4EF5">
      <w:pPr>
        <w:pStyle w:val="PargrafodaLista"/>
        <w:rPr>
          <w:rFonts w:ascii="Arial" w:hAnsi="Arial" w:cs="Arial"/>
          <w:szCs w:val="24"/>
        </w:rPr>
      </w:pPr>
    </w:p>
    <w:p w:rsidR="00BC4EF5" w:rsidRPr="00BC4EF5" w:rsidRDefault="00BC4EF5" w:rsidP="00BC4EF5">
      <w:pPr>
        <w:pStyle w:val="Textodenotaderodap"/>
        <w:numPr>
          <w:ilvl w:val="0"/>
          <w:numId w:val="3"/>
        </w:numPr>
        <w:tabs>
          <w:tab w:val="left" w:pos="2077"/>
        </w:tabs>
        <w:spacing w:line="240" w:lineRule="auto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BC4EF5">
        <w:rPr>
          <w:rStyle w:val="Forte"/>
          <w:rFonts w:ascii="Arial" w:hAnsi="Arial" w:cs="Arial"/>
          <w:b w:val="0"/>
          <w:sz w:val="24"/>
          <w:szCs w:val="24"/>
        </w:rPr>
        <w:t xml:space="preserve">(RHC 128094/SC, 2ª Turma, Min. Rel. Teori Zavascki, v.u., j. </w:t>
      </w:r>
      <w:r w:rsidRPr="00BC4EF5">
        <w:rPr>
          <w:rStyle w:val="Forte"/>
          <w:rFonts w:ascii="Arial" w:hAnsi="Arial" w:cs="Arial"/>
          <w:b w:val="0"/>
          <w:sz w:val="24"/>
          <w:szCs w:val="24"/>
        </w:rPr>
        <w:t>30.06.2015)</w:t>
      </w:r>
    </w:p>
    <w:p w:rsidR="00BC4EF5" w:rsidRDefault="00BC4EF5" w:rsidP="00BC4EF5">
      <w:pPr>
        <w:pStyle w:val="PargrafodaLista"/>
        <w:rPr>
          <w:rFonts w:ascii="Arial" w:hAnsi="Arial" w:cs="Arial"/>
          <w:szCs w:val="24"/>
        </w:rPr>
      </w:pPr>
    </w:p>
    <w:p w:rsidR="00BC4EF5" w:rsidRPr="00BC4EF5" w:rsidRDefault="00BC4EF5" w:rsidP="00BC4EF5">
      <w:pPr>
        <w:pStyle w:val="Textodenotaderodap"/>
        <w:numPr>
          <w:ilvl w:val="0"/>
          <w:numId w:val="3"/>
        </w:numPr>
        <w:tabs>
          <w:tab w:val="left" w:pos="2077"/>
        </w:tabs>
        <w:spacing w:line="240" w:lineRule="auto"/>
        <w:rPr>
          <w:rFonts w:ascii="Arial" w:hAnsi="Arial" w:cs="Arial"/>
          <w:sz w:val="24"/>
          <w:szCs w:val="24"/>
        </w:rPr>
      </w:pPr>
      <w:r w:rsidRPr="00BC4EF5">
        <w:rPr>
          <w:rFonts w:ascii="Arial" w:hAnsi="Arial" w:cs="Arial"/>
          <w:sz w:val="24"/>
          <w:szCs w:val="24"/>
        </w:rPr>
        <w:t xml:space="preserve">(HC 113943/SP, 1ª Turma, Min. Rel. Dias Toffoli, </w:t>
      </w:r>
      <w:r>
        <w:rPr>
          <w:rFonts w:ascii="Arial" w:hAnsi="Arial" w:cs="Arial"/>
          <w:sz w:val="24"/>
          <w:szCs w:val="24"/>
        </w:rPr>
        <w:t>v.u., j. 19/02/2013)</w:t>
      </w:r>
    </w:p>
    <w:bookmarkEnd w:id="0"/>
    <w:p w:rsidR="008A36B1" w:rsidRPr="008A36B1" w:rsidRDefault="008A36B1" w:rsidP="008A36B1">
      <w:pPr>
        <w:ind w:right="1"/>
        <w:rPr>
          <w:rFonts w:ascii="Arial" w:hAnsi="Arial" w:cs="Arial"/>
        </w:rPr>
      </w:pPr>
    </w:p>
    <w:sectPr w:rsidR="008A36B1" w:rsidRPr="008A36B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B4" w:rsidRDefault="001673B4" w:rsidP="00590263">
      <w:pPr>
        <w:spacing w:line="240" w:lineRule="auto"/>
      </w:pPr>
      <w:r>
        <w:separator/>
      </w:r>
    </w:p>
  </w:endnote>
  <w:endnote w:type="continuationSeparator" w:id="0">
    <w:p w:rsidR="001673B4" w:rsidRDefault="001673B4" w:rsidP="00590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F5" w:rsidRDefault="00BC4E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B4" w:rsidRDefault="001673B4" w:rsidP="00590263">
      <w:pPr>
        <w:spacing w:line="240" w:lineRule="auto"/>
      </w:pPr>
      <w:r>
        <w:separator/>
      </w:r>
    </w:p>
  </w:footnote>
  <w:footnote w:type="continuationSeparator" w:id="0">
    <w:p w:rsidR="001673B4" w:rsidRDefault="001673B4" w:rsidP="005902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2D94"/>
    <w:multiLevelType w:val="hybridMultilevel"/>
    <w:tmpl w:val="20945078"/>
    <w:lvl w:ilvl="0" w:tplc="5F1C0E2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45551B2C"/>
    <w:multiLevelType w:val="hybridMultilevel"/>
    <w:tmpl w:val="3FE80032"/>
    <w:lvl w:ilvl="0" w:tplc="56E8765C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5BE47997"/>
    <w:multiLevelType w:val="hybridMultilevel"/>
    <w:tmpl w:val="AC62A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5B"/>
    <w:rsid w:val="00106214"/>
    <w:rsid w:val="001673B4"/>
    <w:rsid w:val="0048375B"/>
    <w:rsid w:val="00551C1F"/>
    <w:rsid w:val="00590263"/>
    <w:rsid w:val="007B29C9"/>
    <w:rsid w:val="00895985"/>
    <w:rsid w:val="008A36B1"/>
    <w:rsid w:val="00BC4EF5"/>
    <w:rsid w:val="00E3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F1A01-B3F5-4325-9929-242744C9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263"/>
    <w:pPr>
      <w:tabs>
        <w:tab w:val="left" w:pos="2835"/>
        <w:tab w:val="left" w:pos="3969"/>
      </w:tabs>
      <w:spacing w:after="0" w:line="360" w:lineRule="auto"/>
      <w:jc w:val="both"/>
    </w:pPr>
    <w:rPr>
      <w:rFonts w:ascii="Bookman Old Style" w:eastAsia="Times New Roman" w:hAnsi="Bookman Old Style" w:cs="Times New Roman"/>
      <w:color w:val="000000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41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90263"/>
    <w:pPr>
      <w:spacing w:line="480" w:lineRule="auto"/>
      <w:ind w:left="2268"/>
    </w:pPr>
    <w:rPr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590263"/>
    <w:rPr>
      <w:rFonts w:ascii="Bookman Old Style" w:eastAsia="Times New Roman" w:hAnsi="Bookman Old Style" w:cs="Times New Roman"/>
      <w:iCs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90263"/>
    <w:pPr>
      <w:tabs>
        <w:tab w:val="clear" w:pos="2835"/>
        <w:tab w:val="clear" w:pos="3969"/>
      </w:tabs>
      <w:spacing w:line="360" w:lineRule="atLeast"/>
    </w:pPr>
    <w:rPr>
      <w:rFonts w:ascii="Times New Roman" w:hAnsi="Times New Roman"/>
      <w:color w:val="auto"/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902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590263"/>
    <w:rPr>
      <w:vertAlign w:val="superscript"/>
    </w:rPr>
  </w:style>
  <w:style w:type="character" w:styleId="Forte">
    <w:name w:val="Strong"/>
    <w:uiPriority w:val="22"/>
    <w:qFormat/>
    <w:rsid w:val="00590263"/>
    <w:rPr>
      <w:b/>
      <w:bCs/>
    </w:rPr>
  </w:style>
  <w:style w:type="paragraph" w:styleId="PargrafodaLista">
    <w:name w:val="List Paragraph"/>
    <w:basedOn w:val="Normal"/>
    <w:uiPriority w:val="34"/>
    <w:qFormat/>
    <w:rsid w:val="007B29C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E341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4EF5"/>
    <w:pPr>
      <w:tabs>
        <w:tab w:val="clear" w:pos="2835"/>
        <w:tab w:val="clear" w:pos="396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4EF5"/>
    <w:rPr>
      <w:rFonts w:ascii="Bookman Old Style" w:eastAsia="Times New Roman" w:hAnsi="Bookman Old Style" w:cs="Times New Roman"/>
      <w:color w:val="00000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4EF5"/>
    <w:pPr>
      <w:tabs>
        <w:tab w:val="clear" w:pos="2835"/>
        <w:tab w:val="clear" w:pos="396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4EF5"/>
    <w:rPr>
      <w:rFonts w:ascii="Bookman Old Style" w:eastAsia="Times New Roman" w:hAnsi="Bookman Old Style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Estagiario-2</dc:creator>
  <cp:keywords/>
  <dc:description/>
  <cp:lastModifiedBy>Estagiario-2</cp:lastModifiedBy>
  <cp:revision>2</cp:revision>
  <dcterms:created xsi:type="dcterms:W3CDTF">2016-03-10T17:13:00Z</dcterms:created>
  <dcterms:modified xsi:type="dcterms:W3CDTF">2016-03-10T18:22:00Z</dcterms:modified>
</cp:coreProperties>
</file>