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DB" w:rsidRDefault="006A04DB" w:rsidP="006A04DB">
      <w:pPr>
        <w:spacing w:after="0" w:line="360" w:lineRule="auto"/>
        <w:jc w:val="center"/>
        <w:rPr>
          <w:rFonts w:ascii="Times New Roman" w:hAnsi="Times New Roman" w:cs="Times New Roman"/>
          <w:b/>
          <w:sz w:val="24"/>
          <w:szCs w:val="24"/>
        </w:rPr>
      </w:pPr>
      <w:r w:rsidRPr="00AC5A3E">
        <w:rPr>
          <w:rFonts w:ascii="Times New Roman" w:hAnsi="Times New Roman" w:cs="Times New Roman"/>
          <w:b/>
          <w:sz w:val="24"/>
          <w:szCs w:val="24"/>
        </w:rPr>
        <w:t>ANÁLISE DO ARTIGO 102, § 3º DA</w:t>
      </w:r>
      <w:r>
        <w:rPr>
          <w:rFonts w:ascii="Times New Roman" w:hAnsi="Times New Roman" w:cs="Times New Roman"/>
          <w:b/>
          <w:sz w:val="24"/>
          <w:szCs w:val="24"/>
        </w:rPr>
        <w:t xml:space="preserve"> CONSTITUIÇÃO FEDERAL</w:t>
      </w:r>
      <w:r w:rsidRPr="00AC5A3E">
        <w:rPr>
          <w:rFonts w:ascii="Times New Roman" w:hAnsi="Times New Roman" w:cs="Times New Roman"/>
          <w:b/>
          <w:sz w:val="24"/>
          <w:szCs w:val="24"/>
        </w:rPr>
        <w:t>: A MATERIALIZAÇÃO DE UM NOVO REQUISITO DE ADMISSIBILIDADE NO RECURSO EXTRAORDINÁRIO</w:t>
      </w:r>
      <w:r>
        <w:rPr>
          <w:rFonts w:ascii="Times New Roman" w:hAnsi="Times New Roman" w:cs="Times New Roman"/>
          <w:b/>
          <w:sz w:val="24"/>
          <w:szCs w:val="24"/>
        </w:rPr>
        <w:t xml:space="preserve"> TRAZIDO PELA EMENDA CONSTITUCIONAL nº 45/2004</w:t>
      </w:r>
      <w:r w:rsidRPr="00AC5A3E">
        <w:rPr>
          <w:rFonts w:ascii="Times New Roman" w:hAnsi="Times New Roman" w:cs="Times New Roman"/>
          <w:b/>
          <w:sz w:val="24"/>
          <w:szCs w:val="24"/>
        </w:rPr>
        <w:t xml:space="preserve"> – A REPERCUSSÃO GERAL</w:t>
      </w:r>
      <w:proofErr w:type="gramStart"/>
      <w:r>
        <w:rPr>
          <w:rStyle w:val="Refdenotaderodap"/>
          <w:rFonts w:ascii="Times New Roman" w:hAnsi="Times New Roman" w:cs="Times New Roman"/>
          <w:b/>
          <w:sz w:val="24"/>
          <w:szCs w:val="24"/>
        </w:rPr>
        <w:footnoteReference w:id="1"/>
      </w:r>
      <w:proofErr w:type="gramEnd"/>
    </w:p>
    <w:p w:rsidR="006A04DB" w:rsidRPr="00ED1598" w:rsidRDefault="006A04DB" w:rsidP="006A04DB">
      <w:pPr>
        <w:spacing w:after="0" w:line="240" w:lineRule="auto"/>
        <w:jc w:val="right"/>
        <w:rPr>
          <w:rFonts w:ascii="Times New Roman" w:hAnsi="Times New Roman" w:cs="Times New Roman"/>
          <w:i/>
          <w:sz w:val="20"/>
          <w:szCs w:val="20"/>
        </w:rPr>
      </w:pPr>
      <w:r w:rsidRPr="00ED1598">
        <w:rPr>
          <w:rFonts w:ascii="Times New Roman" w:hAnsi="Times New Roman" w:cs="Times New Roman"/>
          <w:i/>
          <w:sz w:val="20"/>
          <w:szCs w:val="20"/>
        </w:rPr>
        <w:t>Carolina Cavalcanti Almeida²</w:t>
      </w:r>
    </w:p>
    <w:p w:rsidR="006A04DB" w:rsidRPr="00ED1598" w:rsidRDefault="006A04DB" w:rsidP="006A04DB">
      <w:pPr>
        <w:spacing w:after="0" w:line="240" w:lineRule="auto"/>
        <w:jc w:val="right"/>
        <w:rPr>
          <w:rFonts w:ascii="Times New Roman" w:hAnsi="Times New Roman" w:cs="Times New Roman"/>
          <w:i/>
          <w:sz w:val="20"/>
          <w:szCs w:val="20"/>
        </w:rPr>
      </w:pPr>
      <w:r w:rsidRPr="00ED1598">
        <w:rPr>
          <w:rFonts w:ascii="Times New Roman" w:hAnsi="Times New Roman" w:cs="Times New Roman"/>
          <w:i/>
          <w:sz w:val="20"/>
          <w:szCs w:val="20"/>
        </w:rPr>
        <w:t xml:space="preserve">Gabriela Felix </w:t>
      </w:r>
      <w:proofErr w:type="spellStart"/>
      <w:r w:rsidRPr="00ED1598">
        <w:rPr>
          <w:rFonts w:ascii="Times New Roman" w:hAnsi="Times New Roman" w:cs="Times New Roman"/>
          <w:i/>
          <w:sz w:val="20"/>
          <w:szCs w:val="20"/>
        </w:rPr>
        <w:t>Marão</w:t>
      </w:r>
      <w:proofErr w:type="spellEnd"/>
      <w:r w:rsidRPr="00ED1598">
        <w:rPr>
          <w:rFonts w:ascii="Times New Roman" w:hAnsi="Times New Roman" w:cs="Times New Roman"/>
          <w:i/>
          <w:sz w:val="20"/>
          <w:szCs w:val="20"/>
        </w:rPr>
        <w:t xml:space="preserve"> Martins²</w:t>
      </w:r>
    </w:p>
    <w:p w:rsidR="006A04DB" w:rsidRPr="00ED1598" w:rsidRDefault="006A04DB" w:rsidP="006A04DB">
      <w:pPr>
        <w:spacing w:after="0" w:line="240" w:lineRule="auto"/>
        <w:jc w:val="right"/>
        <w:rPr>
          <w:rFonts w:ascii="Times New Roman" w:hAnsi="Times New Roman" w:cs="Times New Roman"/>
          <w:i/>
          <w:sz w:val="20"/>
          <w:szCs w:val="20"/>
        </w:rPr>
      </w:pPr>
      <w:r w:rsidRPr="00ED1598">
        <w:rPr>
          <w:rFonts w:ascii="Times New Roman" w:hAnsi="Times New Roman" w:cs="Times New Roman"/>
          <w:i/>
          <w:sz w:val="20"/>
          <w:szCs w:val="20"/>
        </w:rPr>
        <w:t>Christian Barros³</w:t>
      </w:r>
    </w:p>
    <w:p w:rsidR="006A04DB" w:rsidRPr="00996A1A" w:rsidRDefault="006A04DB" w:rsidP="006A04DB">
      <w:pPr>
        <w:spacing w:after="0" w:line="360" w:lineRule="auto"/>
        <w:ind w:left="3402"/>
        <w:jc w:val="both"/>
        <w:rPr>
          <w:rFonts w:ascii="Times New Roman" w:hAnsi="Times New Roman" w:cs="Times New Roman"/>
          <w:sz w:val="24"/>
          <w:szCs w:val="24"/>
        </w:rPr>
      </w:pPr>
    </w:p>
    <w:p w:rsidR="006A04DB" w:rsidRDefault="006A04DB" w:rsidP="006A04DB">
      <w:pPr>
        <w:spacing w:after="0" w:line="240" w:lineRule="auto"/>
        <w:ind w:left="3402"/>
        <w:jc w:val="both"/>
        <w:rPr>
          <w:rFonts w:ascii="Times New Roman" w:hAnsi="Times New Roman" w:cs="Times New Roman"/>
          <w:sz w:val="20"/>
          <w:szCs w:val="20"/>
        </w:rPr>
      </w:pPr>
      <w:r w:rsidRPr="004547FB">
        <w:rPr>
          <w:rFonts w:ascii="Times New Roman" w:hAnsi="Times New Roman" w:cs="Times New Roman"/>
          <w:b/>
          <w:sz w:val="20"/>
          <w:szCs w:val="20"/>
        </w:rPr>
        <w:t>Sumário</w:t>
      </w:r>
      <w:r w:rsidRPr="004547FB">
        <w:rPr>
          <w:rFonts w:ascii="Times New Roman" w:hAnsi="Times New Roman" w:cs="Times New Roman"/>
          <w:sz w:val="20"/>
          <w:szCs w:val="20"/>
        </w:rPr>
        <w:t xml:space="preserve">: Introdução; </w:t>
      </w:r>
      <w:proofErr w:type="gramStart"/>
      <w:r w:rsidRPr="004547FB">
        <w:rPr>
          <w:rFonts w:ascii="Times New Roman" w:hAnsi="Times New Roman" w:cs="Times New Roman"/>
          <w:sz w:val="20"/>
          <w:szCs w:val="20"/>
        </w:rPr>
        <w:t>1</w:t>
      </w:r>
      <w:proofErr w:type="gramEnd"/>
      <w:r w:rsidRPr="004547FB">
        <w:rPr>
          <w:rFonts w:ascii="Times New Roman" w:hAnsi="Times New Roman" w:cs="Times New Roman"/>
          <w:sz w:val="20"/>
          <w:szCs w:val="20"/>
        </w:rPr>
        <w:t>. O Requisito de Admissibilidade da Repercussão Geral das questões constitucionais: no que consiste</w:t>
      </w:r>
      <w:proofErr w:type="gramStart"/>
      <w:r w:rsidRPr="004547FB">
        <w:rPr>
          <w:rFonts w:ascii="Times New Roman" w:hAnsi="Times New Roman" w:cs="Times New Roman"/>
          <w:sz w:val="20"/>
          <w:szCs w:val="20"/>
        </w:rPr>
        <w:t>?;</w:t>
      </w:r>
      <w:proofErr w:type="gramEnd"/>
      <w:r w:rsidRPr="004547FB">
        <w:rPr>
          <w:rFonts w:ascii="Times New Roman" w:hAnsi="Times New Roman" w:cs="Times New Roman"/>
          <w:sz w:val="20"/>
          <w:szCs w:val="20"/>
        </w:rPr>
        <w:t xml:space="preserve"> 1.2. A Repercussão Geral como meio de amenizar a lotação do judiciário: como ficam as lides da sociedade</w:t>
      </w:r>
      <w:proofErr w:type="gramStart"/>
      <w:r w:rsidRPr="004547FB">
        <w:rPr>
          <w:rFonts w:ascii="Times New Roman" w:hAnsi="Times New Roman" w:cs="Times New Roman"/>
          <w:sz w:val="20"/>
          <w:szCs w:val="20"/>
        </w:rPr>
        <w:t>?;</w:t>
      </w:r>
      <w:proofErr w:type="gramEnd"/>
      <w:r w:rsidRPr="004547FB">
        <w:rPr>
          <w:rFonts w:ascii="Times New Roman" w:hAnsi="Times New Roman" w:cs="Times New Roman"/>
          <w:sz w:val="20"/>
          <w:szCs w:val="20"/>
        </w:rPr>
        <w:t xml:space="preserve"> 2. O novo Requisito de Admissibilidade no Recurso Extraordinário versus a antiga Arguição de Relevância; </w:t>
      </w:r>
      <w:proofErr w:type="gramStart"/>
      <w:r w:rsidRPr="004547FB">
        <w:rPr>
          <w:rFonts w:ascii="Times New Roman" w:hAnsi="Times New Roman" w:cs="Times New Roman"/>
          <w:sz w:val="20"/>
          <w:szCs w:val="20"/>
        </w:rPr>
        <w:t>3</w:t>
      </w:r>
      <w:proofErr w:type="gramEnd"/>
      <w:r w:rsidRPr="004547FB">
        <w:rPr>
          <w:rFonts w:ascii="Times New Roman" w:hAnsi="Times New Roman" w:cs="Times New Roman"/>
          <w:sz w:val="20"/>
          <w:szCs w:val="20"/>
        </w:rPr>
        <w:t>. A discricionariedade judicial a respeito do novo requisito de admissibilidade: como co</w:t>
      </w:r>
      <w:r>
        <w:rPr>
          <w:rFonts w:ascii="Times New Roman" w:hAnsi="Times New Roman" w:cs="Times New Roman"/>
          <w:sz w:val="20"/>
          <w:szCs w:val="20"/>
        </w:rPr>
        <w:t>ntrola-la</w:t>
      </w:r>
      <w:r w:rsidRPr="004547FB">
        <w:rPr>
          <w:rFonts w:ascii="Times New Roman" w:hAnsi="Times New Roman" w:cs="Times New Roman"/>
          <w:sz w:val="20"/>
          <w:szCs w:val="20"/>
        </w:rPr>
        <w:t xml:space="preserve">; </w:t>
      </w:r>
      <w:proofErr w:type="gramStart"/>
      <w:r w:rsidRPr="004547FB">
        <w:rPr>
          <w:rFonts w:ascii="Times New Roman" w:hAnsi="Times New Roman" w:cs="Times New Roman"/>
          <w:sz w:val="20"/>
          <w:szCs w:val="20"/>
        </w:rPr>
        <w:t>4</w:t>
      </w:r>
      <w:proofErr w:type="gramEnd"/>
      <w:r w:rsidRPr="004547FB">
        <w:rPr>
          <w:rFonts w:ascii="Times New Roman" w:hAnsi="Times New Roman" w:cs="Times New Roman"/>
          <w:sz w:val="20"/>
          <w:szCs w:val="20"/>
        </w:rPr>
        <w:t>. Críticas finais à Repercussão Geral como requisito de admissibilidade do Recurso Extraordinár</w:t>
      </w:r>
      <w:r>
        <w:rPr>
          <w:rFonts w:ascii="Times New Roman" w:hAnsi="Times New Roman" w:cs="Times New Roman"/>
          <w:sz w:val="20"/>
          <w:szCs w:val="20"/>
        </w:rPr>
        <w:t xml:space="preserve">io; Conclusão. </w:t>
      </w:r>
    </w:p>
    <w:p w:rsidR="00AB7303" w:rsidRDefault="00AB7303" w:rsidP="006A04DB">
      <w:pPr>
        <w:spacing w:after="0" w:line="360" w:lineRule="auto"/>
        <w:jc w:val="center"/>
        <w:rPr>
          <w:rFonts w:ascii="Times New Roman" w:hAnsi="Times New Roman" w:cs="Times New Roman"/>
          <w:sz w:val="24"/>
          <w:szCs w:val="24"/>
        </w:rPr>
      </w:pPr>
    </w:p>
    <w:p w:rsidR="006A04DB" w:rsidRDefault="006A04DB" w:rsidP="006A04DB">
      <w:pPr>
        <w:spacing w:after="0" w:line="360" w:lineRule="auto"/>
        <w:jc w:val="center"/>
        <w:rPr>
          <w:rFonts w:ascii="Times New Roman" w:hAnsi="Times New Roman" w:cs="Times New Roman"/>
          <w:b/>
          <w:sz w:val="24"/>
          <w:szCs w:val="24"/>
        </w:rPr>
      </w:pPr>
      <w:r w:rsidRPr="006A04DB">
        <w:rPr>
          <w:rFonts w:ascii="Times New Roman" w:hAnsi="Times New Roman" w:cs="Times New Roman"/>
          <w:b/>
          <w:sz w:val="24"/>
          <w:szCs w:val="24"/>
        </w:rPr>
        <w:t>RESUMO</w:t>
      </w:r>
    </w:p>
    <w:p w:rsidR="006A04DB" w:rsidRDefault="00ED1598" w:rsidP="00AB7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presente trabalho tem como objetivo mostrar os âmbitos do novo Requisito de Admissibilidade, isto é, apresentar as vantagens e desvantagens deste requisito e que problemas trouxe para a população. </w:t>
      </w:r>
      <w:r w:rsidR="00D67BAA">
        <w:rPr>
          <w:rFonts w:ascii="Times New Roman" w:hAnsi="Times New Roman" w:cs="Times New Roman"/>
          <w:sz w:val="24"/>
          <w:szCs w:val="24"/>
        </w:rPr>
        <w:t xml:space="preserve">Destarte, primeiramente, será compreendido do que se trata a Repercussão Geral das questões constitucionais, para que se possa caracteriza-la e analisar suas peculiaridades. </w:t>
      </w:r>
      <w:r w:rsidR="00AB760A">
        <w:rPr>
          <w:rFonts w:ascii="Times New Roman" w:hAnsi="Times New Roman" w:cs="Times New Roman"/>
          <w:sz w:val="24"/>
          <w:szCs w:val="24"/>
        </w:rPr>
        <w:t xml:space="preserve">Serão expostos motivos que possivelmente justifiquem que se chame a emenda Constitucional nº 45/04 de a “Reforma do Judiciário”, bem como as inovações trazidas por este requisito. Posteriormente, é importante que se faça uma comparação da Repercussão Geral com antiga Arguição de Relevância, apontando suas semelhanças e, principalmente, demonstrando o </w:t>
      </w:r>
      <w:r w:rsidR="00264E8A">
        <w:rPr>
          <w:rFonts w:ascii="Times New Roman" w:hAnsi="Times New Roman" w:cs="Times New Roman"/>
          <w:sz w:val="24"/>
          <w:szCs w:val="24"/>
        </w:rPr>
        <w:t>porquê</w:t>
      </w:r>
      <w:r w:rsidR="00AB760A">
        <w:rPr>
          <w:rFonts w:ascii="Times New Roman" w:hAnsi="Times New Roman" w:cs="Times New Roman"/>
          <w:sz w:val="24"/>
          <w:szCs w:val="24"/>
        </w:rPr>
        <w:t xml:space="preserve"> de não se tratarem da mesma coisa. Logo após, falar-se-á sobre o fato de alguns autores defenderem a tese de que o pressuposto seria inconstitucional, por ferir direitos individuais, fechando-se o artigo com a apresentação de demais críticas feitas ao novo requisito.   </w:t>
      </w:r>
    </w:p>
    <w:p w:rsidR="007F33F5" w:rsidRDefault="007F33F5" w:rsidP="00AB760A">
      <w:pPr>
        <w:spacing w:after="0" w:line="360" w:lineRule="auto"/>
        <w:jc w:val="both"/>
        <w:rPr>
          <w:rFonts w:ascii="Times New Roman" w:hAnsi="Times New Roman" w:cs="Times New Roman"/>
          <w:sz w:val="24"/>
          <w:szCs w:val="24"/>
        </w:rPr>
      </w:pPr>
    </w:p>
    <w:p w:rsidR="00AB760A" w:rsidRDefault="00B4741D" w:rsidP="00AB760A">
      <w:pPr>
        <w:spacing w:after="0" w:line="360" w:lineRule="auto"/>
        <w:jc w:val="both"/>
        <w:rPr>
          <w:rFonts w:ascii="Times New Roman" w:hAnsi="Times New Roman" w:cs="Times New Roman"/>
          <w:sz w:val="24"/>
          <w:szCs w:val="24"/>
        </w:rPr>
      </w:pPr>
      <w:r w:rsidRPr="00B4741D">
        <w:rPr>
          <w:rFonts w:ascii="Times New Roman" w:hAnsi="Times New Roman" w:cs="Times New Roman"/>
          <w:b/>
          <w:sz w:val="24"/>
          <w:szCs w:val="24"/>
        </w:rPr>
        <w:t>Palavras-chave</w:t>
      </w:r>
      <w:r>
        <w:rPr>
          <w:rFonts w:ascii="Times New Roman" w:hAnsi="Times New Roman" w:cs="Times New Roman"/>
          <w:sz w:val="24"/>
          <w:szCs w:val="24"/>
        </w:rPr>
        <w:t xml:space="preserve">: Recurso Extraordinário; Repercussão Geral; </w:t>
      </w:r>
      <w:r w:rsidR="003C46EC">
        <w:rPr>
          <w:rFonts w:ascii="Times New Roman" w:hAnsi="Times New Roman" w:cs="Times New Roman"/>
          <w:sz w:val="24"/>
          <w:szCs w:val="24"/>
        </w:rPr>
        <w:t>Arguição de Relevância; Crise</w:t>
      </w:r>
      <w:r>
        <w:rPr>
          <w:rFonts w:ascii="Times New Roman" w:hAnsi="Times New Roman" w:cs="Times New Roman"/>
          <w:sz w:val="24"/>
          <w:szCs w:val="24"/>
        </w:rPr>
        <w:t xml:space="preserve"> do </w:t>
      </w:r>
      <w:r w:rsidR="003C46EC">
        <w:rPr>
          <w:rFonts w:ascii="Times New Roman" w:hAnsi="Times New Roman" w:cs="Times New Roman"/>
          <w:sz w:val="24"/>
          <w:szCs w:val="24"/>
        </w:rPr>
        <w:t>judiciário; D</w:t>
      </w:r>
      <w:r w:rsidR="00D465ED">
        <w:rPr>
          <w:rFonts w:ascii="Times New Roman" w:hAnsi="Times New Roman" w:cs="Times New Roman"/>
          <w:sz w:val="24"/>
          <w:szCs w:val="24"/>
        </w:rPr>
        <w:t xml:space="preserve">iscricionariedade; </w:t>
      </w:r>
      <w:r w:rsidR="003C46EC">
        <w:rPr>
          <w:rFonts w:ascii="Times New Roman" w:hAnsi="Times New Roman" w:cs="Times New Roman"/>
          <w:sz w:val="24"/>
          <w:szCs w:val="24"/>
        </w:rPr>
        <w:t>F</w:t>
      </w:r>
      <w:r w:rsidR="00D465ED">
        <w:rPr>
          <w:rFonts w:ascii="Times New Roman" w:hAnsi="Times New Roman" w:cs="Times New Roman"/>
          <w:sz w:val="24"/>
          <w:szCs w:val="24"/>
        </w:rPr>
        <w:t>iltragem.</w:t>
      </w:r>
    </w:p>
    <w:p w:rsidR="007F33F5" w:rsidRDefault="007F33F5" w:rsidP="00AB760A">
      <w:pPr>
        <w:spacing w:after="0" w:line="360" w:lineRule="auto"/>
        <w:jc w:val="both"/>
        <w:rPr>
          <w:rFonts w:ascii="Times New Roman" w:hAnsi="Times New Roman" w:cs="Times New Roman"/>
          <w:sz w:val="24"/>
          <w:szCs w:val="24"/>
        </w:rPr>
      </w:pPr>
    </w:p>
    <w:p w:rsidR="00F642DA" w:rsidRPr="00F642DA" w:rsidRDefault="00F642DA" w:rsidP="007F33F5">
      <w:pPr>
        <w:shd w:val="clear" w:color="auto" w:fill="FFFFFF"/>
        <w:spacing w:after="0" w:line="360" w:lineRule="auto"/>
        <w:jc w:val="both"/>
        <w:rPr>
          <w:rFonts w:ascii="Helvetica" w:eastAsia="Times New Roman" w:hAnsi="Helvetica" w:cs="Helvetica"/>
          <w:color w:val="000000"/>
          <w:sz w:val="24"/>
          <w:szCs w:val="24"/>
          <w:lang w:eastAsia="pt-BR"/>
        </w:rPr>
      </w:pPr>
      <w:r w:rsidRPr="00F642DA">
        <w:rPr>
          <w:rFonts w:ascii="Times New Roman" w:eastAsia="Times New Roman" w:hAnsi="Times New Roman" w:cs="Times New Roman"/>
          <w:b/>
          <w:bCs/>
          <w:color w:val="000000"/>
          <w:sz w:val="24"/>
          <w:szCs w:val="24"/>
          <w:lang w:eastAsia="pt-BR"/>
        </w:rPr>
        <w:t>INTRODUÇÃO</w:t>
      </w:r>
    </w:p>
    <w:p w:rsidR="00F642DA" w:rsidRPr="00F642DA" w:rsidRDefault="00F642DA" w:rsidP="007F33F5">
      <w:pPr>
        <w:shd w:val="clear" w:color="auto" w:fill="FFFFFF"/>
        <w:spacing w:after="0" w:line="360" w:lineRule="auto"/>
        <w:ind w:firstLine="1134"/>
        <w:jc w:val="both"/>
        <w:rPr>
          <w:rFonts w:ascii="Helvetica" w:eastAsia="Times New Roman" w:hAnsi="Helvetica" w:cs="Helvetica"/>
          <w:color w:val="000000"/>
          <w:sz w:val="24"/>
          <w:szCs w:val="24"/>
          <w:lang w:eastAsia="pt-BR"/>
        </w:rPr>
      </w:pPr>
      <w:r w:rsidRPr="00F642DA">
        <w:rPr>
          <w:rFonts w:ascii="Times New Roman" w:eastAsia="Times New Roman" w:hAnsi="Times New Roman" w:cs="Times New Roman"/>
          <w:color w:val="000000"/>
          <w:sz w:val="24"/>
          <w:szCs w:val="24"/>
          <w:lang w:eastAsia="pt-BR"/>
        </w:rPr>
        <w:t>A Constituição da República Federativa do Brasil, promulgada em 1988, instituiu um período de redemocratização do país, avivando a cidadania e ampliando direitos fundamentais a todos os seg</w:t>
      </w:r>
      <w:r w:rsidR="0026686C">
        <w:rPr>
          <w:rFonts w:ascii="Times New Roman" w:eastAsia="Times New Roman" w:hAnsi="Times New Roman" w:cs="Times New Roman"/>
          <w:color w:val="000000"/>
          <w:sz w:val="24"/>
          <w:szCs w:val="24"/>
          <w:lang w:eastAsia="pt-BR"/>
        </w:rPr>
        <w:t>ui</w:t>
      </w:r>
      <w:r w:rsidRPr="00F642DA">
        <w:rPr>
          <w:rFonts w:ascii="Times New Roman" w:eastAsia="Times New Roman" w:hAnsi="Times New Roman" w:cs="Times New Roman"/>
          <w:color w:val="000000"/>
          <w:sz w:val="24"/>
          <w:szCs w:val="24"/>
          <w:lang w:eastAsia="pt-BR"/>
        </w:rPr>
        <w:t xml:space="preserve">mentos da população. A sociedade brasileira, outrora desacreditada </w:t>
      </w:r>
      <w:r w:rsidR="00763503">
        <w:rPr>
          <w:rFonts w:ascii="Times New Roman" w:eastAsia="Times New Roman" w:hAnsi="Times New Roman" w:cs="Times New Roman"/>
          <w:color w:val="000000"/>
          <w:sz w:val="24"/>
          <w:szCs w:val="24"/>
          <w:lang w:eastAsia="pt-BR"/>
        </w:rPr>
        <w:t>por conta do período</w:t>
      </w:r>
      <w:r w:rsidR="0026686C">
        <w:rPr>
          <w:rFonts w:ascii="Times New Roman" w:eastAsia="Times New Roman" w:hAnsi="Times New Roman" w:cs="Times New Roman"/>
          <w:color w:val="000000"/>
          <w:sz w:val="24"/>
          <w:szCs w:val="24"/>
          <w:lang w:eastAsia="pt-BR"/>
        </w:rPr>
        <w:t xml:space="preserve"> de ditadura militar, depositava, nesta nova época, uma </w:t>
      </w:r>
      <w:r w:rsidR="0026686C">
        <w:rPr>
          <w:rFonts w:ascii="Times New Roman" w:eastAsia="Times New Roman" w:hAnsi="Times New Roman" w:cs="Times New Roman"/>
          <w:color w:val="000000"/>
          <w:sz w:val="24"/>
          <w:szCs w:val="24"/>
          <w:lang w:eastAsia="pt-BR"/>
        </w:rPr>
        <w:lastRenderedPageBreak/>
        <w:t>esperança</w:t>
      </w:r>
      <w:r w:rsidRPr="00F642DA">
        <w:rPr>
          <w:rFonts w:ascii="Times New Roman" w:eastAsia="Times New Roman" w:hAnsi="Times New Roman" w:cs="Times New Roman"/>
          <w:color w:val="000000"/>
          <w:sz w:val="24"/>
          <w:szCs w:val="24"/>
          <w:lang w:eastAsia="pt-BR"/>
        </w:rPr>
        <w:t xml:space="preserve"> no Poder Judiciário</w:t>
      </w:r>
      <w:r w:rsidR="0026686C">
        <w:rPr>
          <w:rFonts w:ascii="Times New Roman" w:eastAsia="Times New Roman" w:hAnsi="Times New Roman" w:cs="Times New Roman"/>
          <w:color w:val="000000"/>
          <w:sz w:val="24"/>
          <w:szCs w:val="24"/>
          <w:lang w:eastAsia="pt-BR"/>
        </w:rPr>
        <w:t>, enxergando este como</w:t>
      </w:r>
      <w:r w:rsidRPr="00F642DA">
        <w:rPr>
          <w:rFonts w:ascii="Times New Roman" w:eastAsia="Times New Roman" w:hAnsi="Times New Roman" w:cs="Times New Roman"/>
          <w:color w:val="000000"/>
          <w:sz w:val="24"/>
          <w:szCs w:val="24"/>
          <w:lang w:eastAsia="pt-BR"/>
        </w:rPr>
        <w:t xml:space="preserve"> um instrumento para fazer garantir direitos agora constitucionalizados, o que, certamente, trouxe um processo conhecido como “Judicialização”, onde houve a expansão e fortalecimento do poder judiciário, em detrimento do poder Legislativo e Executivo.</w:t>
      </w:r>
    </w:p>
    <w:p w:rsidR="00F642DA" w:rsidRPr="00F642DA" w:rsidRDefault="00F642DA" w:rsidP="007F33F5">
      <w:pPr>
        <w:shd w:val="clear" w:color="auto" w:fill="FFFFFF"/>
        <w:spacing w:after="0" w:line="360" w:lineRule="auto"/>
        <w:ind w:firstLine="1134"/>
        <w:jc w:val="both"/>
        <w:rPr>
          <w:rFonts w:ascii="Helvetica" w:eastAsia="Times New Roman" w:hAnsi="Helvetica" w:cs="Helvetica"/>
          <w:color w:val="000000"/>
          <w:sz w:val="24"/>
          <w:szCs w:val="24"/>
          <w:lang w:eastAsia="pt-BR"/>
        </w:rPr>
      </w:pPr>
      <w:r w:rsidRPr="00F642DA">
        <w:rPr>
          <w:rFonts w:ascii="Times New Roman" w:eastAsia="Times New Roman" w:hAnsi="Times New Roman" w:cs="Times New Roman"/>
          <w:color w:val="000000"/>
          <w:sz w:val="24"/>
          <w:szCs w:val="24"/>
          <w:lang w:eastAsia="pt-BR"/>
        </w:rPr>
        <w:t xml:space="preserve">Consequentemente, o Estado Brasileiro, mais especificamente o Judiciário, passou a enfrentar grande crise, devido ao acúmulo de lides, o que levou </w:t>
      </w:r>
      <w:proofErr w:type="gramStart"/>
      <w:r w:rsidRPr="00F642DA">
        <w:rPr>
          <w:rFonts w:ascii="Times New Roman" w:eastAsia="Times New Roman" w:hAnsi="Times New Roman" w:cs="Times New Roman"/>
          <w:color w:val="000000"/>
          <w:sz w:val="24"/>
          <w:szCs w:val="24"/>
          <w:lang w:eastAsia="pt-BR"/>
        </w:rPr>
        <w:t>à</w:t>
      </w:r>
      <w:proofErr w:type="gramEnd"/>
      <w:r w:rsidRPr="00F642DA">
        <w:rPr>
          <w:rFonts w:ascii="Times New Roman" w:eastAsia="Times New Roman" w:hAnsi="Times New Roman" w:cs="Times New Roman"/>
          <w:color w:val="000000"/>
          <w:sz w:val="24"/>
          <w:szCs w:val="24"/>
          <w:lang w:eastAsia="pt-BR"/>
        </w:rPr>
        <w:t xml:space="preserve"> uma grande morosidade na resolução desta</w:t>
      </w:r>
      <w:r w:rsidR="00F04919">
        <w:rPr>
          <w:rFonts w:ascii="Times New Roman" w:eastAsia="Times New Roman" w:hAnsi="Times New Roman" w:cs="Times New Roman"/>
          <w:color w:val="000000"/>
          <w:sz w:val="24"/>
          <w:szCs w:val="24"/>
          <w:lang w:eastAsia="pt-BR"/>
        </w:rPr>
        <w:t>s, quebrando, de certa forma, as expectativas da população em relação ao órgão.</w:t>
      </w:r>
      <w:r w:rsidRPr="00F642DA">
        <w:rPr>
          <w:rFonts w:ascii="Times New Roman" w:eastAsia="Times New Roman" w:hAnsi="Times New Roman" w:cs="Times New Roman"/>
          <w:color w:val="000000"/>
          <w:sz w:val="24"/>
          <w:szCs w:val="24"/>
          <w:lang w:eastAsia="pt-BR"/>
        </w:rPr>
        <w:t xml:space="preserve"> Essa ineficiência, além de uma estruturação interna extremamente autocrática, gerou, portanto, grande descrédito diante da sociedade, o que acabou por afastá-la cada vez mais dos princípios democráticos que norteavam esse período em que o país buscava solidificar sua democracia.</w:t>
      </w:r>
    </w:p>
    <w:p w:rsidR="00F642DA" w:rsidRPr="00F642DA" w:rsidRDefault="00F642DA" w:rsidP="007F33F5">
      <w:pPr>
        <w:shd w:val="clear" w:color="auto" w:fill="FFFFFF"/>
        <w:spacing w:after="0" w:line="360" w:lineRule="auto"/>
        <w:ind w:firstLine="1134"/>
        <w:jc w:val="both"/>
        <w:rPr>
          <w:rFonts w:ascii="Helvetica" w:eastAsia="Times New Roman" w:hAnsi="Helvetica" w:cs="Helvetica"/>
          <w:color w:val="000000"/>
          <w:sz w:val="24"/>
          <w:szCs w:val="24"/>
          <w:lang w:eastAsia="pt-BR"/>
        </w:rPr>
      </w:pPr>
      <w:proofErr w:type="gramStart"/>
      <w:r w:rsidRPr="00F642DA">
        <w:rPr>
          <w:rFonts w:ascii="Times New Roman" w:eastAsia="Times New Roman" w:hAnsi="Times New Roman" w:cs="Times New Roman"/>
          <w:color w:val="000000"/>
          <w:sz w:val="24"/>
          <w:szCs w:val="24"/>
          <w:lang w:eastAsia="pt-BR"/>
        </w:rPr>
        <w:t>É</w:t>
      </w:r>
      <w:proofErr w:type="gramEnd"/>
      <w:r w:rsidRPr="00F642DA">
        <w:rPr>
          <w:rFonts w:ascii="Times New Roman" w:eastAsia="Times New Roman" w:hAnsi="Times New Roman" w:cs="Times New Roman"/>
          <w:color w:val="000000"/>
          <w:sz w:val="24"/>
          <w:szCs w:val="24"/>
          <w:lang w:eastAsia="pt-BR"/>
        </w:rPr>
        <w:t xml:space="preserve"> nesse contexto que surge a Emenda Constitucional nº 45, de 32 de dezembro de 2004, enquanto proposta de “Reforma do Judiciário”, trazendo significativas mudanças no processo democrático brasileiro, buscando proporcionar maior celeridade e eficiência processual - por meio, por exemplo, do novo requisito de admissibilidade materializado em seu artigo 102, III, §3, e maior tr</w:t>
      </w:r>
      <w:r w:rsidR="00763503">
        <w:rPr>
          <w:rFonts w:ascii="Times New Roman" w:eastAsia="Times New Roman" w:hAnsi="Times New Roman" w:cs="Times New Roman"/>
          <w:color w:val="000000"/>
          <w:sz w:val="24"/>
          <w:szCs w:val="24"/>
          <w:lang w:eastAsia="pt-BR"/>
        </w:rPr>
        <w:t>ansparência nas sessões judiciárias</w:t>
      </w:r>
      <w:r w:rsidRPr="00F642DA">
        <w:rPr>
          <w:rFonts w:ascii="Times New Roman" w:eastAsia="Times New Roman" w:hAnsi="Times New Roman" w:cs="Times New Roman"/>
          <w:color w:val="000000"/>
          <w:sz w:val="24"/>
          <w:szCs w:val="24"/>
          <w:lang w:eastAsia="pt-BR"/>
        </w:rPr>
        <w:t xml:space="preserve"> e administrativas, visando, portanto a redemocratização do Poder Judiciário.</w:t>
      </w:r>
    </w:p>
    <w:p w:rsidR="00F642DA" w:rsidRDefault="00F642DA" w:rsidP="007F33F5">
      <w:pPr>
        <w:shd w:val="clear" w:color="auto" w:fill="FFFFFF"/>
        <w:spacing w:after="0" w:line="360" w:lineRule="auto"/>
        <w:ind w:firstLine="1134"/>
        <w:jc w:val="both"/>
        <w:rPr>
          <w:rFonts w:ascii="Times New Roman" w:eastAsia="Times New Roman" w:hAnsi="Times New Roman" w:cs="Times New Roman"/>
          <w:color w:val="000000"/>
          <w:sz w:val="24"/>
          <w:szCs w:val="24"/>
          <w:lang w:eastAsia="pt-BR"/>
        </w:rPr>
      </w:pPr>
      <w:r w:rsidRPr="00F642DA">
        <w:rPr>
          <w:rFonts w:ascii="Times New Roman" w:eastAsia="Times New Roman" w:hAnsi="Times New Roman" w:cs="Times New Roman"/>
          <w:color w:val="000000"/>
          <w:sz w:val="24"/>
          <w:szCs w:val="24"/>
          <w:lang w:eastAsia="pt-BR"/>
        </w:rPr>
        <w:t>O artigo 102, III, §3, da Emenda Constitucional nº 45/2004, materializou a Repercussão Geral, mecanismo que propunha a filtragem dos recursos extraordinários encaminhados à Suprema Corte - pois</w:t>
      </w:r>
      <w:r w:rsidR="00763503">
        <w:rPr>
          <w:rFonts w:ascii="Times New Roman" w:eastAsia="Times New Roman" w:hAnsi="Times New Roman" w:cs="Times New Roman"/>
          <w:color w:val="000000"/>
          <w:sz w:val="24"/>
          <w:szCs w:val="24"/>
          <w:lang w:eastAsia="pt-BR"/>
        </w:rPr>
        <w:t>, parte do Judiciário, que exerce papel de</w:t>
      </w:r>
      <w:r w:rsidRPr="00F642DA">
        <w:rPr>
          <w:rFonts w:ascii="Times New Roman" w:eastAsia="Times New Roman" w:hAnsi="Times New Roman" w:cs="Times New Roman"/>
          <w:color w:val="000000"/>
          <w:sz w:val="24"/>
          <w:szCs w:val="24"/>
          <w:lang w:eastAsia="pt-BR"/>
        </w:rPr>
        <w:t xml:space="preserve"> guardião da Constituição</w:t>
      </w:r>
      <w:r w:rsidR="00763503">
        <w:rPr>
          <w:rFonts w:ascii="Times New Roman" w:eastAsia="Times New Roman" w:hAnsi="Times New Roman" w:cs="Times New Roman"/>
          <w:color w:val="000000"/>
          <w:sz w:val="24"/>
          <w:szCs w:val="24"/>
          <w:lang w:eastAsia="pt-BR"/>
        </w:rPr>
        <w:t>,</w:t>
      </w:r>
      <w:r w:rsidRPr="00F642DA">
        <w:rPr>
          <w:rFonts w:ascii="Times New Roman" w:eastAsia="Times New Roman" w:hAnsi="Times New Roman" w:cs="Times New Roman"/>
          <w:color w:val="000000"/>
          <w:sz w:val="24"/>
          <w:szCs w:val="24"/>
          <w:lang w:eastAsia="pt-BR"/>
        </w:rPr>
        <w:t xml:space="preserve"> passava por essa crise. Buscava-se, entã</w:t>
      </w:r>
      <w:r w:rsidR="00F04919">
        <w:rPr>
          <w:rFonts w:ascii="Times New Roman" w:eastAsia="Times New Roman" w:hAnsi="Times New Roman" w:cs="Times New Roman"/>
          <w:color w:val="000000"/>
          <w:sz w:val="24"/>
          <w:szCs w:val="24"/>
          <w:lang w:eastAsia="pt-BR"/>
        </w:rPr>
        <w:t>o, por meio do novo requisito de admissibilidade do Recurso Extraordinário</w:t>
      </w:r>
      <w:r w:rsidRPr="00F642DA">
        <w:rPr>
          <w:rFonts w:ascii="Times New Roman" w:eastAsia="Times New Roman" w:hAnsi="Times New Roman" w:cs="Times New Roman"/>
          <w:color w:val="000000"/>
          <w:sz w:val="24"/>
          <w:szCs w:val="24"/>
          <w:lang w:eastAsia="pt-BR"/>
        </w:rPr>
        <w:t>, uma maior celeridade processual e crédito diante da sociedade, pois muito mais já havia sido feito e não houve resultados</w:t>
      </w:r>
      <w:r w:rsidR="00763503">
        <w:rPr>
          <w:rFonts w:ascii="Times New Roman" w:eastAsia="Times New Roman" w:hAnsi="Times New Roman" w:cs="Times New Roman"/>
          <w:color w:val="000000"/>
          <w:sz w:val="24"/>
          <w:szCs w:val="24"/>
          <w:lang w:eastAsia="pt-BR"/>
        </w:rPr>
        <w:t xml:space="preserve">. </w:t>
      </w:r>
    </w:p>
    <w:p w:rsidR="0026686C" w:rsidRDefault="0026686C" w:rsidP="0026686C">
      <w:pPr>
        <w:shd w:val="clear" w:color="auto" w:fill="FFFFFF"/>
        <w:spacing w:after="0" w:line="240" w:lineRule="auto"/>
        <w:ind w:left="2268"/>
        <w:jc w:val="both"/>
        <w:rPr>
          <w:rFonts w:ascii="Times New Roman" w:hAnsi="Times New Roman" w:cs="Times New Roman"/>
          <w:sz w:val="20"/>
          <w:szCs w:val="24"/>
        </w:rPr>
      </w:pPr>
      <w:r w:rsidRPr="00873F30">
        <w:rPr>
          <w:rFonts w:ascii="Times New Roman" w:hAnsi="Times New Roman" w:cs="Times New Roman"/>
          <w:sz w:val="20"/>
          <w:szCs w:val="24"/>
        </w:rPr>
        <w:t>Foi, sem dúvida, a necessidade de controlar e reduzir o sempre crescente e intolerável volume de recursos da espécie que passou a assoberbar o Supremo Tribunal a ponto de comprometer o bom desempenho de sua missão de Corte Constitucional, que inspirou e justificou a reforma operada pela Emenda Constitucional n° 45. (Theodoro, p. 717, 2007).</w:t>
      </w:r>
    </w:p>
    <w:p w:rsidR="0026686C" w:rsidRDefault="0026686C" w:rsidP="0026686C">
      <w:pPr>
        <w:shd w:val="clear" w:color="auto" w:fill="FFFFFF"/>
        <w:spacing w:after="0" w:line="240" w:lineRule="auto"/>
        <w:ind w:left="2268"/>
        <w:jc w:val="both"/>
        <w:rPr>
          <w:rFonts w:ascii="Times New Roman" w:eastAsia="Times New Roman" w:hAnsi="Times New Roman" w:cs="Times New Roman"/>
          <w:color w:val="000000"/>
          <w:sz w:val="24"/>
          <w:szCs w:val="24"/>
          <w:lang w:eastAsia="pt-BR"/>
        </w:rPr>
      </w:pPr>
    </w:p>
    <w:p w:rsidR="00763503" w:rsidRPr="00F642DA" w:rsidRDefault="00763503" w:rsidP="007F33F5">
      <w:pPr>
        <w:shd w:val="clear" w:color="auto" w:fill="FFFFFF"/>
        <w:spacing w:after="0" w:line="360" w:lineRule="auto"/>
        <w:ind w:firstLine="1134"/>
        <w:jc w:val="both"/>
        <w:rPr>
          <w:rFonts w:ascii="Helvetica" w:eastAsia="Times New Roman" w:hAnsi="Helvetica" w:cs="Helvetica"/>
          <w:color w:val="000000"/>
          <w:sz w:val="24"/>
          <w:szCs w:val="24"/>
          <w:lang w:eastAsia="pt-BR"/>
        </w:rPr>
      </w:pPr>
      <w:r>
        <w:rPr>
          <w:rFonts w:ascii="Times New Roman" w:eastAsia="Times New Roman" w:hAnsi="Times New Roman" w:cs="Times New Roman"/>
          <w:color w:val="000000"/>
          <w:sz w:val="24"/>
          <w:szCs w:val="24"/>
          <w:lang w:eastAsia="pt-BR"/>
        </w:rPr>
        <w:t xml:space="preserve">Trata-se, então, de um instituto de grandes iniciativas legislativas com o escopo de garantir, principalmente, </w:t>
      </w:r>
      <w:r w:rsidR="0026686C">
        <w:rPr>
          <w:rFonts w:ascii="Times New Roman" w:eastAsia="Times New Roman" w:hAnsi="Times New Roman" w:cs="Times New Roman"/>
          <w:color w:val="000000"/>
          <w:sz w:val="24"/>
          <w:szCs w:val="24"/>
          <w:lang w:eastAsia="pt-BR"/>
        </w:rPr>
        <w:t>a rapidez com eficiência nos processos</w:t>
      </w:r>
      <w:r w:rsidR="007F33F5">
        <w:rPr>
          <w:rFonts w:ascii="Times New Roman" w:eastAsia="Times New Roman" w:hAnsi="Times New Roman" w:cs="Times New Roman"/>
          <w:color w:val="000000"/>
          <w:sz w:val="24"/>
          <w:szCs w:val="24"/>
          <w:lang w:eastAsia="pt-BR"/>
        </w:rPr>
        <w:t xml:space="preserve"> e </w:t>
      </w:r>
      <w:r w:rsidR="0026686C">
        <w:rPr>
          <w:rFonts w:ascii="Times New Roman" w:eastAsia="Times New Roman" w:hAnsi="Times New Roman" w:cs="Times New Roman"/>
          <w:color w:val="000000"/>
          <w:sz w:val="24"/>
          <w:szCs w:val="24"/>
          <w:lang w:eastAsia="pt-BR"/>
        </w:rPr>
        <w:t xml:space="preserve">de </w:t>
      </w:r>
      <w:r w:rsidR="007F33F5">
        <w:rPr>
          <w:rFonts w:ascii="Times New Roman" w:eastAsia="Times New Roman" w:hAnsi="Times New Roman" w:cs="Times New Roman"/>
          <w:color w:val="000000"/>
          <w:sz w:val="24"/>
          <w:szCs w:val="24"/>
          <w:lang w:eastAsia="pt-BR"/>
        </w:rPr>
        <w:t>tornar m</w:t>
      </w:r>
      <w:r w:rsidR="00F04919">
        <w:rPr>
          <w:rFonts w:ascii="Times New Roman" w:eastAsia="Times New Roman" w:hAnsi="Times New Roman" w:cs="Times New Roman"/>
          <w:color w:val="000000"/>
          <w:sz w:val="24"/>
          <w:szCs w:val="24"/>
          <w:lang w:eastAsia="pt-BR"/>
        </w:rPr>
        <w:t>ínima a morosidade judiciária, o que será visto se é mesmo possível.</w:t>
      </w:r>
      <w:r w:rsidR="007F33F5">
        <w:rPr>
          <w:rFonts w:ascii="Times New Roman" w:eastAsia="Times New Roman" w:hAnsi="Times New Roman" w:cs="Times New Roman"/>
          <w:color w:val="000000"/>
          <w:sz w:val="24"/>
          <w:szCs w:val="24"/>
          <w:lang w:eastAsia="pt-BR"/>
        </w:rPr>
        <w:t xml:space="preserve"> Além disso, o fato de o cumprimento do requisito da repercussão geral depender, de certo modo, de uma iniciativa dos Tribunais Superiores, traz à tona uma discussão entre autores e operadores do direito a respeito das vantagens e desvantagens que pode causar essa “discricionariedade do legislativo”, termo, inclusive, muito utilizado pela doutrina.</w:t>
      </w:r>
    </w:p>
    <w:p w:rsidR="007E2852" w:rsidRPr="00E9651F" w:rsidRDefault="007E2852" w:rsidP="007E2852">
      <w:pPr>
        <w:pStyle w:val="PargrafodaLista"/>
        <w:numPr>
          <w:ilvl w:val="0"/>
          <w:numId w:val="1"/>
        </w:numPr>
        <w:autoSpaceDE w:val="0"/>
        <w:autoSpaceDN w:val="0"/>
        <w:adjustRightInd w:val="0"/>
        <w:spacing w:after="0" w:line="360" w:lineRule="auto"/>
        <w:ind w:left="0" w:firstLine="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O REQUISITO DE ADMISSIBILIDADE DA REPERCUSSÃO GERAL DAS QUESTÕES CONSTITUCIONAIS: NO QUE CONSISTE?</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Tal como outros recursos elencados pelo Código de Processo Civil, o recurso extraordinário só pode ter seu mérito analisado e julgado, se tiverem seus requisitos próprios preenchidos. A Repercussão Geral fora materializada pela Emenda Constitucional nº 45/2004</w:t>
      </w:r>
      <w:r w:rsidR="00574049">
        <w:rPr>
          <w:rFonts w:ascii="Times New Roman" w:hAnsi="Times New Roman" w:cs="Times New Roman"/>
          <w:bCs/>
          <w:iCs/>
          <w:sz w:val="24"/>
          <w:szCs w:val="24"/>
        </w:rPr>
        <w:t>, com o intuito de aumentar a celeridade processual, diminuindo a sobrecarga do STF na análise dos recursos extraordinários,</w:t>
      </w:r>
      <w:r>
        <w:rPr>
          <w:rFonts w:ascii="Times New Roman" w:hAnsi="Times New Roman" w:cs="Times New Roman"/>
          <w:bCs/>
          <w:iCs/>
          <w:sz w:val="24"/>
          <w:szCs w:val="24"/>
        </w:rPr>
        <w:t xml:space="preserve"> enquanto o Prequestionamento baseia-se em doutrina e Jurisprudência</w:t>
      </w:r>
      <w:r w:rsidRPr="00940808">
        <w:rPr>
          <w:rFonts w:ascii="Times New Roman" w:hAnsi="Times New Roman" w:cs="Times New Roman"/>
          <w:bCs/>
          <w:iCs/>
          <w:sz w:val="24"/>
          <w:szCs w:val="24"/>
        </w:rPr>
        <w:t>. (ORELLI, 2009.) Nos</w:t>
      </w:r>
      <w:r>
        <w:rPr>
          <w:rFonts w:ascii="Times New Roman" w:hAnsi="Times New Roman" w:cs="Times New Roman"/>
          <w:bCs/>
          <w:iCs/>
          <w:sz w:val="24"/>
          <w:szCs w:val="24"/>
        </w:rPr>
        <w:t xml:space="preserve"> ateremos à Repercussão Geral. </w:t>
      </w:r>
    </w:p>
    <w:p w:rsidR="007E2852" w:rsidRPr="00E9651F"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O artigo 102, III, §3 da Emenda Constitucional nº 45/2004 alude: “</w:t>
      </w:r>
      <w:r w:rsidRPr="00E9651F">
        <w:rPr>
          <w:rFonts w:ascii="Times New Roman" w:hAnsi="Times New Roman" w:cs="Times New Roman"/>
          <w:bCs/>
          <w:iCs/>
          <w:sz w:val="24"/>
          <w:szCs w:val="24"/>
        </w:rPr>
        <w:t>No recurso extraordinário o recorrente deverá demonstrar a repercussão geral das questões</w:t>
      </w:r>
      <w:r>
        <w:rPr>
          <w:rFonts w:ascii="Times New Roman" w:hAnsi="Times New Roman" w:cs="Times New Roman"/>
          <w:bCs/>
          <w:iCs/>
          <w:sz w:val="24"/>
          <w:szCs w:val="24"/>
        </w:rPr>
        <w:t xml:space="preserve"> </w:t>
      </w:r>
      <w:r w:rsidRPr="00E9651F">
        <w:rPr>
          <w:rFonts w:ascii="Times New Roman" w:hAnsi="Times New Roman" w:cs="Times New Roman"/>
          <w:bCs/>
          <w:iCs/>
          <w:sz w:val="24"/>
          <w:szCs w:val="24"/>
        </w:rPr>
        <w:t>constitucionais discutidas no caso, nos termos da lei, a fim de que o Tribunal examine a admissão do</w:t>
      </w:r>
      <w:r>
        <w:rPr>
          <w:rFonts w:ascii="Times New Roman" w:hAnsi="Times New Roman" w:cs="Times New Roman"/>
          <w:bCs/>
          <w:iCs/>
          <w:sz w:val="24"/>
          <w:szCs w:val="24"/>
        </w:rPr>
        <w:t xml:space="preserve"> </w:t>
      </w:r>
      <w:r w:rsidRPr="00E9651F">
        <w:rPr>
          <w:rFonts w:ascii="Times New Roman" w:hAnsi="Times New Roman" w:cs="Times New Roman"/>
          <w:bCs/>
          <w:iCs/>
          <w:sz w:val="24"/>
          <w:szCs w:val="24"/>
        </w:rPr>
        <w:t>recurso, somente podendo recusá-lo pela manifestação de dois terços de seus membros</w:t>
      </w:r>
      <w:r>
        <w:rPr>
          <w:rFonts w:ascii="Times New Roman" w:hAnsi="Times New Roman" w:cs="Times New Roman"/>
          <w:bCs/>
          <w:iCs/>
          <w:sz w:val="24"/>
          <w:szCs w:val="24"/>
        </w:rPr>
        <w:t xml:space="preserve">.”. Ou seja, há necessidade de que a matéria do recurso extraordinário demonstre Repercussão Geral para que seja apreciado no Supremo Tribunal Federal.  </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ED4D1C">
        <w:rPr>
          <w:rFonts w:ascii="Times New Roman" w:hAnsi="Times New Roman" w:cs="Times New Roman"/>
          <w:bCs/>
          <w:iCs/>
          <w:sz w:val="24"/>
          <w:szCs w:val="24"/>
        </w:rPr>
        <w:t xml:space="preserve">Repercussão Geral, conforme RIBEIRO (2011) é algo transcendente e relevante. Em acordo com o Minidicionário da Língua Portuguesa Silveira Bueno (2000), relevância significa “importante, saliente”, enquanto transcendente significa “superior, que </w:t>
      </w:r>
      <w:proofErr w:type="gramStart"/>
      <w:r w:rsidRPr="00ED4D1C">
        <w:rPr>
          <w:rFonts w:ascii="Times New Roman" w:hAnsi="Times New Roman" w:cs="Times New Roman"/>
          <w:bCs/>
          <w:iCs/>
          <w:sz w:val="24"/>
          <w:szCs w:val="24"/>
        </w:rPr>
        <w:t>ultrapassa,</w:t>
      </w:r>
      <w:proofErr w:type="gramEnd"/>
      <w:r w:rsidRPr="00ED4D1C">
        <w:rPr>
          <w:rFonts w:ascii="Times New Roman" w:hAnsi="Times New Roman" w:cs="Times New Roman"/>
          <w:bCs/>
          <w:iCs/>
          <w:sz w:val="24"/>
          <w:szCs w:val="24"/>
        </w:rPr>
        <w:t xml:space="preserve"> que transcende”. Isso demonstra que Repercussão Geral é algo que verse sobre tema importante e que ultrapasse o interesse da parte. Como demonstra o artigo 543-A, §1º do Código de Processo Civil, essa</w:t>
      </w:r>
      <w:r>
        <w:rPr>
          <w:rFonts w:ascii="Times New Roman" w:hAnsi="Times New Roman" w:cs="Times New Roman"/>
          <w:bCs/>
          <w:iCs/>
          <w:sz w:val="24"/>
          <w:szCs w:val="24"/>
        </w:rPr>
        <w:t xml:space="preserve"> relevância deve se dar tanto no ponto de vista político, quanto econômico</w:t>
      </w:r>
      <w:r w:rsidRPr="003A06B3">
        <w:rPr>
          <w:rFonts w:ascii="Times New Roman" w:hAnsi="Times New Roman" w:cs="Times New Roman"/>
          <w:bCs/>
          <w:iCs/>
          <w:sz w:val="24"/>
          <w:szCs w:val="24"/>
        </w:rPr>
        <w:t>, e jurídico ou social, tendo interesse geral, ultrapassando o interesse subjetivo da causa, que, conforme JUNIOR (2011, p.5) alude, são aquelas decisões que tratem de “bem comum”.</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No que diz respeito à relevância política, econômica, jurídica ou social, SCHLOSSER; WICKERT (2008) assinalam que não existe um conceito fechado para tais valores econômicos, políticos e jurídicos ou social, impostos pela lei, posto que, ainda que a lei regule sobre aquilo que de fato repercute, na prática da realidade, existem casos que não podem ser previstos pelo legislador, o que, ao conceituar, poder-se-ia chegar a conclusões injustas. Fato é que devem ser questões relevantes.</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 xml:space="preserve">Nesse sentido, JUNIOR (2011) aponta exemplos que seriam capazes de demonstrar como essa relevância econômica, política, jurídica ou social podem se </w:t>
      </w:r>
      <w:proofErr w:type="gramStart"/>
      <w:r w:rsidRPr="003A06B3">
        <w:rPr>
          <w:rFonts w:ascii="Times New Roman" w:hAnsi="Times New Roman" w:cs="Times New Roman"/>
          <w:bCs/>
          <w:iCs/>
          <w:sz w:val="24"/>
          <w:szCs w:val="24"/>
        </w:rPr>
        <w:t>dar</w:t>
      </w:r>
      <w:proofErr w:type="gramEnd"/>
      <w:r w:rsidRPr="003A06B3">
        <w:rPr>
          <w:rFonts w:ascii="Times New Roman" w:hAnsi="Times New Roman" w:cs="Times New Roman"/>
          <w:bCs/>
          <w:iCs/>
          <w:sz w:val="24"/>
          <w:szCs w:val="24"/>
        </w:rPr>
        <w:t xml:space="preserve">. JUNIOR (2011) afirma que, no que se refere à relevância econômica, esta existiria quando se tratar, por exemplo, de uma decisão dê condições de criar um fato que conceda direitos que podem vir a ser pleiteado por uma quantidade relevante de pessoas. Afirma ainda JUNIOR </w:t>
      </w:r>
      <w:r w:rsidRPr="003A06B3">
        <w:rPr>
          <w:rFonts w:ascii="Times New Roman" w:hAnsi="Times New Roman" w:cs="Times New Roman"/>
          <w:bCs/>
          <w:iCs/>
          <w:sz w:val="24"/>
          <w:szCs w:val="24"/>
        </w:rPr>
        <w:lastRenderedPageBreak/>
        <w:t>(2011) que quando se tratam de decisões que modifiquem políticas econômicas ou quaisquer outras diretivas governamentais, independente de ser no âmbito Municipal, Estadual ou Federal, está aí presente a relevância política.</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 xml:space="preserve"> Têm relevância social, no entendimento de JUNIOR (2011), as decisões que abordem direitos, deferindo-os ou indeferindo-os e transformando a situação jurídica de diversas pessoas. Sendo assim, esse autor considera que todas as ações coletivas, desde que possuam natureza constitucional, são dotadas de relevância social e repercussão geral. No que diz respeito à relevância jurídica, JUNIOR (2001) afirma que possuem essa relevância as decisões nas quais sua interpretação for expressamente adversa ao texto constitucional. </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 xml:space="preserve">Partindo deste ponto de vista, </w:t>
      </w:r>
      <w:proofErr w:type="gramStart"/>
      <w:r w:rsidRPr="003A06B3">
        <w:rPr>
          <w:rFonts w:ascii="Times New Roman" w:hAnsi="Times New Roman" w:cs="Times New Roman"/>
          <w:bCs/>
          <w:iCs/>
          <w:sz w:val="24"/>
          <w:szCs w:val="24"/>
        </w:rPr>
        <w:t>mister</w:t>
      </w:r>
      <w:proofErr w:type="gramEnd"/>
      <w:r w:rsidRPr="003A06B3">
        <w:rPr>
          <w:rFonts w:ascii="Times New Roman" w:hAnsi="Times New Roman" w:cs="Times New Roman"/>
          <w:bCs/>
          <w:iCs/>
          <w:sz w:val="24"/>
          <w:szCs w:val="24"/>
        </w:rPr>
        <w:t xml:space="preserve"> se faz ressaltar que ter-se-á também Repercussão Geral sempre, e em todos os casos em que o recurso venha a impugnar decisão contrária à súmula ou jurisprudência dominante do Tribunal (artigo 543-A, §3º, Código de Processo Civil). É o que TUCCI (2011) considera como presunção legal da Repercussão Geral. Quanto ao termo “contrariar” exigido no texto da lei, JUNIOR (2011) entende que haverá contrariedade quando esta decisão desconsiderar preceito existente na Constituição, ou ainda, se aplicá-lo de forma imprópria. Destarte, conforme RIBEIRO (2011), jurisprudência dominante é aquela sobre a qual não incidem divergências, ou, existindo divergências, já foram resolvidas no Tribunal.</w:t>
      </w:r>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É, portanto, um requisito de admissibilidade de competência exclusiva do Supremo Tribunal Federal, proporciona que este órgão decida, nos recursos extraordinários, somente por aqueles que tenham real e transcenden</w:t>
      </w:r>
      <w:r>
        <w:rPr>
          <w:rFonts w:ascii="Times New Roman" w:hAnsi="Times New Roman" w:cs="Times New Roman"/>
          <w:bCs/>
          <w:iCs/>
          <w:sz w:val="24"/>
          <w:szCs w:val="24"/>
        </w:rPr>
        <w:t>te importância. Nesse contex</w:t>
      </w:r>
      <w:r w:rsidRPr="003A06B3">
        <w:rPr>
          <w:rFonts w:ascii="Times New Roman" w:hAnsi="Times New Roman" w:cs="Times New Roman"/>
          <w:bCs/>
          <w:iCs/>
          <w:sz w:val="24"/>
          <w:szCs w:val="24"/>
        </w:rPr>
        <w:t>to, MEDINA; WAMBIER; WAMBIER (2008) compreendem</w:t>
      </w:r>
      <w:r>
        <w:rPr>
          <w:rFonts w:ascii="Times New Roman" w:hAnsi="Times New Roman" w:cs="Times New Roman"/>
          <w:bCs/>
          <w:iCs/>
          <w:sz w:val="24"/>
          <w:szCs w:val="24"/>
        </w:rPr>
        <w:t xml:space="preserve"> que esta é a recuperação da verdadeira função do Supremo Tribunal Federal</w:t>
      </w:r>
      <w:r w:rsidRPr="003A06B3">
        <w:rPr>
          <w:rFonts w:ascii="Times New Roman" w:hAnsi="Times New Roman" w:cs="Times New Roman"/>
          <w:bCs/>
          <w:iCs/>
          <w:sz w:val="24"/>
          <w:szCs w:val="24"/>
        </w:rPr>
        <w:t xml:space="preserve">: </w:t>
      </w:r>
    </w:p>
    <w:p w:rsidR="007E2852" w:rsidRPr="003A06B3" w:rsidRDefault="007E2852" w:rsidP="007E2852">
      <w:pPr>
        <w:autoSpaceDE w:val="0"/>
        <w:autoSpaceDN w:val="0"/>
        <w:adjustRightInd w:val="0"/>
        <w:spacing w:after="120" w:line="240" w:lineRule="auto"/>
        <w:ind w:left="2268"/>
        <w:jc w:val="both"/>
        <w:rPr>
          <w:rFonts w:ascii="Times New Roman" w:hAnsi="Times New Roman" w:cs="Times New Roman"/>
          <w:bCs/>
          <w:iCs/>
          <w:sz w:val="20"/>
          <w:szCs w:val="24"/>
        </w:rPr>
      </w:pPr>
      <w:r w:rsidRPr="003A06B3">
        <w:rPr>
          <w:rFonts w:ascii="Times New Roman" w:hAnsi="Times New Roman" w:cs="Times New Roman"/>
          <w:bCs/>
          <w:iCs/>
          <w:sz w:val="20"/>
          <w:szCs w:val="24"/>
        </w:rPr>
        <w:t>"Entende-se, com razão, que, dessa forma, a Suprema Corte será reconduzida à sua verdadeira função, que é a de zelar pelo direito objetivo - sua eficácia, sua inteireza e a uniformidade de sua interpretação - na medida em que os temas trazidos à discussão tenham relevância para a Nação". (MEDINA; WAMBIER; WAMBIER, Repercussão Geral e Súmula Vinculante, Reforma do Judiciário, 2005, p.374</w:t>
      </w:r>
      <w:proofErr w:type="gramStart"/>
      <w:r w:rsidRPr="003A06B3">
        <w:rPr>
          <w:rFonts w:ascii="Times New Roman" w:hAnsi="Times New Roman" w:cs="Times New Roman"/>
          <w:bCs/>
          <w:iCs/>
          <w:sz w:val="20"/>
          <w:szCs w:val="24"/>
        </w:rPr>
        <w:t>)</w:t>
      </w:r>
      <w:proofErr w:type="gramEnd"/>
    </w:p>
    <w:p w:rsidR="007E2852" w:rsidRPr="003A06B3"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Quanto à natureza jurídica da Repercussão Geral, como já dito anteriormente, é um requisito de admissibilidade, haja vista que, somente se presente a Repercussão Geral é que o recurso virá a ser admitido e analisado, sendo assim, este não pode ser considerado como mero embasamento do recurso extraordinário (AURELLI, 2007). É, portanto, um “mecanismo de filtragem” (TUCCI, 2011).</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sidRPr="003A06B3">
        <w:rPr>
          <w:rFonts w:ascii="Times New Roman" w:hAnsi="Times New Roman" w:cs="Times New Roman"/>
          <w:bCs/>
          <w:iCs/>
          <w:sz w:val="24"/>
          <w:szCs w:val="24"/>
        </w:rPr>
        <w:t xml:space="preserve">Sendo este um requisito de admissibilidade, é analisado antes das questões de mérito recursal. Sendo, portanto, preliminar, tem o recorrente o ônus de provar sua Repercussão Geral e isso deve se </w:t>
      </w:r>
      <w:proofErr w:type="gramStart"/>
      <w:r w:rsidRPr="003A06B3">
        <w:rPr>
          <w:rFonts w:ascii="Times New Roman" w:hAnsi="Times New Roman" w:cs="Times New Roman"/>
          <w:bCs/>
          <w:iCs/>
          <w:sz w:val="24"/>
          <w:szCs w:val="24"/>
        </w:rPr>
        <w:t>dar</w:t>
      </w:r>
      <w:proofErr w:type="gramEnd"/>
      <w:r w:rsidRPr="003A06B3">
        <w:rPr>
          <w:rFonts w:ascii="Times New Roman" w:hAnsi="Times New Roman" w:cs="Times New Roman"/>
          <w:bCs/>
          <w:iCs/>
          <w:sz w:val="24"/>
          <w:szCs w:val="24"/>
        </w:rPr>
        <w:t xml:space="preserve"> de forma fundamentada, expressa e formal, até mesmo </w:t>
      </w:r>
      <w:r w:rsidRPr="003A06B3">
        <w:rPr>
          <w:rFonts w:ascii="Times New Roman" w:hAnsi="Times New Roman" w:cs="Times New Roman"/>
          <w:bCs/>
          <w:iCs/>
          <w:sz w:val="24"/>
          <w:szCs w:val="24"/>
        </w:rPr>
        <w:lastRenderedPageBreak/>
        <w:t>aqueles recursos em que há presunção de Repercussão geral - os que venham a atacar súmula ou jurisprudência dominante no Tribunal, devem ser assim demonstradas pelo recorrente. Portanto, em um capítulo independente, deve a parte demonstrar a relevância econômica, política, social ou jurídica, conforme o artigo 543-A §1º, do Código de Processo Civil (TUCCI, 2011).</w:t>
      </w:r>
    </w:p>
    <w:p w:rsidR="00F65558" w:rsidRDefault="00F65558" w:rsidP="00F65558">
      <w:pPr>
        <w:pStyle w:val="PargrafodaLista"/>
        <w:numPr>
          <w:ilvl w:val="1"/>
          <w:numId w:val="1"/>
        </w:numPr>
        <w:autoSpaceDE w:val="0"/>
        <w:autoSpaceDN w:val="0"/>
        <w:adjustRightInd w:val="0"/>
        <w:spacing w:after="0" w:line="360" w:lineRule="auto"/>
        <w:ind w:left="0" w:firstLine="0"/>
        <w:jc w:val="both"/>
        <w:rPr>
          <w:rFonts w:ascii="Times New Roman" w:hAnsi="Times New Roman" w:cs="Times New Roman"/>
          <w:b/>
          <w:bCs/>
          <w:iCs/>
          <w:sz w:val="24"/>
          <w:szCs w:val="24"/>
        </w:rPr>
      </w:pPr>
      <w:r w:rsidRPr="00F65558">
        <w:rPr>
          <w:rFonts w:ascii="Times New Roman" w:hAnsi="Times New Roman" w:cs="Times New Roman"/>
          <w:b/>
          <w:bCs/>
          <w:iCs/>
          <w:sz w:val="24"/>
          <w:szCs w:val="24"/>
        </w:rPr>
        <w:t>A REPERCUSSÃO GERAL COMO MEIO DE AMENIZAR A LOTAÇÃO DO JUDICIÁRIO: COMO FICAM AS LIDES DA SOCIEDADE?</w:t>
      </w:r>
    </w:p>
    <w:p w:rsidR="008C4A1D" w:rsidRDefault="001C2D1E" w:rsidP="008D2350">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A Repercussão Geral fora materializada pela EC nº 45/2004, mas sua </w:t>
      </w:r>
      <w:proofErr w:type="gramStart"/>
      <w:r>
        <w:rPr>
          <w:rFonts w:ascii="Times New Roman" w:hAnsi="Times New Roman" w:cs="Times New Roman"/>
          <w:bCs/>
          <w:iCs/>
          <w:sz w:val="24"/>
          <w:szCs w:val="24"/>
        </w:rPr>
        <w:t>implementação</w:t>
      </w:r>
      <w:proofErr w:type="gramEnd"/>
      <w:r>
        <w:rPr>
          <w:rFonts w:ascii="Times New Roman" w:hAnsi="Times New Roman" w:cs="Times New Roman"/>
          <w:bCs/>
          <w:iCs/>
          <w:sz w:val="24"/>
          <w:szCs w:val="24"/>
        </w:rPr>
        <w:t xml:space="preserve"> só fora se deu com a edição da Lei 11.418/2007 e por meio da Emenda 21 ao Regimento Interno do Supremo Tribunal Federal, que fora publicada também em 2007. (FILHO, 2011). </w:t>
      </w:r>
      <w:r w:rsidR="008D2350">
        <w:rPr>
          <w:rFonts w:ascii="Times New Roman" w:hAnsi="Times New Roman" w:cs="Times New Roman"/>
          <w:bCs/>
          <w:iCs/>
          <w:sz w:val="24"/>
          <w:szCs w:val="24"/>
        </w:rPr>
        <w:t>E é exatamente a partir desse período que se percebe uma melhoria conquistada por meio desse instituto, apresentando uma queda nos números dos</w:t>
      </w:r>
      <w:r w:rsidR="008C4A1D">
        <w:rPr>
          <w:rFonts w:ascii="Times New Roman" w:hAnsi="Times New Roman" w:cs="Times New Roman"/>
          <w:bCs/>
          <w:iCs/>
          <w:sz w:val="24"/>
          <w:szCs w:val="24"/>
        </w:rPr>
        <w:t xml:space="preserve"> processos examinados pelo STF.</w:t>
      </w:r>
    </w:p>
    <w:p w:rsidR="008C4A1D" w:rsidRDefault="002777BB" w:rsidP="008C4A1D">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Marina Cardoso de Freitas (2009) assinala que o</w:t>
      </w:r>
      <w:r w:rsidR="008C4A1D">
        <w:rPr>
          <w:rFonts w:ascii="Times New Roman" w:hAnsi="Times New Roman" w:cs="Times New Roman"/>
          <w:bCs/>
          <w:iCs/>
          <w:sz w:val="24"/>
          <w:szCs w:val="24"/>
        </w:rPr>
        <w:t xml:space="preserve"> Relatório de atividades do ST</w:t>
      </w:r>
      <w:r>
        <w:rPr>
          <w:rFonts w:ascii="Times New Roman" w:hAnsi="Times New Roman" w:cs="Times New Roman"/>
          <w:bCs/>
          <w:iCs/>
          <w:sz w:val="24"/>
          <w:szCs w:val="24"/>
        </w:rPr>
        <w:t>F em 2008 mostrava</w:t>
      </w:r>
      <w:r w:rsidR="008C4A1D">
        <w:rPr>
          <w:rFonts w:ascii="Times New Roman" w:hAnsi="Times New Roman" w:cs="Times New Roman"/>
          <w:bCs/>
          <w:iCs/>
          <w:sz w:val="24"/>
          <w:szCs w:val="24"/>
        </w:rPr>
        <w:t xml:space="preserve"> a importância do instituto para redução do volume da atividade jurisdicional do STF, posto que em 2008, pela primeira vez, o total de processos encaminhado</w:t>
      </w:r>
      <w:r>
        <w:rPr>
          <w:rFonts w:ascii="Times New Roman" w:hAnsi="Times New Roman" w:cs="Times New Roman"/>
          <w:bCs/>
          <w:iCs/>
          <w:sz w:val="24"/>
          <w:szCs w:val="24"/>
        </w:rPr>
        <w:t>s</w:t>
      </w:r>
      <w:r w:rsidR="008C4A1D">
        <w:rPr>
          <w:rFonts w:ascii="Times New Roman" w:hAnsi="Times New Roman" w:cs="Times New Roman"/>
          <w:bCs/>
          <w:iCs/>
          <w:sz w:val="24"/>
          <w:szCs w:val="24"/>
        </w:rPr>
        <w:t xml:space="preserve"> a Supr</w:t>
      </w:r>
      <w:r>
        <w:rPr>
          <w:rFonts w:ascii="Times New Roman" w:hAnsi="Times New Roman" w:cs="Times New Roman"/>
          <w:bCs/>
          <w:iCs/>
          <w:sz w:val="24"/>
          <w:szCs w:val="24"/>
        </w:rPr>
        <w:t>e</w:t>
      </w:r>
      <w:r w:rsidR="008C4A1D">
        <w:rPr>
          <w:rFonts w:ascii="Times New Roman" w:hAnsi="Times New Roman" w:cs="Times New Roman"/>
          <w:bCs/>
          <w:iCs/>
          <w:sz w:val="24"/>
          <w:szCs w:val="24"/>
        </w:rPr>
        <w:t>ma Corte tivera uma diminuição significativa</w:t>
      </w:r>
      <w:r>
        <w:rPr>
          <w:rFonts w:ascii="Times New Roman" w:hAnsi="Times New Roman" w:cs="Times New Roman"/>
          <w:bCs/>
          <w:iCs/>
          <w:sz w:val="24"/>
          <w:szCs w:val="24"/>
        </w:rPr>
        <w:t xml:space="preserve">, sendo a Repercussão Geral marcada </w:t>
      </w:r>
      <w:r w:rsidR="009C49C2">
        <w:rPr>
          <w:rFonts w:ascii="Times New Roman" w:hAnsi="Times New Roman" w:cs="Times New Roman"/>
          <w:bCs/>
          <w:iCs/>
          <w:sz w:val="24"/>
          <w:szCs w:val="24"/>
        </w:rPr>
        <w:t xml:space="preserve">com destaque para </w:t>
      </w:r>
      <w:r>
        <w:rPr>
          <w:rFonts w:ascii="Times New Roman" w:hAnsi="Times New Roman" w:cs="Times New Roman"/>
          <w:bCs/>
          <w:iCs/>
          <w:sz w:val="24"/>
          <w:szCs w:val="24"/>
        </w:rPr>
        <w:t xml:space="preserve">essa queda. </w:t>
      </w:r>
    </w:p>
    <w:p w:rsidR="002777BB" w:rsidRDefault="002777BB" w:rsidP="008C4A1D">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FREITAS (2009) afirma ainda que esses dados mostram que a Repercussão Geral garantiu uma queda de </w:t>
      </w:r>
      <w:r w:rsidRPr="002777BB">
        <w:rPr>
          <w:rFonts w:ascii="Times New Roman" w:hAnsi="Times New Roman" w:cs="Times New Roman"/>
          <w:bCs/>
          <w:iCs/>
          <w:sz w:val="24"/>
          <w:szCs w:val="24"/>
        </w:rPr>
        <w:t>41,7%</w:t>
      </w:r>
      <w:r>
        <w:rPr>
          <w:rFonts w:ascii="Times New Roman" w:hAnsi="Times New Roman" w:cs="Times New Roman"/>
          <w:bCs/>
          <w:iCs/>
          <w:sz w:val="24"/>
          <w:szCs w:val="24"/>
        </w:rPr>
        <w:t xml:space="preserve"> no total de processos que foram distribuídos em 2008, se comparados com o ano de 2007 (ano em que começara, de fato, a </w:t>
      </w:r>
      <w:proofErr w:type="gramStart"/>
      <w:r>
        <w:rPr>
          <w:rFonts w:ascii="Times New Roman" w:hAnsi="Times New Roman" w:cs="Times New Roman"/>
          <w:bCs/>
          <w:iCs/>
          <w:sz w:val="24"/>
          <w:szCs w:val="24"/>
        </w:rPr>
        <w:t>implementação</w:t>
      </w:r>
      <w:proofErr w:type="gramEnd"/>
      <w:r>
        <w:rPr>
          <w:rFonts w:ascii="Times New Roman" w:hAnsi="Times New Roman" w:cs="Times New Roman"/>
          <w:bCs/>
          <w:iCs/>
          <w:sz w:val="24"/>
          <w:szCs w:val="24"/>
        </w:rPr>
        <w:t xml:space="preserve"> desse mecanismo de filtragem). E essa eficácia é real, tanto que 89% dos processos em trâmite no STF </w:t>
      </w:r>
      <w:proofErr w:type="gramStart"/>
      <w:r>
        <w:rPr>
          <w:rFonts w:ascii="Times New Roman" w:hAnsi="Times New Roman" w:cs="Times New Roman"/>
          <w:bCs/>
          <w:iCs/>
          <w:sz w:val="24"/>
          <w:szCs w:val="24"/>
        </w:rPr>
        <w:t>tratavam-se</w:t>
      </w:r>
      <w:proofErr w:type="gramEnd"/>
      <w:r>
        <w:rPr>
          <w:rFonts w:ascii="Times New Roman" w:hAnsi="Times New Roman" w:cs="Times New Roman"/>
          <w:bCs/>
          <w:iCs/>
          <w:sz w:val="24"/>
          <w:szCs w:val="24"/>
        </w:rPr>
        <w:t xml:space="preserve"> de Recursos extraordinários.</w:t>
      </w:r>
    </w:p>
    <w:p w:rsidR="008D2350" w:rsidRDefault="002777BB" w:rsidP="008D2350">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Essa queda também fora documentada pel</w:t>
      </w:r>
      <w:r w:rsidR="008D2350">
        <w:rPr>
          <w:rFonts w:ascii="Times New Roman" w:hAnsi="Times New Roman" w:cs="Times New Roman"/>
          <w:bCs/>
          <w:iCs/>
          <w:sz w:val="24"/>
          <w:szCs w:val="24"/>
        </w:rPr>
        <w:t xml:space="preserve">as estatísticas do STF </w:t>
      </w:r>
      <w:r w:rsidR="00D63B8C">
        <w:rPr>
          <w:rFonts w:ascii="Times New Roman" w:hAnsi="Times New Roman" w:cs="Times New Roman"/>
          <w:bCs/>
          <w:iCs/>
          <w:sz w:val="24"/>
          <w:szCs w:val="24"/>
        </w:rPr>
        <w:t xml:space="preserve">em </w:t>
      </w:r>
      <w:r w:rsidR="008D2350">
        <w:rPr>
          <w:rFonts w:ascii="Times New Roman" w:hAnsi="Times New Roman" w:cs="Times New Roman"/>
          <w:bCs/>
          <w:iCs/>
          <w:sz w:val="24"/>
          <w:szCs w:val="24"/>
        </w:rPr>
        <w:t xml:space="preserve">2009: </w:t>
      </w:r>
    </w:p>
    <w:p w:rsidR="008C4A1D" w:rsidRDefault="008D2350" w:rsidP="008C4A1D">
      <w:pPr>
        <w:pStyle w:val="PargrafodaLista"/>
        <w:autoSpaceDE w:val="0"/>
        <w:autoSpaceDN w:val="0"/>
        <w:adjustRightInd w:val="0"/>
        <w:spacing w:after="120" w:line="240" w:lineRule="auto"/>
        <w:ind w:left="2268"/>
        <w:jc w:val="both"/>
        <w:rPr>
          <w:rFonts w:ascii="Times New Roman" w:hAnsi="Times New Roman" w:cs="Times New Roman"/>
          <w:bCs/>
          <w:iCs/>
          <w:sz w:val="20"/>
          <w:szCs w:val="24"/>
        </w:rPr>
      </w:pPr>
      <w:r w:rsidRPr="008D2350">
        <w:rPr>
          <w:rFonts w:ascii="Times New Roman" w:hAnsi="Times New Roman" w:cs="Times New Roman"/>
          <w:bCs/>
          <w:iCs/>
          <w:sz w:val="20"/>
          <w:szCs w:val="24"/>
        </w:rPr>
        <w:t>Com a repercussão geral e a edição de súmulas vinculantes que devem ser seguidas por toda a Administração Pública, é possível que o número de processos no Supremo continue a tendência de queda, que é bem-vinda pelos ministros e pela sociedade, uma vez que ela representa além de um trabalho mais célere por parte do Judiciário a solução mais pacificada de conflitos semelhantes. De abril de 2008 a abril de 2009, foram editadas 11 súmulas, entre elas as que proíbem o nepotismo em órgãos públicos, o uso indiscriminado de algemas durante as prisões e a cobrança de taxas de matrícula em universidades públicas.</w:t>
      </w:r>
      <w:r>
        <w:rPr>
          <w:rFonts w:ascii="Times New Roman" w:hAnsi="Times New Roman" w:cs="Times New Roman"/>
          <w:bCs/>
          <w:iCs/>
          <w:sz w:val="20"/>
          <w:szCs w:val="24"/>
        </w:rPr>
        <w:t xml:space="preserve"> (Conheça os números da movimentação processual do STF nos últimos 12 meses. Disponível em: &lt;</w:t>
      </w:r>
      <w:r w:rsidRPr="008D2350">
        <w:t xml:space="preserve"> </w:t>
      </w:r>
      <w:r w:rsidRPr="008D2350">
        <w:rPr>
          <w:rFonts w:ascii="Times New Roman" w:hAnsi="Times New Roman" w:cs="Times New Roman"/>
          <w:bCs/>
          <w:iCs/>
          <w:sz w:val="20"/>
          <w:szCs w:val="24"/>
        </w:rPr>
        <w:t>http://stf.jusbrasil.com.br/noticias/1013761/conheca-os-numeros-da-movimentacao-processual-do-stf-nos-ultimos-12-meses</w:t>
      </w:r>
      <w:r>
        <w:rPr>
          <w:rFonts w:ascii="Times New Roman" w:hAnsi="Times New Roman" w:cs="Times New Roman"/>
          <w:bCs/>
          <w:iCs/>
          <w:sz w:val="20"/>
          <w:szCs w:val="24"/>
        </w:rPr>
        <w:t>&gt;)</w:t>
      </w:r>
      <w:r w:rsidR="0002680F">
        <w:rPr>
          <w:rFonts w:ascii="Times New Roman" w:hAnsi="Times New Roman" w:cs="Times New Roman"/>
          <w:bCs/>
          <w:iCs/>
          <w:sz w:val="20"/>
          <w:szCs w:val="24"/>
        </w:rPr>
        <w:t>.</w:t>
      </w:r>
    </w:p>
    <w:p w:rsidR="008C4A1D" w:rsidRDefault="00A90DAB" w:rsidP="00A90DAB">
      <w:pPr>
        <w:pStyle w:val="PargrafodaLista"/>
        <w:tabs>
          <w:tab w:val="left" w:pos="7083"/>
        </w:tabs>
        <w:autoSpaceDE w:val="0"/>
        <w:autoSpaceDN w:val="0"/>
        <w:adjustRightInd w:val="0"/>
        <w:spacing w:after="120" w:line="240" w:lineRule="auto"/>
        <w:ind w:left="0" w:firstLine="1134"/>
        <w:jc w:val="both"/>
        <w:rPr>
          <w:rFonts w:ascii="Times New Roman" w:hAnsi="Times New Roman" w:cs="Times New Roman"/>
          <w:bCs/>
          <w:iCs/>
          <w:sz w:val="20"/>
          <w:szCs w:val="24"/>
        </w:rPr>
      </w:pPr>
      <w:r>
        <w:rPr>
          <w:rFonts w:ascii="Times New Roman" w:hAnsi="Times New Roman" w:cs="Times New Roman"/>
          <w:bCs/>
          <w:iCs/>
          <w:sz w:val="20"/>
          <w:szCs w:val="24"/>
        </w:rPr>
        <w:tab/>
      </w:r>
    </w:p>
    <w:p w:rsidR="0002680F" w:rsidRDefault="009C49C2" w:rsidP="0002680F">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Ainda s</w:t>
      </w:r>
      <w:r w:rsidR="0002680F">
        <w:rPr>
          <w:rFonts w:ascii="Times New Roman" w:hAnsi="Times New Roman" w:cs="Times New Roman"/>
          <w:bCs/>
          <w:iCs/>
          <w:sz w:val="24"/>
          <w:szCs w:val="24"/>
        </w:rPr>
        <w:t xml:space="preserve">obre o ano de 2009, FREITAS (2009, p. 75) leciona também que no primeiro semestre de 2009, </w:t>
      </w:r>
      <w:r w:rsidR="0002680F" w:rsidRPr="0002680F">
        <w:rPr>
          <w:rFonts w:ascii="Times New Roman" w:hAnsi="Times New Roman" w:cs="Times New Roman"/>
          <w:bCs/>
          <w:iCs/>
          <w:sz w:val="24"/>
          <w:szCs w:val="24"/>
        </w:rPr>
        <w:t>no</w:t>
      </w:r>
      <w:r w:rsidR="0002680F">
        <w:rPr>
          <w:rFonts w:ascii="Times New Roman" w:hAnsi="Times New Roman" w:cs="Times New Roman"/>
          <w:bCs/>
          <w:iCs/>
          <w:sz w:val="24"/>
          <w:szCs w:val="24"/>
        </w:rPr>
        <w:t>s seis primeiros meses de 2009,</w:t>
      </w:r>
      <w:r w:rsidR="0002680F" w:rsidRPr="0002680F">
        <w:rPr>
          <w:rFonts w:ascii="Times New Roman" w:hAnsi="Times New Roman" w:cs="Times New Roman"/>
          <w:bCs/>
          <w:iCs/>
          <w:sz w:val="24"/>
          <w:szCs w:val="24"/>
        </w:rPr>
        <w:t xml:space="preserve"> </w:t>
      </w:r>
      <w:r w:rsidR="0002680F">
        <w:rPr>
          <w:rFonts w:ascii="Times New Roman" w:hAnsi="Times New Roman" w:cs="Times New Roman"/>
          <w:bCs/>
          <w:iCs/>
          <w:sz w:val="24"/>
          <w:szCs w:val="24"/>
        </w:rPr>
        <w:t>fora noticiado</w:t>
      </w:r>
      <w:r w:rsidR="0002680F" w:rsidRPr="0002680F">
        <w:rPr>
          <w:rFonts w:ascii="Times New Roman" w:hAnsi="Times New Roman" w:cs="Times New Roman"/>
          <w:bCs/>
          <w:iCs/>
          <w:sz w:val="24"/>
          <w:szCs w:val="24"/>
        </w:rPr>
        <w:t xml:space="preserve"> </w:t>
      </w:r>
      <w:r w:rsidR="0002680F">
        <w:rPr>
          <w:rFonts w:ascii="Times New Roman" w:hAnsi="Times New Roman" w:cs="Times New Roman"/>
          <w:bCs/>
          <w:iCs/>
          <w:sz w:val="24"/>
          <w:szCs w:val="24"/>
        </w:rPr>
        <w:t>“</w:t>
      </w:r>
      <w:r w:rsidR="0002680F" w:rsidRPr="0002680F">
        <w:rPr>
          <w:rFonts w:ascii="Times New Roman" w:hAnsi="Times New Roman" w:cs="Times New Roman"/>
          <w:bCs/>
          <w:iCs/>
          <w:sz w:val="24"/>
          <w:szCs w:val="24"/>
        </w:rPr>
        <w:t xml:space="preserve">uma redução </w:t>
      </w:r>
      <w:proofErr w:type="gramStart"/>
      <w:r w:rsidR="0002680F" w:rsidRPr="0002680F">
        <w:rPr>
          <w:rFonts w:ascii="Times New Roman" w:hAnsi="Times New Roman" w:cs="Times New Roman"/>
          <w:bCs/>
          <w:iCs/>
          <w:sz w:val="24"/>
          <w:szCs w:val="24"/>
        </w:rPr>
        <w:t>de</w:t>
      </w:r>
      <w:proofErr w:type="gramEnd"/>
      <w:r w:rsidR="0002680F" w:rsidRPr="0002680F">
        <w:rPr>
          <w:rFonts w:ascii="Times New Roman" w:hAnsi="Times New Roman" w:cs="Times New Roman"/>
          <w:bCs/>
          <w:iCs/>
          <w:sz w:val="24"/>
          <w:szCs w:val="24"/>
        </w:rPr>
        <w:t xml:space="preserve"> </w:t>
      </w:r>
      <w:r w:rsidR="0002680F" w:rsidRPr="0002680F">
        <w:rPr>
          <w:rFonts w:ascii="Times New Roman" w:hAnsi="Times New Roman" w:cs="Times New Roman"/>
          <w:bCs/>
          <w:iCs/>
          <w:sz w:val="24"/>
          <w:szCs w:val="24"/>
        </w:rPr>
        <w:lastRenderedPageBreak/>
        <w:t>63% no número de processos distribuídos aos Ministros em r</w:t>
      </w:r>
      <w:r w:rsidR="0002680F">
        <w:rPr>
          <w:rFonts w:ascii="Times New Roman" w:hAnsi="Times New Roman" w:cs="Times New Roman"/>
          <w:bCs/>
          <w:iCs/>
          <w:sz w:val="24"/>
          <w:szCs w:val="24"/>
        </w:rPr>
        <w:t xml:space="preserve">elação ao mesmo período de 2007”, período este em que “não </w:t>
      </w:r>
      <w:r w:rsidR="0002680F" w:rsidRPr="0002680F">
        <w:rPr>
          <w:rFonts w:ascii="Times New Roman" w:hAnsi="Times New Roman" w:cs="Times New Roman"/>
          <w:bCs/>
          <w:iCs/>
          <w:sz w:val="24"/>
          <w:szCs w:val="24"/>
        </w:rPr>
        <w:t>existia ainda o filtro processual da repercussão geral</w:t>
      </w:r>
      <w:r w:rsidR="0002680F">
        <w:rPr>
          <w:rFonts w:ascii="Times New Roman" w:hAnsi="Times New Roman" w:cs="Times New Roman"/>
          <w:bCs/>
          <w:iCs/>
          <w:sz w:val="24"/>
          <w:szCs w:val="24"/>
        </w:rPr>
        <w:t xml:space="preserve">.”. </w:t>
      </w:r>
    </w:p>
    <w:p w:rsidR="008D2350" w:rsidRDefault="0002680F" w:rsidP="0002680F">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FREITAS (2009), no entanto, entende que essa queda não é exclusiva da Repercussão Geral, mas sim, de outros demais mecanismos incorporados no ordenamento para regular o instituto Repercussão Geral. Nas palavras de FREITAS (2009):</w:t>
      </w:r>
    </w:p>
    <w:p w:rsidR="00883837" w:rsidRDefault="0002680F" w:rsidP="00883837">
      <w:pPr>
        <w:pStyle w:val="PargrafodaLista"/>
        <w:autoSpaceDE w:val="0"/>
        <w:autoSpaceDN w:val="0"/>
        <w:adjustRightInd w:val="0"/>
        <w:spacing w:after="120" w:line="240" w:lineRule="auto"/>
        <w:ind w:left="2268"/>
        <w:jc w:val="both"/>
        <w:rPr>
          <w:rFonts w:ascii="Times New Roman" w:hAnsi="Times New Roman" w:cs="Times New Roman"/>
          <w:bCs/>
          <w:iCs/>
          <w:sz w:val="20"/>
          <w:szCs w:val="24"/>
        </w:rPr>
      </w:pPr>
      <w:r w:rsidRPr="0002680F">
        <w:rPr>
          <w:rFonts w:ascii="Times New Roman" w:hAnsi="Times New Roman" w:cs="Times New Roman"/>
          <w:bCs/>
          <w:iCs/>
          <w:sz w:val="20"/>
          <w:szCs w:val="24"/>
        </w:rPr>
        <w:t xml:space="preserve">A comparação desses números nos permite concluir que não foi apenas a inclusão de mais um pressuposto de admissibilidade aos recursos extraordinários que permitiu a grande redução do volume da atividade jurisdicional do STF a partir de 2008. A votação feita em Plenário Virtual para a escolha dos Recursos com relevância e transcendência sem dúvidas contribui para a queda dos Recursos Extraordinários julgados pela Corte, mas os demais mecanismos trazidos pela Lei 11.418/2006 e pelo Regimento Interno do STF também possuem grande responsabilidade por tamanha redução. </w:t>
      </w:r>
      <w:r>
        <w:rPr>
          <w:rFonts w:ascii="Times New Roman" w:hAnsi="Times New Roman" w:cs="Times New Roman"/>
          <w:bCs/>
          <w:iCs/>
          <w:sz w:val="20"/>
          <w:szCs w:val="24"/>
        </w:rPr>
        <w:t>(FREITAS, 2009, p.76)</w:t>
      </w:r>
    </w:p>
    <w:p w:rsidR="00883837" w:rsidRDefault="00883837" w:rsidP="00883837">
      <w:pPr>
        <w:pStyle w:val="PargrafodaLista"/>
        <w:autoSpaceDE w:val="0"/>
        <w:autoSpaceDN w:val="0"/>
        <w:adjustRightInd w:val="0"/>
        <w:spacing w:after="120" w:line="240" w:lineRule="auto"/>
        <w:ind w:left="0" w:firstLine="1134"/>
        <w:jc w:val="both"/>
        <w:rPr>
          <w:rFonts w:ascii="Times New Roman" w:hAnsi="Times New Roman" w:cs="Times New Roman"/>
          <w:bCs/>
          <w:iCs/>
          <w:sz w:val="20"/>
          <w:szCs w:val="24"/>
        </w:rPr>
      </w:pPr>
    </w:p>
    <w:p w:rsidR="0002680F" w:rsidRDefault="0002680F" w:rsidP="00FF58DD">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sidRPr="00876609">
        <w:rPr>
          <w:rFonts w:ascii="Times New Roman" w:hAnsi="Times New Roman" w:cs="Times New Roman"/>
          <w:bCs/>
          <w:iCs/>
          <w:sz w:val="24"/>
          <w:szCs w:val="24"/>
        </w:rPr>
        <w:t>Em 2010</w:t>
      </w:r>
      <w:r w:rsidR="00883837" w:rsidRPr="00876609">
        <w:rPr>
          <w:rFonts w:ascii="Times New Roman" w:hAnsi="Times New Roman" w:cs="Times New Roman"/>
          <w:bCs/>
          <w:iCs/>
          <w:sz w:val="24"/>
          <w:szCs w:val="24"/>
        </w:rPr>
        <w:t>, baseando-se no Relatório da Repercussão Geral</w:t>
      </w:r>
      <w:r w:rsidR="00371AB5">
        <w:rPr>
          <w:rFonts w:ascii="Times New Roman" w:hAnsi="Times New Roman" w:cs="Times New Roman"/>
          <w:bCs/>
          <w:iCs/>
          <w:sz w:val="24"/>
          <w:szCs w:val="24"/>
        </w:rPr>
        <w:t xml:space="preserve"> desenvolvido pela Assessoria especial de presidência junto da Assessoria de Gestão Estratégica do Supremo Tribunal Federal, José dos </w:t>
      </w:r>
      <w:proofErr w:type="gramStart"/>
      <w:r w:rsidR="00371AB5">
        <w:rPr>
          <w:rFonts w:ascii="Times New Roman" w:hAnsi="Times New Roman" w:cs="Times New Roman"/>
          <w:bCs/>
          <w:iCs/>
          <w:sz w:val="24"/>
          <w:szCs w:val="24"/>
        </w:rPr>
        <w:t>Santos Carvalho</w:t>
      </w:r>
      <w:proofErr w:type="gramEnd"/>
      <w:r w:rsidR="00371AB5">
        <w:rPr>
          <w:rFonts w:ascii="Times New Roman" w:hAnsi="Times New Roman" w:cs="Times New Roman"/>
          <w:bCs/>
          <w:iCs/>
          <w:sz w:val="24"/>
          <w:szCs w:val="24"/>
        </w:rPr>
        <w:t xml:space="preserve"> Filho (2011) conclui que até 19 de abril de 2010 26,% de recursos </w:t>
      </w:r>
      <w:r w:rsidR="00265005">
        <w:rPr>
          <w:rFonts w:ascii="Times New Roman" w:hAnsi="Times New Roman" w:cs="Times New Roman"/>
          <w:bCs/>
          <w:iCs/>
          <w:sz w:val="24"/>
          <w:szCs w:val="24"/>
        </w:rPr>
        <w:t xml:space="preserve">extraordinários </w:t>
      </w:r>
      <w:r w:rsidR="00371AB5">
        <w:rPr>
          <w:rFonts w:ascii="Times New Roman" w:hAnsi="Times New Roman" w:cs="Times New Roman"/>
          <w:bCs/>
          <w:iCs/>
          <w:sz w:val="24"/>
          <w:szCs w:val="24"/>
        </w:rPr>
        <w:t xml:space="preserve">tiveram a Repercussão Geral negada, o que, na opinião de FILHO (2011), ainda não eram números tão elevados, mas, eram sim, significativos.  </w:t>
      </w:r>
    </w:p>
    <w:p w:rsidR="00265005" w:rsidRDefault="00371AB5" w:rsidP="00265005">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FILHO (2011) traz ainda outra situação relevante que o instituto propiciou, desafogando a Suprema Corte e gerando maiores condições para a celeridade recursal: conforme o estudo do autor, a sistemática da Repercussão Geral permitiu que, por mei</w:t>
      </w:r>
      <w:r w:rsidR="00265005">
        <w:rPr>
          <w:rFonts w:ascii="Times New Roman" w:hAnsi="Times New Roman" w:cs="Times New Roman"/>
          <w:bCs/>
          <w:iCs/>
          <w:sz w:val="24"/>
          <w:szCs w:val="24"/>
        </w:rPr>
        <w:t>o do exame de apenas um recurso extraordinário</w:t>
      </w:r>
      <w:r>
        <w:rPr>
          <w:rFonts w:ascii="Times New Roman" w:hAnsi="Times New Roman" w:cs="Times New Roman"/>
          <w:bCs/>
          <w:iCs/>
          <w:sz w:val="24"/>
          <w:szCs w:val="24"/>
        </w:rPr>
        <w:t xml:space="preserve"> com tese jurídica mais repetitiva dentro da Suprema Corte, </w:t>
      </w:r>
      <w:r w:rsidR="00265005">
        <w:rPr>
          <w:rFonts w:ascii="Times New Roman" w:hAnsi="Times New Roman" w:cs="Times New Roman"/>
          <w:bCs/>
          <w:iCs/>
          <w:sz w:val="24"/>
          <w:szCs w:val="24"/>
        </w:rPr>
        <w:t xml:space="preserve">cerca de dez mil processos fossem devolvidos ao tribunal de origem. </w:t>
      </w:r>
    </w:p>
    <w:p w:rsidR="00265005" w:rsidRDefault="00265005" w:rsidP="00265005">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Assim, o número de processos distribuídos ao tribunal superior, que era de 21.103 em janeiro de 2007, reduziu-se à quantidade de 2.991 no mesmo período do ano de 2010, uma quantidade </w:t>
      </w:r>
      <w:proofErr w:type="gramStart"/>
      <w:r>
        <w:rPr>
          <w:rFonts w:ascii="Times New Roman" w:hAnsi="Times New Roman" w:cs="Times New Roman"/>
          <w:bCs/>
          <w:iCs/>
          <w:sz w:val="24"/>
          <w:szCs w:val="24"/>
        </w:rPr>
        <w:t>7</w:t>
      </w:r>
      <w:proofErr w:type="gramEnd"/>
      <w:r>
        <w:rPr>
          <w:rFonts w:ascii="Times New Roman" w:hAnsi="Times New Roman" w:cs="Times New Roman"/>
          <w:bCs/>
          <w:iCs/>
          <w:sz w:val="24"/>
          <w:szCs w:val="24"/>
        </w:rPr>
        <w:t xml:space="preserve"> vezes menor do que era pertinente no período onde ainda não havia a Emenda 21 que implementou de fato o instituto. (FILHO, 2011).</w:t>
      </w:r>
    </w:p>
    <w:p w:rsidR="0002680F" w:rsidRDefault="0069184A" w:rsidP="00265005">
      <w:pPr>
        <w:pStyle w:val="PargrafodaLista"/>
        <w:autoSpaceDE w:val="0"/>
        <w:autoSpaceDN w:val="0"/>
        <w:adjustRightInd w:val="0"/>
        <w:spacing w:after="12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Destarte, </w:t>
      </w:r>
      <w:r w:rsidR="00FF58DD">
        <w:rPr>
          <w:rFonts w:ascii="Times New Roman" w:hAnsi="Times New Roman" w:cs="Times New Roman"/>
          <w:bCs/>
          <w:iCs/>
          <w:sz w:val="24"/>
          <w:szCs w:val="24"/>
        </w:rPr>
        <w:t>nos dias atuais, o portal do Supremo Tribunal Fede</w:t>
      </w:r>
      <w:r>
        <w:rPr>
          <w:rFonts w:ascii="Times New Roman" w:hAnsi="Times New Roman" w:cs="Times New Roman"/>
          <w:bCs/>
          <w:iCs/>
          <w:sz w:val="24"/>
          <w:szCs w:val="24"/>
        </w:rPr>
        <w:t>ral disponibiliza uma</w:t>
      </w:r>
      <w:r w:rsidR="00FF58DD">
        <w:rPr>
          <w:rFonts w:ascii="Times New Roman" w:hAnsi="Times New Roman" w:cs="Times New Roman"/>
          <w:bCs/>
          <w:iCs/>
          <w:sz w:val="24"/>
          <w:szCs w:val="24"/>
        </w:rPr>
        <w:t xml:space="preserve"> análise dos números da Repercussão</w:t>
      </w:r>
      <w:r>
        <w:rPr>
          <w:rFonts w:ascii="Times New Roman" w:hAnsi="Times New Roman" w:cs="Times New Roman"/>
          <w:bCs/>
          <w:iCs/>
          <w:sz w:val="24"/>
          <w:szCs w:val="24"/>
        </w:rPr>
        <w:t xml:space="preserve"> Geral. Assim, </w:t>
      </w:r>
      <w:r w:rsidR="00FF58DD">
        <w:rPr>
          <w:rFonts w:ascii="Times New Roman" w:hAnsi="Times New Roman" w:cs="Times New Roman"/>
          <w:bCs/>
          <w:iCs/>
          <w:sz w:val="24"/>
          <w:szCs w:val="24"/>
        </w:rPr>
        <w:t>os dados do portal mostram que de 100% dos</w:t>
      </w:r>
      <w:r>
        <w:rPr>
          <w:rFonts w:ascii="Times New Roman" w:hAnsi="Times New Roman" w:cs="Times New Roman"/>
          <w:bCs/>
          <w:iCs/>
          <w:sz w:val="24"/>
          <w:szCs w:val="24"/>
        </w:rPr>
        <w:t xml:space="preserve"> recursos extraordinários</w:t>
      </w:r>
      <w:r w:rsidR="00FF58DD">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ajuizados no STF no ano de 2014, 30,7% não foram submetidos à análise da Suprema Corte por não apresentar Repercussão Geral, o que corrobora para uma significante redução só nesse ano, possibilitando </w:t>
      </w:r>
      <w:r w:rsidR="000D5AE2">
        <w:rPr>
          <w:rFonts w:ascii="Times New Roman" w:hAnsi="Times New Roman" w:cs="Times New Roman"/>
          <w:bCs/>
          <w:iCs/>
          <w:sz w:val="24"/>
          <w:szCs w:val="24"/>
        </w:rPr>
        <w:t xml:space="preserve">a confirmação do fim objetivado de tal mecanismo de filtragem, efetivando, </w:t>
      </w:r>
      <w:r>
        <w:rPr>
          <w:rFonts w:ascii="Times New Roman" w:hAnsi="Times New Roman" w:cs="Times New Roman"/>
          <w:bCs/>
          <w:iCs/>
          <w:sz w:val="24"/>
          <w:szCs w:val="24"/>
        </w:rPr>
        <w:t>então</w:t>
      </w:r>
      <w:r w:rsidR="000D5AE2">
        <w:rPr>
          <w:rFonts w:ascii="Times New Roman" w:hAnsi="Times New Roman" w:cs="Times New Roman"/>
          <w:bCs/>
          <w:iCs/>
          <w:sz w:val="24"/>
          <w:szCs w:val="24"/>
        </w:rPr>
        <w:t>,</w:t>
      </w:r>
      <w:r>
        <w:rPr>
          <w:rFonts w:ascii="Times New Roman" w:hAnsi="Times New Roman" w:cs="Times New Roman"/>
          <w:bCs/>
          <w:iCs/>
          <w:sz w:val="24"/>
          <w:szCs w:val="24"/>
        </w:rPr>
        <w:t xml:space="preserve"> uma ma</w:t>
      </w:r>
      <w:r w:rsidRPr="0069184A">
        <w:rPr>
          <w:rFonts w:ascii="Times New Roman" w:hAnsi="Times New Roman" w:cs="Times New Roman"/>
          <w:bCs/>
          <w:iCs/>
          <w:sz w:val="24"/>
          <w:szCs w:val="24"/>
        </w:rPr>
        <w:t>ior celeridade processual.</w:t>
      </w:r>
      <w:r w:rsidR="000D5AE2">
        <w:rPr>
          <w:rFonts w:ascii="Times New Roman" w:hAnsi="Times New Roman" w:cs="Times New Roman"/>
          <w:bCs/>
          <w:iCs/>
          <w:sz w:val="24"/>
          <w:szCs w:val="24"/>
        </w:rPr>
        <w:t xml:space="preserve"> (</w:t>
      </w:r>
      <w:r w:rsidR="00C6023D">
        <w:rPr>
          <w:rFonts w:ascii="Times New Roman" w:hAnsi="Times New Roman" w:cs="Times New Roman"/>
          <w:bCs/>
          <w:iCs/>
          <w:sz w:val="24"/>
          <w:szCs w:val="24"/>
        </w:rPr>
        <w:t>Supremo Tribunal Federal. Disponível em: &lt;</w:t>
      </w:r>
      <w:r w:rsidR="00C6023D" w:rsidRPr="00C6023D">
        <w:t xml:space="preserve"> </w:t>
      </w:r>
      <w:proofErr w:type="gramStart"/>
      <w:r w:rsidR="00C6023D" w:rsidRPr="00C6023D">
        <w:rPr>
          <w:rFonts w:ascii="Times New Roman" w:hAnsi="Times New Roman" w:cs="Times New Roman"/>
          <w:bCs/>
          <w:iCs/>
          <w:sz w:val="24"/>
          <w:szCs w:val="24"/>
        </w:rPr>
        <w:t>http://www.stf.jus.br/portal/cms/verTexto.asp?</w:t>
      </w:r>
      <w:proofErr w:type="gramEnd"/>
      <w:r w:rsidR="00C6023D" w:rsidRPr="00C6023D">
        <w:rPr>
          <w:rFonts w:ascii="Times New Roman" w:hAnsi="Times New Roman" w:cs="Times New Roman"/>
          <w:bCs/>
          <w:iCs/>
          <w:sz w:val="24"/>
          <w:szCs w:val="24"/>
        </w:rPr>
        <w:t>servico=jurisprudenciaRepercussaoGeral&amp;pagina=numeroRepercussao</w:t>
      </w:r>
      <w:r w:rsidR="00C6023D">
        <w:rPr>
          <w:rFonts w:ascii="Times New Roman" w:hAnsi="Times New Roman" w:cs="Times New Roman"/>
          <w:bCs/>
          <w:iCs/>
          <w:sz w:val="24"/>
          <w:szCs w:val="24"/>
        </w:rPr>
        <w:t>&gt;</w:t>
      </w:r>
      <w:r w:rsidR="000D5AE2">
        <w:rPr>
          <w:rFonts w:ascii="Times New Roman" w:hAnsi="Times New Roman" w:cs="Times New Roman"/>
          <w:bCs/>
          <w:iCs/>
          <w:sz w:val="24"/>
          <w:szCs w:val="24"/>
        </w:rPr>
        <w:t>)</w:t>
      </w:r>
      <w:r w:rsidR="00C6023D">
        <w:rPr>
          <w:rFonts w:ascii="Times New Roman" w:hAnsi="Times New Roman" w:cs="Times New Roman"/>
          <w:bCs/>
          <w:iCs/>
          <w:sz w:val="24"/>
          <w:szCs w:val="24"/>
        </w:rPr>
        <w:t>.</w:t>
      </w:r>
    </w:p>
    <w:p w:rsidR="00C6023D" w:rsidRDefault="00C6023D" w:rsidP="0069184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O Supremo Tribunal Federal ainda mostra que do 2º semestre de 2007 </w:t>
      </w:r>
      <w:r w:rsidR="00FE75F0">
        <w:rPr>
          <w:rFonts w:ascii="Times New Roman" w:hAnsi="Times New Roman" w:cs="Times New Roman"/>
          <w:bCs/>
          <w:iCs/>
          <w:sz w:val="24"/>
          <w:szCs w:val="24"/>
        </w:rPr>
        <w:t>até a última atualização datada de 16 de outubro de 2014, 107</w:t>
      </w:r>
      <w:r w:rsidR="00533FF2">
        <w:rPr>
          <w:rFonts w:ascii="Times New Roman" w:hAnsi="Times New Roman" w:cs="Times New Roman"/>
          <w:bCs/>
          <w:iCs/>
          <w:sz w:val="24"/>
          <w:szCs w:val="24"/>
        </w:rPr>
        <w:t>.</w:t>
      </w:r>
      <w:r w:rsidR="00FE75F0">
        <w:rPr>
          <w:rFonts w:ascii="Times New Roman" w:hAnsi="Times New Roman" w:cs="Times New Roman"/>
          <w:bCs/>
          <w:iCs/>
          <w:sz w:val="24"/>
          <w:szCs w:val="24"/>
        </w:rPr>
        <w:t xml:space="preserve">609 processos foram devolvidos por não existir Repercussão Geral, sendo de 64% o número de redução na distribuição dos processos recursais e de 58% </w:t>
      </w:r>
      <w:r w:rsidR="00B930AE">
        <w:rPr>
          <w:rFonts w:ascii="Times New Roman" w:hAnsi="Times New Roman" w:cs="Times New Roman"/>
          <w:bCs/>
          <w:iCs/>
          <w:sz w:val="24"/>
          <w:szCs w:val="24"/>
        </w:rPr>
        <w:t>o número de redução no estoque de processos recursais. (Supremo Tribunal Federal. Disponível em: &lt;</w:t>
      </w:r>
      <w:r w:rsidR="00B930AE" w:rsidRPr="00C6023D">
        <w:t xml:space="preserve"> </w:t>
      </w:r>
      <w:proofErr w:type="gramStart"/>
      <w:r w:rsidR="002F732E" w:rsidRPr="002F732E">
        <w:rPr>
          <w:rFonts w:ascii="Times New Roman" w:hAnsi="Times New Roman" w:cs="Times New Roman"/>
          <w:bCs/>
          <w:iCs/>
          <w:sz w:val="24"/>
          <w:szCs w:val="24"/>
        </w:rPr>
        <w:t>http://www.stf.jus.br/portal/cms/verTexto.asp?</w:t>
      </w:r>
      <w:proofErr w:type="gramEnd"/>
      <w:r w:rsidR="002F732E" w:rsidRPr="002F732E">
        <w:rPr>
          <w:rFonts w:ascii="Times New Roman" w:hAnsi="Times New Roman" w:cs="Times New Roman"/>
          <w:bCs/>
          <w:iCs/>
          <w:sz w:val="24"/>
          <w:szCs w:val="24"/>
        </w:rPr>
        <w:t>servico=jurisprudenciaRepercussaoGeral&amp;pagina=numeroRepercussao</w:t>
      </w:r>
      <w:r w:rsidR="00B930AE">
        <w:rPr>
          <w:rFonts w:ascii="Times New Roman" w:hAnsi="Times New Roman" w:cs="Times New Roman"/>
          <w:bCs/>
          <w:iCs/>
          <w:sz w:val="24"/>
          <w:szCs w:val="24"/>
        </w:rPr>
        <w:t>&gt;).</w:t>
      </w:r>
    </w:p>
    <w:p w:rsidR="002F732E" w:rsidRDefault="002F732E" w:rsidP="0069184A">
      <w:pPr>
        <w:pStyle w:val="PargrafodaLista"/>
        <w:autoSpaceDE w:val="0"/>
        <w:autoSpaceDN w:val="0"/>
        <w:adjustRightInd w:val="0"/>
        <w:spacing w:after="0" w:line="360" w:lineRule="auto"/>
        <w:ind w:left="0"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Posto </w:t>
      </w:r>
      <w:r w:rsidR="00533FF2">
        <w:rPr>
          <w:rFonts w:ascii="Times New Roman" w:hAnsi="Times New Roman" w:cs="Times New Roman"/>
          <w:bCs/>
          <w:iCs/>
          <w:sz w:val="24"/>
          <w:szCs w:val="24"/>
        </w:rPr>
        <w:t>os dados e entendimentos acima</w:t>
      </w:r>
      <w:proofErr w:type="gramStart"/>
      <w:r w:rsidR="00533FF2">
        <w:rPr>
          <w:rFonts w:ascii="Times New Roman" w:hAnsi="Times New Roman" w:cs="Times New Roman"/>
          <w:bCs/>
          <w:iCs/>
          <w:sz w:val="24"/>
          <w:szCs w:val="24"/>
        </w:rPr>
        <w:t xml:space="preserve">, </w:t>
      </w:r>
      <w:r>
        <w:rPr>
          <w:rFonts w:ascii="Times New Roman" w:hAnsi="Times New Roman" w:cs="Times New Roman"/>
          <w:bCs/>
          <w:iCs/>
          <w:sz w:val="24"/>
          <w:szCs w:val="24"/>
        </w:rPr>
        <w:t>percebe-se</w:t>
      </w:r>
      <w:proofErr w:type="gramEnd"/>
      <w:r>
        <w:rPr>
          <w:rFonts w:ascii="Times New Roman" w:hAnsi="Times New Roman" w:cs="Times New Roman"/>
          <w:bCs/>
          <w:iCs/>
          <w:sz w:val="24"/>
          <w:szCs w:val="24"/>
        </w:rPr>
        <w:t xml:space="preserve"> a importância do instituto Repercussão Geral dentro do ordenamento jurídico, no entanto, as conquistas numéricas apresentadas, não se devem única e exclusivamente à Repercussão Geral, porém este mecanismo de filtragem tem sim seu destaque e importância, confirmando o fim de celeridade e efetividade processual que outrora motivou sua existência. </w:t>
      </w:r>
    </w:p>
    <w:p w:rsidR="007E2852" w:rsidRDefault="007E2852" w:rsidP="007E2852">
      <w:pPr>
        <w:autoSpaceDE w:val="0"/>
        <w:autoSpaceDN w:val="0"/>
        <w:adjustRightInd w:val="0"/>
        <w:spacing w:after="0" w:line="360" w:lineRule="auto"/>
        <w:jc w:val="both"/>
        <w:rPr>
          <w:rFonts w:ascii="Times New Roman" w:hAnsi="Times New Roman" w:cs="Times New Roman"/>
          <w:bCs/>
          <w:iCs/>
          <w:sz w:val="24"/>
          <w:szCs w:val="24"/>
        </w:rPr>
      </w:pPr>
      <w:r w:rsidRPr="00CC27EC">
        <w:rPr>
          <w:rFonts w:ascii="Times New Roman" w:hAnsi="Times New Roman" w:cs="Times New Roman"/>
          <w:b/>
          <w:bCs/>
          <w:iCs/>
          <w:sz w:val="24"/>
          <w:szCs w:val="24"/>
        </w:rPr>
        <w:t>2. O NOVO REQUISITO DE ADMISSIBILIDADE NO RECURSO EXTRAORDINÁRIO VERSUS A ANTIGA ARGUIÇÃO DE RELEVÂNCIA</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A Arguição de Relevância fora abordada no artigo 119, III a e d c/c §1º da Constituição Federal de 1967, e alterada pela Emenda Constitucional </w:t>
      </w:r>
      <w:proofErr w:type="gramStart"/>
      <w:r>
        <w:rPr>
          <w:rFonts w:ascii="Times New Roman" w:hAnsi="Times New Roman" w:cs="Times New Roman"/>
          <w:bCs/>
          <w:iCs/>
          <w:sz w:val="24"/>
          <w:szCs w:val="24"/>
        </w:rPr>
        <w:t>1</w:t>
      </w:r>
      <w:proofErr w:type="gramEnd"/>
      <w:r>
        <w:rPr>
          <w:rFonts w:ascii="Times New Roman" w:hAnsi="Times New Roman" w:cs="Times New Roman"/>
          <w:bCs/>
          <w:iCs/>
          <w:sz w:val="24"/>
          <w:szCs w:val="24"/>
        </w:rPr>
        <w:t xml:space="preserve"> de 1969 c/c artigos 325, I a XI, e também pelo artigo 327, §1º do RISTF, tendo redação dada pela Emenda Regimental 2 de 1825. </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Conforme esse instituto, somente as lides que apresentavam discussão de um assunto relevante para a federação seriam analisadas pelo STF, de forma que essas demandas deviam justificar “apelo extremo”, seja pela própria essência de sua matéria, ou por seu reflexo na sociedade ou pelas partes envolvidas na lide. (JUNIOR, 2011, p. 3). Era também, portanto, um requisito de admissibilidade em recursos extraordinários.</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Desde esse período tinha-se problemas com o grande número de recursos e, portanto, morosidade dos processos. DANTAS (2008) assinala que devido à preocupação com o enorme acúmulo de recursos direcionados ao STF, já em 1970, esse órgão iniciara um processo que daria início à Arguição de Relevância da questão federal que fora de fato lecionado no ano de 1975. Surgiu, então, com o mesmo intuito de filtragem da Repercussão Geral. É como se pode notar nas palavras de NETTO (1999), que, já em 1999, lecionava sobre o assunto:</w:t>
      </w:r>
    </w:p>
    <w:p w:rsidR="007E2852" w:rsidRPr="005B2043" w:rsidRDefault="007E2852" w:rsidP="007E2852">
      <w:pPr>
        <w:autoSpaceDE w:val="0"/>
        <w:autoSpaceDN w:val="0"/>
        <w:adjustRightInd w:val="0"/>
        <w:spacing w:after="120" w:line="240" w:lineRule="auto"/>
        <w:ind w:left="2268"/>
        <w:jc w:val="both"/>
        <w:rPr>
          <w:rFonts w:ascii="Times New Roman" w:hAnsi="Times New Roman" w:cs="Times New Roman"/>
          <w:bCs/>
          <w:iCs/>
          <w:sz w:val="20"/>
          <w:szCs w:val="20"/>
        </w:rPr>
      </w:pPr>
      <w:r w:rsidRPr="005B2043">
        <w:rPr>
          <w:rFonts w:ascii="Times New Roman" w:hAnsi="Times New Roman" w:cs="Times New Roman"/>
          <w:bCs/>
          <w:sz w:val="20"/>
          <w:szCs w:val="20"/>
        </w:rPr>
        <w:t>“(…) a relevância é um sistema de filtro que permite afastar do âmbito dos trabalhos do Tribunal as causas que não têm efetivamente maior importância e cujo pronunciamento do Tribunal é injustificável. Mas, como se sublinhou, se, dentre essas, algumas se marcarem pela sua relevância, dessas haverá de tomar conhecimento o Tribunal”. (</w:t>
      </w:r>
      <w:r w:rsidR="00142281">
        <w:rPr>
          <w:rFonts w:ascii="Times New Roman" w:hAnsi="Times New Roman" w:cs="Times New Roman"/>
          <w:bCs/>
          <w:sz w:val="20"/>
          <w:szCs w:val="20"/>
        </w:rPr>
        <w:t>NETTO</w:t>
      </w:r>
      <w:r w:rsidRPr="005B2043">
        <w:rPr>
          <w:rFonts w:ascii="Times New Roman" w:hAnsi="Times New Roman" w:cs="Times New Roman"/>
          <w:bCs/>
          <w:sz w:val="20"/>
          <w:szCs w:val="20"/>
        </w:rPr>
        <w:t>, 1999, p.40)</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Alguns doutrinadores, como TUCCI (2011), entendem que a Repercussão Geral teve sua função inspirada na Arguição de Relevância, em contrapartida, apesar dessa semelhança, a professora Teresa Arruda Alvim </w:t>
      </w:r>
      <w:proofErr w:type="spellStart"/>
      <w:r>
        <w:rPr>
          <w:rFonts w:ascii="Times New Roman" w:hAnsi="Times New Roman" w:cs="Times New Roman"/>
          <w:bCs/>
          <w:iCs/>
          <w:sz w:val="24"/>
          <w:szCs w:val="24"/>
        </w:rPr>
        <w:t>Wambier</w:t>
      </w:r>
      <w:proofErr w:type="spellEnd"/>
      <w:r>
        <w:rPr>
          <w:rFonts w:ascii="Times New Roman" w:hAnsi="Times New Roman" w:cs="Times New Roman"/>
          <w:bCs/>
          <w:iCs/>
          <w:sz w:val="24"/>
          <w:szCs w:val="24"/>
        </w:rPr>
        <w:t xml:space="preserve"> (2008) bem assinala que, diferente da Arguição de Relevância, onde a questão da repercussão era analisada em plano federal, hoje, com a Repercussão Geral, são somente as matérias de relevância no plano do Direito Constitucional que serão objeto de exame do Superior Tribunal Federal. </w:t>
      </w:r>
      <w:r w:rsidRPr="00512992">
        <w:rPr>
          <w:rFonts w:ascii="Times New Roman" w:hAnsi="Times New Roman" w:cs="Times New Roman"/>
          <w:bCs/>
          <w:iCs/>
          <w:sz w:val="24"/>
          <w:szCs w:val="24"/>
        </w:rPr>
        <w:t>AURELLI (2007)</w:t>
      </w:r>
      <w:r>
        <w:rPr>
          <w:rFonts w:ascii="Times New Roman" w:hAnsi="Times New Roman" w:cs="Times New Roman"/>
          <w:bCs/>
          <w:iCs/>
          <w:sz w:val="24"/>
          <w:szCs w:val="24"/>
        </w:rPr>
        <w:t xml:space="preserve"> abraça esse entendimento, afirmando que a Arguição de Relevância reservava-se às matérias infraconstitucionais, ou seja, matérias de lei federal ou constitucional, e hoje, somente nas questões constitucionais são exigidas a Repercussão Geral.</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Por </w:t>
      </w:r>
      <w:r w:rsidRPr="005E520C">
        <w:rPr>
          <w:rFonts w:ascii="Times New Roman" w:hAnsi="Times New Roman" w:cs="Times New Roman"/>
          <w:bCs/>
          <w:iCs/>
          <w:sz w:val="24"/>
          <w:szCs w:val="24"/>
        </w:rPr>
        <w:t>mais que ambos os institutos não estivessem confinados ao interesse particular do demandante, ORELLI (2009)</w:t>
      </w:r>
      <w:r>
        <w:rPr>
          <w:rFonts w:ascii="Times New Roman" w:hAnsi="Times New Roman" w:cs="Times New Roman"/>
          <w:bCs/>
          <w:iCs/>
          <w:sz w:val="24"/>
          <w:szCs w:val="24"/>
        </w:rPr>
        <w:t xml:space="preserve"> nota que, enquanto na Arguição de Relevância pressupunha-se relevância em todo e qualquer recurso que havia afronta ao direito objetivo em si, na Repercussão Geral exige-se que essa ofensa à Constituição Federal ultrapasse o caso particular, zelando, portanto, somente pelo direito objetivo que tenha importância para o país, o que não havia necessidade de se provar na Arguição de Relevância, pois a ofensa ao direito em tese já </w:t>
      </w:r>
      <w:proofErr w:type="gramStart"/>
      <w:r>
        <w:rPr>
          <w:rFonts w:ascii="Times New Roman" w:hAnsi="Times New Roman" w:cs="Times New Roman"/>
          <w:bCs/>
          <w:iCs/>
          <w:sz w:val="24"/>
          <w:szCs w:val="24"/>
        </w:rPr>
        <w:t>fazia-se</w:t>
      </w:r>
      <w:proofErr w:type="gramEnd"/>
      <w:r>
        <w:rPr>
          <w:rFonts w:ascii="Times New Roman" w:hAnsi="Times New Roman" w:cs="Times New Roman"/>
          <w:bCs/>
          <w:iCs/>
          <w:sz w:val="24"/>
          <w:szCs w:val="24"/>
        </w:rPr>
        <w:t xml:space="preserve"> suficiente para ser relevante. </w:t>
      </w:r>
    </w:p>
    <w:p w:rsidR="007E2852" w:rsidRDefault="007E2852" w:rsidP="007E2852">
      <w:pPr>
        <w:autoSpaceDE w:val="0"/>
        <w:autoSpaceDN w:val="0"/>
        <w:adjustRightInd w:val="0"/>
        <w:spacing w:after="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Conforme entendimento da doutrina majoritária, no que se refere à forma procedimental, a Arguição de Relevância e a Repercussão Geral não possuem muita coisa em comum, posto que, como argumentam MARINONI e MITIDIERO (2008), o primeiro instituto era analisado em sessão secreta, sem a necessidade de fundamentação, enquanto o segundo é apreciado em sessão pública, devendo ter julgamento motivado.</w:t>
      </w:r>
    </w:p>
    <w:p w:rsidR="007E2852" w:rsidRDefault="007E2852" w:rsidP="007E2852">
      <w:pPr>
        <w:autoSpaceDE w:val="0"/>
        <w:autoSpaceDN w:val="0"/>
        <w:adjustRightInd w:val="0"/>
        <w:spacing w:after="12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Arlete Inês </w:t>
      </w:r>
      <w:proofErr w:type="spellStart"/>
      <w:r>
        <w:rPr>
          <w:rFonts w:ascii="Times New Roman" w:hAnsi="Times New Roman" w:cs="Times New Roman"/>
          <w:bCs/>
          <w:iCs/>
          <w:sz w:val="24"/>
          <w:szCs w:val="24"/>
        </w:rPr>
        <w:t>Aurelli</w:t>
      </w:r>
      <w:proofErr w:type="spellEnd"/>
      <w:r>
        <w:rPr>
          <w:rFonts w:ascii="Times New Roman" w:hAnsi="Times New Roman" w:cs="Times New Roman"/>
          <w:bCs/>
          <w:iCs/>
          <w:sz w:val="24"/>
          <w:szCs w:val="24"/>
        </w:rPr>
        <w:t xml:space="preserve"> entende que a Arguição de Relevância, diferente da Repercussão Geral, não era um requisito de admissibilidade de fato, “</w:t>
      </w:r>
      <w:r w:rsidRPr="001C499E">
        <w:rPr>
          <w:rFonts w:ascii="Times New Roman" w:hAnsi="Times New Roman" w:cs="Times New Roman"/>
          <w:sz w:val="24"/>
          <w:szCs w:val="20"/>
        </w:rPr>
        <w:t>era instituto destinado a buscar acesso ao Judiciário, nos casos de vetos</w:t>
      </w:r>
      <w:r>
        <w:rPr>
          <w:rFonts w:ascii="Times New Roman" w:hAnsi="Times New Roman" w:cs="Times New Roman"/>
          <w:sz w:val="24"/>
          <w:szCs w:val="20"/>
        </w:rPr>
        <w:t xml:space="preserve"> </w:t>
      </w:r>
      <w:r w:rsidRPr="001C499E">
        <w:rPr>
          <w:rFonts w:ascii="Times New Roman" w:hAnsi="Times New Roman" w:cs="Times New Roman"/>
          <w:sz w:val="24"/>
          <w:szCs w:val="20"/>
        </w:rPr>
        <w:t>regimentais à admissibilidade</w:t>
      </w:r>
      <w:r>
        <w:rPr>
          <w:rFonts w:ascii="Times New Roman" w:hAnsi="Times New Roman" w:cs="Times New Roman"/>
          <w:sz w:val="24"/>
          <w:szCs w:val="20"/>
        </w:rPr>
        <w:t xml:space="preserve">” (AURELLI, 2007, p.6). Cabe ressaltar o entendimento de RIBEIRO (2011) na qual, nesse mesmo sentido, compreende que os institutos não se confundem. Para a autora, a Arguição de Relevância tinha caráter inclusivo, haja vista que esse instituto possibilitava que um recurso, outrora incabível, viesse a ser conhecido e apreciado pelo STF se conexo e relevante à questão federal fosse. Em contrapartida, RIBEIRO (2011) leciona que a Repercussão Geral tem caráter exclusivo, vez que impede a análise do recurso caso não possua questão de relevância e que transcenda o interesse particular da causa.   </w:t>
      </w:r>
    </w:p>
    <w:p w:rsidR="007E2852" w:rsidRDefault="007E2852" w:rsidP="007E2852">
      <w:pPr>
        <w:autoSpaceDE w:val="0"/>
        <w:autoSpaceDN w:val="0"/>
        <w:adjustRightInd w:val="0"/>
        <w:spacing w:after="120" w:line="360" w:lineRule="auto"/>
        <w:ind w:firstLine="1134"/>
        <w:jc w:val="both"/>
        <w:rPr>
          <w:rFonts w:ascii="Times New Roman" w:hAnsi="Times New Roman" w:cs="Times New Roman"/>
          <w:bCs/>
          <w:iCs/>
          <w:sz w:val="24"/>
          <w:szCs w:val="24"/>
        </w:rPr>
      </w:pPr>
      <w:r>
        <w:rPr>
          <w:rFonts w:ascii="Times New Roman" w:hAnsi="Times New Roman" w:cs="Times New Roman"/>
          <w:bCs/>
          <w:iCs/>
          <w:sz w:val="24"/>
          <w:szCs w:val="24"/>
        </w:rPr>
        <w:t xml:space="preserve">Cabe ressaltar ainda que na Arguição de Relevância, para que a relevância fosse reconhecida, era necessário o voto de </w:t>
      </w:r>
      <w:proofErr w:type="gramStart"/>
      <w:r>
        <w:rPr>
          <w:rFonts w:ascii="Times New Roman" w:hAnsi="Times New Roman" w:cs="Times New Roman"/>
          <w:bCs/>
          <w:iCs/>
          <w:sz w:val="24"/>
          <w:szCs w:val="24"/>
        </w:rPr>
        <w:t>4</w:t>
      </w:r>
      <w:proofErr w:type="gramEnd"/>
      <w:r>
        <w:rPr>
          <w:rFonts w:ascii="Times New Roman" w:hAnsi="Times New Roman" w:cs="Times New Roman"/>
          <w:bCs/>
          <w:iCs/>
          <w:sz w:val="24"/>
          <w:szCs w:val="24"/>
        </w:rPr>
        <w:t xml:space="preserve"> ministros ou mais,  já na Repercussão Geral é </w:t>
      </w:r>
      <w:r>
        <w:rPr>
          <w:rFonts w:ascii="Times New Roman" w:hAnsi="Times New Roman" w:cs="Times New Roman"/>
          <w:bCs/>
          <w:iCs/>
          <w:sz w:val="24"/>
          <w:szCs w:val="24"/>
        </w:rPr>
        <w:lastRenderedPageBreak/>
        <w:t xml:space="preserve">imperativo que 2/3 dos Ministros se manifestem, caso venham a arguir a não existência da mesma. (RIBEIRO, 2011). </w:t>
      </w:r>
    </w:p>
    <w:p w:rsidR="003E1E08" w:rsidRDefault="003E1E08" w:rsidP="006A04DB">
      <w:pPr>
        <w:jc w:val="center"/>
        <w:rPr>
          <w:rFonts w:ascii="Times New Roman" w:hAnsi="Times New Roman" w:cs="Times New Roman"/>
          <w:sz w:val="24"/>
          <w:szCs w:val="24"/>
        </w:rPr>
      </w:pPr>
    </w:p>
    <w:p w:rsidR="003E1E08" w:rsidRDefault="003E1E08" w:rsidP="006A04DB">
      <w:pPr>
        <w:jc w:val="center"/>
        <w:rPr>
          <w:rFonts w:ascii="Times New Roman" w:hAnsi="Times New Roman" w:cs="Times New Roman"/>
          <w:sz w:val="24"/>
          <w:szCs w:val="24"/>
        </w:rPr>
      </w:pPr>
    </w:p>
    <w:p w:rsidR="00361DE5" w:rsidRDefault="00361DE5"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p>
    <w:p w:rsidR="005A07CF" w:rsidRDefault="005A07CF" w:rsidP="000F4363">
      <w:pPr>
        <w:autoSpaceDE w:val="0"/>
        <w:autoSpaceDN w:val="0"/>
        <w:adjustRightInd w:val="0"/>
        <w:spacing w:after="0" w:line="240" w:lineRule="auto"/>
        <w:jc w:val="center"/>
        <w:rPr>
          <w:rFonts w:ascii="Times New Roman" w:hAnsi="Times New Roman" w:cs="Times New Roman"/>
          <w:b/>
          <w:bCs/>
          <w:iCs/>
          <w:sz w:val="24"/>
          <w:szCs w:val="24"/>
        </w:rPr>
      </w:pPr>
      <w:bookmarkStart w:id="0" w:name="_GoBack"/>
      <w:bookmarkEnd w:id="0"/>
    </w:p>
    <w:p w:rsidR="00265005" w:rsidRDefault="00265005" w:rsidP="000F4363">
      <w:pPr>
        <w:autoSpaceDE w:val="0"/>
        <w:autoSpaceDN w:val="0"/>
        <w:adjustRightInd w:val="0"/>
        <w:spacing w:after="0" w:line="240" w:lineRule="auto"/>
        <w:jc w:val="center"/>
        <w:rPr>
          <w:rFonts w:ascii="Times New Roman" w:hAnsi="Times New Roman" w:cs="Times New Roman"/>
          <w:b/>
          <w:bCs/>
          <w:iCs/>
          <w:sz w:val="24"/>
          <w:szCs w:val="24"/>
        </w:rPr>
      </w:pPr>
    </w:p>
    <w:p w:rsidR="000F4363" w:rsidRPr="00142825" w:rsidRDefault="000F4363" w:rsidP="000F4363">
      <w:pPr>
        <w:autoSpaceDE w:val="0"/>
        <w:autoSpaceDN w:val="0"/>
        <w:adjustRightInd w:val="0"/>
        <w:spacing w:after="0" w:line="240" w:lineRule="auto"/>
        <w:jc w:val="center"/>
        <w:rPr>
          <w:rFonts w:ascii="Times New Roman" w:hAnsi="Times New Roman" w:cs="Times New Roman"/>
          <w:b/>
          <w:bCs/>
          <w:iCs/>
          <w:sz w:val="24"/>
          <w:szCs w:val="24"/>
        </w:rPr>
      </w:pPr>
      <w:r w:rsidRPr="00142825">
        <w:rPr>
          <w:rFonts w:ascii="Times New Roman" w:hAnsi="Times New Roman" w:cs="Times New Roman"/>
          <w:b/>
          <w:bCs/>
          <w:iCs/>
          <w:sz w:val="24"/>
          <w:szCs w:val="24"/>
        </w:rPr>
        <w:lastRenderedPageBreak/>
        <w:t>REFERÊNCIAS</w:t>
      </w: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AURELLI, Arlete Inês. </w:t>
      </w:r>
      <w:proofErr w:type="gramStart"/>
      <w:r w:rsidRPr="00940808">
        <w:rPr>
          <w:rFonts w:ascii="Times New Roman" w:hAnsi="Times New Roman" w:cs="Times New Roman"/>
          <w:sz w:val="24"/>
          <w:szCs w:val="24"/>
        </w:rPr>
        <w:t>Repercussão Geral como Requisito</w:t>
      </w:r>
      <w:proofErr w:type="gramEnd"/>
      <w:r w:rsidRPr="00940808">
        <w:rPr>
          <w:rFonts w:ascii="Times New Roman" w:hAnsi="Times New Roman" w:cs="Times New Roman"/>
          <w:sz w:val="24"/>
          <w:szCs w:val="24"/>
        </w:rPr>
        <w:t xml:space="preserve"> de Admissibilidade do Recurso Extraordinário. </w:t>
      </w:r>
      <w:r w:rsidRPr="00940808">
        <w:rPr>
          <w:rFonts w:ascii="Times New Roman" w:hAnsi="Times New Roman" w:cs="Times New Roman"/>
          <w:b/>
          <w:sz w:val="24"/>
          <w:szCs w:val="24"/>
        </w:rPr>
        <w:t>Revista de Processo</w:t>
      </w:r>
      <w:r w:rsidRPr="00940808">
        <w:rPr>
          <w:rFonts w:ascii="Times New Roman" w:hAnsi="Times New Roman" w:cs="Times New Roman"/>
          <w:sz w:val="24"/>
          <w:szCs w:val="24"/>
        </w:rPr>
        <w:t>, v. 151, p. 140, 2007.</w:t>
      </w:r>
    </w:p>
    <w:p w:rsidR="00200D52" w:rsidRDefault="00200D52"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200D52"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BRASIL. </w:t>
      </w:r>
      <w:r w:rsidRPr="0060755F">
        <w:rPr>
          <w:rFonts w:ascii="Times New Roman" w:hAnsi="Times New Roman" w:cs="Times New Roman"/>
          <w:b/>
          <w:sz w:val="24"/>
          <w:szCs w:val="24"/>
        </w:rPr>
        <w:t>Código de Processo Civil.</w:t>
      </w:r>
      <w:r w:rsidRPr="00940808">
        <w:rPr>
          <w:rFonts w:ascii="Times New Roman" w:hAnsi="Times New Roman" w:cs="Times New Roman"/>
          <w:sz w:val="24"/>
          <w:szCs w:val="24"/>
        </w:rPr>
        <w:t xml:space="preserve"> In: VADE </w:t>
      </w:r>
      <w:proofErr w:type="spellStart"/>
      <w:r w:rsidRPr="00940808">
        <w:rPr>
          <w:rFonts w:ascii="Times New Roman" w:hAnsi="Times New Roman" w:cs="Times New Roman"/>
          <w:sz w:val="24"/>
          <w:szCs w:val="24"/>
        </w:rPr>
        <w:t>mecum</w:t>
      </w:r>
      <w:proofErr w:type="spellEnd"/>
      <w:r w:rsidRPr="00940808">
        <w:rPr>
          <w:rFonts w:ascii="Times New Roman" w:hAnsi="Times New Roman" w:cs="Times New Roman"/>
          <w:sz w:val="24"/>
          <w:szCs w:val="24"/>
        </w:rPr>
        <w:t xml:space="preserve">. Obra coletiva de autoria da Editora Saraiva com a colaboração de </w:t>
      </w:r>
      <w:proofErr w:type="spellStart"/>
      <w:r w:rsidRPr="00940808">
        <w:rPr>
          <w:rFonts w:ascii="Times New Roman" w:hAnsi="Times New Roman" w:cs="Times New Roman"/>
          <w:sz w:val="24"/>
          <w:szCs w:val="24"/>
        </w:rPr>
        <w:t>Antonio</w:t>
      </w:r>
      <w:proofErr w:type="spellEnd"/>
      <w:r w:rsidRPr="00940808">
        <w:rPr>
          <w:rFonts w:ascii="Times New Roman" w:hAnsi="Times New Roman" w:cs="Times New Roman"/>
          <w:sz w:val="24"/>
          <w:szCs w:val="24"/>
        </w:rPr>
        <w:t xml:space="preserve"> Luiz de Toledo Pinto, Márcia Cristina Vaz dos Santos </w:t>
      </w:r>
      <w:proofErr w:type="spellStart"/>
      <w:r w:rsidRPr="00940808">
        <w:rPr>
          <w:rFonts w:ascii="Times New Roman" w:hAnsi="Times New Roman" w:cs="Times New Roman"/>
          <w:sz w:val="24"/>
          <w:szCs w:val="24"/>
        </w:rPr>
        <w:t>Windt</w:t>
      </w:r>
      <w:proofErr w:type="spellEnd"/>
      <w:r w:rsidRPr="00940808">
        <w:rPr>
          <w:rFonts w:ascii="Times New Roman" w:hAnsi="Times New Roman" w:cs="Times New Roman"/>
          <w:sz w:val="24"/>
          <w:szCs w:val="24"/>
        </w:rPr>
        <w:t xml:space="preserve"> e Lívia Céspedes. 3. </w:t>
      </w:r>
      <w:proofErr w:type="gramStart"/>
      <w:r w:rsidRPr="00940808">
        <w:rPr>
          <w:rFonts w:ascii="Times New Roman" w:hAnsi="Times New Roman" w:cs="Times New Roman"/>
          <w:sz w:val="24"/>
          <w:szCs w:val="24"/>
        </w:rPr>
        <w:t>ed.</w:t>
      </w:r>
      <w:proofErr w:type="gramEnd"/>
      <w:r w:rsidRPr="00940808">
        <w:rPr>
          <w:rFonts w:ascii="Times New Roman" w:hAnsi="Times New Roman" w:cs="Times New Roman"/>
          <w:sz w:val="24"/>
          <w:szCs w:val="24"/>
        </w:rPr>
        <w:t xml:space="preserve"> atual. </w:t>
      </w:r>
      <w:proofErr w:type="gramStart"/>
      <w:r w:rsidRPr="00940808">
        <w:rPr>
          <w:rFonts w:ascii="Times New Roman" w:hAnsi="Times New Roman" w:cs="Times New Roman"/>
          <w:sz w:val="24"/>
          <w:szCs w:val="24"/>
        </w:rPr>
        <w:t>e</w:t>
      </w:r>
      <w:proofErr w:type="gramEnd"/>
      <w:r w:rsidRPr="00940808">
        <w:rPr>
          <w:rFonts w:ascii="Times New Roman" w:hAnsi="Times New Roman" w:cs="Times New Roman"/>
          <w:sz w:val="24"/>
          <w:szCs w:val="24"/>
        </w:rPr>
        <w:t xml:space="preserve"> </w:t>
      </w:r>
      <w:proofErr w:type="spellStart"/>
      <w:r w:rsidRPr="00940808">
        <w:rPr>
          <w:rFonts w:ascii="Times New Roman" w:hAnsi="Times New Roman" w:cs="Times New Roman"/>
          <w:sz w:val="24"/>
          <w:szCs w:val="24"/>
        </w:rPr>
        <w:t>ampl</w:t>
      </w:r>
      <w:proofErr w:type="spellEnd"/>
      <w:r w:rsidRPr="00940808">
        <w:rPr>
          <w:rFonts w:ascii="Times New Roman" w:hAnsi="Times New Roman" w:cs="Times New Roman"/>
          <w:sz w:val="24"/>
          <w:szCs w:val="24"/>
        </w:rPr>
        <w:t xml:space="preserve">. São Paulo: </w:t>
      </w:r>
      <w:proofErr w:type="gramStart"/>
      <w:r w:rsidRPr="00940808">
        <w:rPr>
          <w:rFonts w:ascii="Times New Roman" w:hAnsi="Times New Roman" w:cs="Times New Roman"/>
          <w:sz w:val="24"/>
          <w:szCs w:val="24"/>
        </w:rPr>
        <w:t>Saraiva,</w:t>
      </w:r>
      <w:proofErr w:type="gramEnd"/>
      <w:r w:rsidRPr="00940808">
        <w:rPr>
          <w:rFonts w:ascii="Times New Roman" w:hAnsi="Times New Roman" w:cs="Times New Roman"/>
          <w:sz w:val="24"/>
          <w:szCs w:val="24"/>
        </w:rPr>
        <w:t xml:space="preserve"> 2007</w:t>
      </w:r>
      <w:r>
        <w:rPr>
          <w:rFonts w:ascii="Times New Roman" w:hAnsi="Times New Roman" w:cs="Times New Roman"/>
          <w:sz w:val="24"/>
          <w:szCs w:val="24"/>
        </w:rPr>
        <w:t>.</w:t>
      </w:r>
    </w:p>
    <w:p w:rsidR="00200D52" w:rsidRDefault="00200D52" w:rsidP="00200D52">
      <w:pPr>
        <w:spacing w:after="0" w:line="240" w:lineRule="auto"/>
        <w:jc w:val="both"/>
        <w:rPr>
          <w:rFonts w:ascii="Times New Roman" w:hAnsi="Times New Roman" w:cs="Times New Roman"/>
          <w:sz w:val="24"/>
          <w:szCs w:val="24"/>
        </w:rPr>
      </w:pP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BUENO, Silveira. </w:t>
      </w:r>
      <w:r w:rsidRPr="0060755F">
        <w:rPr>
          <w:rFonts w:ascii="Times New Roman" w:hAnsi="Times New Roman" w:cs="Times New Roman"/>
          <w:b/>
          <w:sz w:val="24"/>
          <w:szCs w:val="24"/>
        </w:rPr>
        <w:t>Minidicionário da Língua Portuguesa,</w:t>
      </w:r>
      <w:r w:rsidRPr="00940808">
        <w:rPr>
          <w:rFonts w:ascii="Times New Roman" w:hAnsi="Times New Roman" w:cs="Times New Roman"/>
          <w:sz w:val="24"/>
          <w:szCs w:val="24"/>
        </w:rPr>
        <w:t xml:space="preserve"> ed. Ver. E atual</w:t>
      </w:r>
      <w:proofErr w:type="gramStart"/>
      <w:r w:rsidRPr="00940808">
        <w:rPr>
          <w:rFonts w:ascii="Times New Roman" w:hAnsi="Times New Roman" w:cs="Times New Roman"/>
          <w:sz w:val="24"/>
          <w:szCs w:val="24"/>
        </w:rPr>
        <w:t>.,</w:t>
      </w:r>
      <w:proofErr w:type="gramEnd"/>
      <w:r w:rsidRPr="00940808">
        <w:rPr>
          <w:rFonts w:ascii="Times New Roman" w:hAnsi="Times New Roman" w:cs="Times New Roman"/>
          <w:sz w:val="24"/>
          <w:szCs w:val="24"/>
        </w:rPr>
        <w:t xml:space="preserve"> São Paulo: FTD, 2000.</w:t>
      </w:r>
    </w:p>
    <w:p w:rsidR="00200D52" w:rsidRDefault="00200D52" w:rsidP="00200D52">
      <w:pPr>
        <w:spacing w:after="0" w:line="240" w:lineRule="auto"/>
        <w:jc w:val="both"/>
        <w:rPr>
          <w:rFonts w:ascii="Times New Roman" w:hAnsi="Times New Roman" w:cs="Times New Roman"/>
          <w:sz w:val="24"/>
          <w:szCs w:val="24"/>
        </w:rPr>
      </w:pPr>
    </w:p>
    <w:p w:rsidR="00200D52" w:rsidRPr="006A04DB" w:rsidRDefault="00200D52" w:rsidP="00200D52">
      <w:pPr>
        <w:jc w:val="both"/>
        <w:rPr>
          <w:rFonts w:ascii="Times New Roman" w:hAnsi="Times New Roman" w:cs="Times New Roman"/>
          <w:sz w:val="24"/>
          <w:szCs w:val="24"/>
        </w:rPr>
      </w:pPr>
      <w:r>
        <w:rPr>
          <w:rFonts w:ascii="Times New Roman" w:hAnsi="Times New Roman" w:cs="Times New Roman"/>
          <w:b/>
          <w:sz w:val="24"/>
          <w:szCs w:val="24"/>
        </w:rPr>
        <w:t>Conhe</w:t>
      </w:r>
      <w:r w:rsidRPr="00A90DAB">
        <w:rPr>
          <w:rFonts w:ascii="Times New Roman" w:hAnsi="Times New Roman" w:cs="Times New Roman"/>
          <w:b/>
          <w:sz w:val="24"/>
          <w:szCs w:val="24"/>
        </w:rPr>
        <w:t xml:space="preserve">ça os números da movimentação processual do STF nos </w:t>
      </w:r>
      <w:proofErr w:type="spellStart"/>
      <w:r w:rsidRPr="00A90DAB">
        <w:rPr>
          <w:rFonts w:ascii="Times New Roman" w:hAnsi="Times New Roman" w:cs="Times New Roman"/>
          <w:b/>
          <w:sz w:val="24"/>
          <w:szCs w:val="24"/>
        </w:rPr>
        <w:t>útimos</w:t>
      </w:r>
      <w:proofErr w:type="spellEnd"/>
      <w:r w:rsidRPr="00A90DAB">
        <w:rPr>
          <w:rFonts w:ascii="Times New Roman" w:hAnsi="Times New Roman" w:cs="Times New Roman"/>
          <w:b/>
          <w:sz w:val="24"/>
          <w:szCs w:val="24"/>
        </w:rPr>
        <w:t xml:space="preserve"> 12 meses.</w:t>
      </w:r>
      <w:r>
        <w:rPr>
          <w:rFonts w:ascii="Times New Roman" w:hAnsi="Times New Roman" w:cs="Times New Roman"/>
          <w:sz w:val="24"/>
          <w:szCs w:val="24"/>
        </w:rPr>
        <w:t xml:space="preserve"> Disponível em: </w:t>
      </w:r>
      <w:r w:rsidRPr="00A90DAB">
        <w:rPr>
          <w:rFonts w:ascii="Times New Roman" w:hAnsi="Times New Roman" w:cs="Times New Roman"/>
          <w:sz w:val="24"/>
          <w:szCs w:val="24"/>
        </w:rPr>
        <w:t>&lt;http://stf.jusbrasil.com.br/noticias/1013761/conheca-os-numeros-da-movimentacao-processual-do-stf-nos-ultimos-12-meses</w:t>
      </w:r>
      <w:r>
        <w:rPr>
          <w:rFonts w:ascii="Times New Roman" w:hAnsi="Times New Roman" w:cs="Times New Roman"/>
          <w:bCs/>
          <w:iCs/>
          <w:sz w:val="20"/>
          <w:szCs w:val="24"/>
        </w:rPr>
        <w:t xml:space="preserve">&gt;. </w:t>
      </w:r>
      <w:r w:rsidRPr="00A90DAB">
        <w:rPr>
          <w:rFonts w:ascii="Times New Roman" w:hAnsi="Times New Roman" w:cs="Times New Roman"/>
          <w:sz w:val="24"/>
          <w:szCs w:val="24"/>
        </w:rPr>
        <w:t xml:space="preserve">Acesso em: </w:t>
      </w:r>
      <w:proofErr w:type="gramStart"/>
      <w:r w:rsidRPr="00A90DAB">
        <w:rPr>
          <w:rFonts w:ascii="Times New Roman" w:hAnsi="Times New Roman" w:cs="Times New Roman"/>
          <w:sz w:val="24"/>
          <w:szCs w:val="24"/>
        </w:rPr>
        <w:t>16 outubro 2014</w:t>
      </w:r>
      <w:proofErr w:type="gramEnd"/>
      <w:r w:rsidRPr="00A90DAB">
        <w:rPr>
          <w:rFonts w:ascii="Times New Roman" w:hAnsi="Times New Roman" w:cs="Times New Roman"/>
          <w:sz w:val="24"/>
          <w:szCs w:val="24"/>
        </w:rPr>
        <w:t>.</w:t>
      </w: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DANTAS, Bruno. Repercussão geral, perspectivas histórica, dogmática e de direito comparado: questões processuais. São Paulo: </w:t>
      </w:r>
      <w:r w:rsidRPr="0060755F">
        <w:rPr>
          <w:rFonts w:ascii="Times New Roman" w:hAnsi="Times New Roman" w:cs="Times New Roman"/>
          <w:b/>
          <w:sz w:val="24"/>
          <w:szCs w:val="24"/>
        </w:rPr>
        <w:t>Revista dos Tribunais</w:t>
      </w:r>
      <w:r w:rsidRPr="00940808">
        <w:rPr>
          <w:rFonts w:ascii="Times New Roman" w:hAnsi="Times New Roman" w:cs="Times New Roman"/>
          <w:sz w:val="24"/>
          <w:szCs w:val="24"/>
        </w:rPr>
        <w:t xml:space="preserve">, 2008. </w:t>
      </w:r>
    </w:p>
    <w:p w:rsidR="00200D52" w:rsidRDefault="00200D52"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742AEB" w:rsidRPr="004271AF" w:rsidRDefault="00742AEB" w:rsidP="00742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FILHO, José dos </w:t>
      </w:r>
      <w:proofErr w:type="gramStart"/>
      <w:r>
        <w:rPr>
          <w:rFonts w:ascii="Times New Roman" w:hAnsi="Times New Roman" w:cs="Times New Roman"/>
          <w:sz w:val="24"/>
          <w:szCs w:val="24"/>
        </w:rPr>
        <w:t>Santos Carvalho</w:t>
      </w:r>
      <w:proofErr w:type="gramEnd"/>
      <w:r>
        <w:rPr>
          <w:rFonts w:ascii="Times New Roman" w:hAnsi="Times New Roman" w:cs="Times New Roman"/>
          <w:sz w:val="24"/>
          <w:szCs w:val="24"/>
        </w:rPr>
        <w:t xml:space="preserve">. </w:t>
      </w:r>
      <w:r w:rsidRPr="004271AF">
        <w:rPr>
          <w:rFonts w:ascii="Times New Roman" w:hAnsi="Times New Roman" w:cs="Times New Roman"/>
          <w:b/>
          <w:sz w:val="24"/>
          <w:szCs w:val="24"/>
        </w:rPr>
        <w:t xml:space="preserve">Os impactos da Repercussão Geral do Recurso Extraordinário na Jurisdição Constitucional Brasileira: Promoção do Acesso à Justiça, Redefinição de Competências e Consolidação do Sistema Eclético de Controle de Constitucionalidade. </w:t>
      </w:r>
      <w:r>
        <w:rPr>
          <w:rFonts w:ascii="Times New Roman" w:hAnsi="Times New Roman" w:cs="Times New Roman"/>
          <w:sz w:val="24"/>
          <w:szCs w:val="24"/>
        </w:rPr>
        <w:t>Brasília - DF, Instituto Brasiliense de Direito Público, 2011.</w:t>
      </w:r>
    </w:p>
    <w:p w:rsidR="00742AEB" w:rsidRDefault="00742AEB"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FF58DD" w:rsidRDefault="00FF58DD"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FREITAS, Marina Cardoso de. </w:t>
      </w:r>
      <w:r w:rsidRPr="000D5AE2">
        <w:rPr>
          <w:rFonts w:ascii="Times New Roman" w:hAnsi="Times New Roman" w:cs="Times New Roman"/>
          <w:b/>
          <w:sz w:val="24"/>
          <w:szCs w:val="24"/>
          <w:shd w:val="clear" w:color="auto" w:fill="FFFFFF"/>
        </w:rPr>
        <w:t>Análise do Julgamento da Repercussão Geral nos Recursos Extraordinários</w:t>
      </w:r>
      <w:r>
        <w:rPr>
          <w:rFonts w:ascii="Times New Roman" w:hAnsi="Times New Roman" w:cs="Times New Roman"/>
          <w:sz w:val="24"/>
          <w:szCs w:val="24"/>
          <w:shd w:val="clear" w:color="auto" w:fill="FFFFFF"/>
        </w:rPr>
        <w:t xml:space="preserve">. </w:t>
      </w:r>
      <w:r w:rsidR="000D5AE2">
        <w:rPr>
          <w:rFonts w:ascii="Times New Roman" w:hAnsi="Times New Roman" w:cs="Times New Roman"/>
          <w:sz w:val="24"/>
          <w:szCs w:val="24"/>
          <w:shd w:val="clear" w:color="auto" w:fill="FFFFFF"/>
        </w:rPr>
        <w:t xml:space="preserve">SBDP, </w:t>
      </w:r>
      <w:r>
        <w:rPr>
          <w:rFonts w:ascii="Times New Roman" w:hAnsi="Times New Roman" w:cs="Times New Roman"/>
          <w:sz w:val="24"/>
          <w:szCs w:val="24"/>
          <w:shd w:val="clear" w:color="auto" w:fill="FFFFFF"/>
        </w:rPr>
        <w:t>São Paulo: 2009.</w:t>
      </w:r>
    </w:p>
    <w:p w:rsidR="00FF58DD" w:rsidRDefault="00FF58DD"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JUNIOR, </w:t>
      </w:r>
      <w:proofErr w:type="spellStart"/>
      <w:r w:rsidRPr="00940808">
        <w:rPr>
          <w:rFonts w:ascii="Times New Roman" w:hAnsi="Times New Roman" w:cs="Times New Roman"/>
          <w:sz w:val="24"/>
          <w:szCs w:val="24"/>
        </w:rPr>
        <w:t>Luis</w:t>
      </w:r>
      <w:proofErr w:type="spellEnd"/>
      <w:r w:rsidRPr="00940808">
        <w:rPr>
          <w:rFonts w:ascii="Times New Roman" w:hAnsi="Times New Roman" w:cs="Times New Roman"/>
          <w:sz w:val="24"/>
          <w:szCs w:val="24"/>
        </w:rPr>
        <w:t xml:space="preserve"> Manoel Gomes. A repercussão Geral da Questão Constitucional no Recurso Extraordinário. </w:t>
      </w:r>
      <w:r w:rsidRPr="00940808">
        <w:rPr>
          <w:rFonts w:ascii="Times New Roman" w:hAnsi="Times New Roman" w:cs="Times New Roman"/>
          <w:b/>
          <w:sz w:val="24"/>
          <w:szCs w:val="24"/>
        </w:rPr>
        <w:t>Revista de Processo</w:t>
      </w:r>
      <w:r w:rsidRPr="00940808">
        <w:rPr>
          <w:rFonts w:ascii="Times New Roman" w:hAnsi="Times New Roman" w:cs="Times New Roman"/>
          <w:sz w:val="24"/>
          <w:szCs w:val="24"/>
        </w:rPr>
        <w:t xml:space="preserve">, v.119, p.91, 2005. </w:t>
      </w:r>
    </w:p>
    <w:p w:rsidR="00200D52" w:rsidRDefault="00200D52"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MARINONI, Luiz Guilherme; MITIDIERO, Daniel. </w:t>
      </w:r>
      <w:r w:rsidRPr="00940808">
        <w:rPr>
          <w:rFonts w:ascii="Times New Roman" w:hAnsi="Times New Roman" w:cs="Times New Roman"/>
          <w:b/>
          <w:sz w:val="24"/>
          <w:szCs w:val="24"/>
        </w:rPr>
        <w:t>Repercussão geral no recurso extraordinário</w:t>
      </w:r>
      <w:r w:rsidRPr="00940808">
        <w:rPr>
          <w:rFonts w:ascii="Times New Roman" w:hAnsi="Times New Roman" w:cs="Times New Roman"/>
          <w:sz w:val="24"/>
          <w:szCs w:val="24"/>
        </w:rPr>
        <w:t xml:space="preserve">. São </w:t>
      </w:r>
      <w:proofErr w:type="spellStart"/>
      <w:proofErr w:type="gramStart"/>
      <w:r w:rsidRPr="00940808">
        <w:rPr>
          <w:rFonts w:ascii="Times New Roman" w:hAnsi="Times New Roman" w:cs="Times New Roman"/>
          <w:sz w:val="24"/>
          <w:szCs w:val="24"/>
        </w:rPr>
        <w:t>paulo</w:t>
      </w:r>
      <w:proofErr w:type="spellEnd"/>
      <w:proofErr w:type="gramEnd"/>
      <w:r w:rsidRPr="00940808">
        <w:rPr>
          <w:rFonts w:ascii="Times New Roman" w:hAnsi="Times New Roman" w:cs="Times New Roman"/>
          <w:sz w:val="24"/>
          <w:szCs w:val="24"/>
        </w:rPr>
        <w:t xml:space="preserve">: ed. </w:t>
      </w:r>
      <w:proofErr w:type="spellStart"/>
      <w:r w:rsidRPr="00940808">
        <w:rPr>
          <w:rFonts w:ascii="Times New Roman" w:hAnsi="Times New Roman" w:cs="Times New Roman"/>
          <w:sz w:val="24"/>
          <w:szCs w:val="24"/>
        </w:rPr>
        <w:t>Rt</w:t>
      </w:r>
      <w:proofErr w:type="spellEnd"/>
      <w:r w:rsidRPr="00940808">
        <w:rPr>
          <w:rFonts w:ascii="Times New Roman" w:hAnsi="Times New Roman" w:cs="Times New Roman"/>
          <w:sz w:val="24"/>
          <w:szCs w:val="24"/>
        </w:rPr>
        <w:t>, 2007.</w:t>
      </w:r>
    </w:p>
    <w:p w:rsidR="00200D52" w:rsidRDefault="00200D52"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0F4363" w:rsidRPr="00940808" w:rsidRDefault="000F4363" w:rsidP="000F436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40808">
        <w:rPr>
          <w:rFonts w:ascii="Times New Roman" w:hAnsi="Times New Roman" w:cs="Times New Roman"/>
          <w:sz w:val="24"/>
          <w:szCs w:val="24"/>
          <w:shd w:val="clear" w:color="auto" w:fill="FFFFFF"/>
        </w:rPr>
        <w:t xml:space="preserve">MEDINA, José Miguel Garcia; WAMBIER, Luiz Rodrigues e WAMBIER, Teresa Arruda Alvim. </w:t>
      </w:r>
      <w:r w:rsidRPr="00940808">
        <w:rPr>
          <w:rFonts w:ascii="Times New Roman" w:hAnsi="Times New Roman" w:cs="Times New Roman"/>
          <w:b/>
          <w:sz w:val="24"/>
          <w:szCs w:val="24"/>
          <w:shd w:val="clear" w:color="auto" w:fill="FFFFFF"/>
        </w:rPr>
        <w:t>Repercussão geral e súmula vinculante, Reforma do Judiciário (obra coletiva)</w:t>
      </w:r>
      <w:r w:rsidRPr="00940808">
        <w:rPr>
          <w:rFonts w:ascii="Times New Roman" w:hAnsi="Times New Roman" w:cs="Times New Roman"/>
          <w:sz w:val="24"/>
          <w:szCs w:val="24"/>
          <w:shd w:val="clear" w:color="auto" w:fill="FFFFFF"/>
        </w:rPr>
        <w:t>. São Paulo: RT, 2005.</w:t>
      </w:r>
    </w:p>
    <w:p w:rsidR="00200D52" w:rsidRDefault="00200D52" w:rsidP="00200D52">
      <w:pPr>
        <w:autoSpaceDE w:val="0"/>
        <w:autoSpaceDN w:val="0"/>
        <w:adjustRightInd w:val="0"/>
        <w:spacing w:after="0" w:line="240" w:lineRule="auto"/>
        <w:jc w:val="both"/>
        <w:rPr>
          <w:rStyle w:val="nfase"/>
          <w:rFonts w:ascii="Times New Roman" w:hAnsi="Times New Roman" w:cs="Times New Roman"/>
          <w:i w:val="0"/>
          <w:spacing w:val="-5"/>
          <w:sz w:val="24"/>
          <w:szCs w:val="24"/>
          <w:bdr w:val="none" w:sz="0" w:space="0" w:color="auto" w:frame="1"/>
          <w:shd w:val="clear" w:color="auto" w:fill="FFFFFF"/>
        </w:rPr>
      </w:pPr>
    </w:p>
    <w:p w:rsidR="00200D52" w:rsidRPr="00940808" w:rsidRDefault="00200D52" w:rsidP="00200D52">
      <w:pPr>
        <w:autoSpaceDE w:val="0"/>
        <w:autoSpaceDN w:val="0"/>
        <w:adjustRightInd w:val="0"/>
        <w:spacing w:after="0" w:line="240" w:lineRule="auto"/>
        <w:jc w:val="both"/>
        <w:rPr>
          <w:rFonts w:ascii="Times New Roman" w:hAnsi="Times New Roman" w:cs="Times New Roman"/>
          <w:b/>
          <w:bCs/>
          <w:iCs/>
          <w:sz w:val="24"/>
          <w:szCs w:val="24"/>
        </w:rPr>
      </w:pPr>
      <w:r w:rsidRPr="00940808">
        <w:rPr>
          <w:rStyle w:val="nfase"/>
          <w:rFonts w:ascii="Times New Roman" w:hAnsi="Times New Roman" w:cs="Times New Roman"/>
          <w:i w:val="0"/>
          <w:spacing w:val="-5"/>
          <w:sz w:val="24"/>
          <w:szCs w:val="24"/>
          <w:bdr w:val="none" w:sz="0" w:space="0" w:color="auto" w:frame="1"/>
          <w:shd w:val="clear" w:color="auto" w:fill="FFFFFF"/>
        </w:rPr>
        <w:t>NETTO, José Manuel Arruda Alvim. A Alta Função Jurisdicional do Superior Tribunal de Justiça no Âmbito do Recurso Especial e a Relevância das Questões</w:t>
      </w:r>
      <w:r w:rsidRPr="00940808">
        <w:rPr>
          <w:rFonts w:ascii="Times New Roman" w:hAnsi="Times New Roman" w:cs="Times New Roman"/>
          <w:i/>
          <w:spacing w:val="-5"/>
          <w:sz w:val="24"/>
          <w:szCs w:val="24"/>
          <w:shd w:val="clear" w:color="auto" w:fill="FFFFFF"/>
        </w:rPr>
        <w:t xml:space="preserve">. </w:t>
      </w:r>
      <w:r w:rsidRPr="00940808">
        <w:rPr>
          <w:rFonts w:ascii="Times New Roman" w:hAnsi="Times New Roman" w:cs="Times New Roman"/>
          <w:spacing w:val="-5"/>
          <w:sz w:val="24"/>
          <w:szCs w:val="24"/>
          <w:shd w:val="clear" w:color="auto" w:fill="FFFFFF"/>
        </w:rPr>
        <w:t xml:space="preserve">São Paulo: </w:t>
      </w:r>
      <w:r w:rsidRPr="00940808">
        <w:rPr>
          <w:rFonts w:ascii="Times New Roman" w:hAnsi="Times New Roman" w:cs="Times New Roman"/>
          <w:b/>
          <w:spacing w:val="-5"/>
          <w:sz w:val="24"/>
          <w:szCs w:val="24"/>
          <w:shd w:val="clear" w:color="auto" w:fill="FFFFFF"/>
        </w:rPr>
        <w:t>Revista dos Tribunais</w:t>
      </w:r>
      <w:r w:rsidRPr="00940808">
        <w:rPr>
          <w:rFonts w:ascii="Times New Roman" w:hAnsi="Times New Roman" w:cs="Times New Roman"/>
          <w:spacing w:val="-5"/>
          <w:sz w:val="24"/>
          <w:szCs w:val="24"/>
          <w:shd w:val="clear" w:color="auto" w:fill="FFFFFF"/>
        </w:rPr>
        <w:t xml:space="preserve">, 1999, </w:t>
      </w:r>
      <w:proofErr w:type="spellStart"/>
      <w:proofErr w:type="gramStart"/>
      <w:r w:rsidRPr="00940808">
        <w:rPr>
          <w:rFonts w:ascii="Times New Roman" w:hAnsi="Times New Roman" w:cs="Times New Roman"/>
          <w:spacing w:val="-5"/>
          <w:sz w:val="24"/>
          <w:szCs w:val="24"/>
          <w:shd w:val="clear" w:color="auto" w:fill="FFFFFF"/>
        </w:rPr>
        <w:t>RePro</w:t>
      </w:r>
      <w:proofErr w:type="spellEnd"/>
      <w:proofErr w:type="gramEnd"/>
      <w:r w:rsidRPr="00940808">
        <w:rPr>
          <w:rFonts w:ascii="Times New Roman" w:hAnsi="Times New Roman" w:cs="Times New Roman"/>
          <w:spacing w:val="-5"/>
          <w:sz w:val="24"/>
          <w:szCs w:val="24"/>
          <w:shd w:val="clear" w:color="auto" w:fill="FFFFFF"/>
        </w:rPr>
        <w:t xml:space="preserve"> nº 96.</w:t>
      </w:r>
    </w:p>
    <w:p w:rsidR="00200D52" w:rsidRDefault="00200D52" w:rsidP="000F4363">
      <w:pPr>
        <w:spacing w:after="0" w:line="240" w:lineRule="auto"/>
        <w:jc w:val="both"/>
        <w:rPr>
          <w:rFonts w:ascii="Times New Roman" w:hAnsi="Times New Roman" w:cs="Times New Roman"/>
          <w:sz w:val="24"/>
          <w:szCs w:val="24"/>
        </w:rPr>
      </w:pPr>
    </w:p>
    <w:p w:rsidR="00200D52" w:rsidRPr="00940808" w:rsidRDefault="00200D52" w:rsidP="00200D52">
      <w:pPr>
        <w:autoSpaceDE w:val="0"/>
        <w:autoSpaceDN w:val="0"/>
        <w:adjustRightInd w:val="0"/>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ORELLI, Marilene Quaresma Dantas. </w:t>
      </w:r>
      <w:r w:rsidRPr="00940808">
        <w:rPr>
          <w:rFonts w:ascii="Times New Roman" w:hAnsi="Times New Roman" w:cs="Times New Roman"/>
          <w:b/>
          <w:sz w:val="24"/>
          <w:szCs w:val="24"/>
        </w:rPr>
        <w:t>A Repercussão Geral do recurso Extraordinário: Questões Doutrinárias e Jurisprudenciais.</w:t>
      </w:r>
      <w:r w:rsidRPr="00940808">
        <w:rPr>
          <w:rFonts w:ascii="Times New Roman" w:hAnsi="Times New Roman" w:cs="Times New Roman"/>
          <w:sz w:val="24"/>
          <w:szCs w:val="24"/>
        </w:rPr>
        <w:t xml:space="preserve"> Brasília, Universidade católica de Brasília, 2009.</w:t>
      </w:r>
    </w:p>
    <w:p w:rsidR="00200D52" w:rsidRDefault="00200D52" w:rsidP="000F4363">
      <w:pPr>
        <w:spacing w:after="0" w:line="240" w:lineRule="auto"/>
        <w:jc w:val="both"/>
        <w:rPr>
          <w:rFonts w:ascii="Times New Roman" w:hAnsi="Times New Roman" w:cs="Times New Roman"/>
          <w:sz w:val="24"/>
          <w:szCs w:val="24"/>
        </w:rPr>
      </w:pPr>
    </w:p>
    <w:p w:rsidR="000F4363" w:rsidRPr="00940808" w:rsidRDefault="000F4363" w:rsidP="000F4363">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RIBEIRO, Flávia Pereira. A repercussão Geral no Recurso Extraordinário. </w:t>
      </w:r>
      <w:r w:rsidRPr="00940808">
        <w:rPr>
          <w:rFonts w:ascii="Times New Roman" w:hAnsi="Times New Roman" w:cs="Times New Roman"/>
          <w:b/>
          <w:sz w:val="24"/>
          <w:szCs w:val="24"/>
        </w:rPr>
        <w:t>Revista de Processo</w:t>
      </w:r>
      <w:r w:rsidRPr="00940808">
        <w:rPr>
          <w:rFonts w:ascii="Times New Roman" w:hAnsi="Times New Roman" w:cs="Times New Roman"/>
          <w:sz w:val="24"/>
          <w:szCs w:val="24"/>
        </w:rPr>
        <w:t>, v. 197, p.447, 2011.</w:t>
      </w:r>
    </w:p>
    <w:p w:rsidR="000F4363" w:rsidRDefault="000F4363" w:rsidP="000F4363">
      <w:pPr>
        <w:spacing w:after="0" w:line="240" w:lineRule="auto"/>
        <w:jc w:val="both"/>
        <w:rPr>
          <w:rFonts w:ascii="Times New Roman" w:hAnsi="Times New Roman" w:cs="Times New Roman"/>
          <w:sz w:val="24"/>
          <w:szCs w:val="24"/>
        </w:rPr>
      </w:pPr>
    </w:p>
    <w:p w:rsidR="00200D52" w:rsidRPr="00940808" w:rsidRDefault="00200D52" w:rsidP="00200D52">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SCHLOSSER, </w:t>
      </w:r>
      <w:proofErr w:type="spellStart"/>
      <w:r w:rsidRPr="00940808">
        <w:rPr>
          <w:rFonts w:ascii="Times New Roman" w:hAnsi="Times New Roman" w:cs="Times New Roman"/>
          <w:sz w:val="24"/>
          <w:szCs w:val="24"/>
        </w:rPr>
        <w:t>Liselotte</w:t>
      </w:r>
      <w:proofErr w:type="spellEnd"/>
      <w:r w:rsidRPr="00940808">
        <w:rPr>
          <w:rFonts w:ascii="Times New Roman" w:hAnsi="Times New Roman" w:cs="Times New Roman"/>
          <w:sz w:val="24"/>
          <w:szCs w:val="24"/>
        </w:rPr>
        <w:t xml:space="preserve"> </w:t>
      </w:r>
      <w:proofErr w:type="spellStart"/>
      <w:r w:rsidRPr="00940808">
        <w:rPr>
          <w:rFonts w:ascii="Times New Roman" w:hAnsi="Times New Roman" w:cs="Times New Roman"/>
          <w:sz w:val="24"/>
          <w:szCs w:val="24"/>
        </w:rPr>
        <w:t>Minéia</w:t>
      </w:r>
      <w:proofErr w:type="spellEnd"/>
      <w:r w:rsidRPr="00940808">
        <w:rPr>
          <w:rFonts w:ascii="Times New Roman" w:hAnsi="Times New Roman" w:cs="Times New Roman"/>
          <w:sz w:val="24"/>
          <w:szCs w:val="24"/>
        </w:rPr>
        <w:t xml:space="preserve">; </w:t>
      </w:r>
      <w:proofErr w:type="gramStart"/>
      <w:r w:rsidRPr="00940808">
        <w:rPr>
          <w:rFonts w:ascii="Times New Roman" w:hAnsi="Times New Roman" w:cs="Times New Roman"/>
          <w:sz w:val="24"/>
          <w:szCs w:val="24"/>
        </w:rPr>
        <w:t>WICKERT ,</w:t>
      </w:r>
      <w:proofErr w:type="gramEnd"/>
      <w:r w:rsidRPr="00940808">
        <w:rPr>
          <w:rFonts w:ascii="Times New Roman" w:hAnsi="Times New Roman" w:cs="Times New Roman"/>
          <w:sz w:val="24"/>
          <w:szCs w:val="24"/>
        </w:rPr>
        <w:t xml:space="preserve"> </w:t>
      </w:r>
      <w:proofErr w:type="spellStart"/>
      <w:r w:rsidRPr="00940808">
        <w:rPr>
          <w:rFonts w:ascii="Times New Roman" w:hAnsi="Times New Roman" w:cs="Times New Roman"/>
          <w:sz w:val="24"/>
          <w:szCs w:val="24"/>
        </w:rPr>
        <w:t>Lisiane</w:t>
      </w:r>
      <w:proofErr w:type="spellEnd"/>
      <w:r w:rsidRPr="00940808">
        <w:rPr>
          <w:rFonts w:ascii="Times New Roman" w:hAnsi="Times New Roman" w:cs="Times New Roman"/>
          <w:sz w:val="24"/>
          <w:szCs w:val="24"/>
        </w:rPr>
        <w:t xml:space="preserve"> Beatriz. A inserção e a regulamentação da Repercussão Geral como pressuposto de admissibilidade do Recurso Extraordinário. </w:t>
      </w:r>
      <w:r w:rsidRPr="00940808">
        <w:rPr>
          <w:rFonts w:ascii="Times New Roman" w:hAnsi="Times New Roman" w:cs="Times New Roman"/>
          <w:b/>
          <w:sz w:val="24"/>
          <w:szCs w:val="24"/>
        </w:rPr>
        <w:t>Revista de Processo</w:t>
      </w:r>
      <w:r w:rsidRPr="00940808">
        <w:rPr>
          <w:rFonts w:ascii="Times New Roman" w:hAnsi="Times New Roman" w:cs="Times New Roman"/>
          <w:sz w:val="24"/>
          <w:szCs w:val="24"/>
        </w:rPr>
        <w:t xml:space="preserve">, v. 161, n.161, p.115, 2008. </w:t>
      </w:r>
    </w:p>
    <w:p w:rsidR="00200D52" w:rsidRDefault="00200D52" w:rsidP="000F4363">
      <w:pPr>
        <w:spacing w:after="0" w:line="240" w:lineRule="auto"/>
        <w:jc w:val="both"/>
        <w:rPr>
          <w:rFonts w:ascii="Times New Roman" w:hAnsi="Times New Roman" w:cs="Times New Roman"/>
          <w:sz w:val="24"/>
          <w:szCs w:val="24"/>
        </w:rPr>
      </w:pPr>
    </w:p>
    <w:p w:rsidR="00200D52" w:rsidRDefault="00200D52" w:rsidP="00200D52">
      <w:pPr>
        <w:jc w:val="both"/>
        <w:rPr>
          <w:rFonts w:ascii="Times New Roman" w:hAnsi="Times New Roman" w:cs="Times New Roman"/>
          <w:sz w:val="24"/>
          <w:szCs w:val="24"/>
        </w:rPr>
      </w:pPr>
      <w:r>
        <w:rPr>
          <w:rFonts w:ascii="Times New Roman" w:hAnsi="Times New Roman" w:cs="Times New Roman"/>
          <w:sz w:val="24"/>
          <w:szCs w:val="24"/>
        </w:rPr>
        <w:t xml:space="preserve">Supremo Tribunal Federal. </w:t>
      </w:r>
      <w:r w:rsidRPr="00142281">
        <w:rPr>
          <w:rFonts w:ascii="Times New Roman" w:hAnsi="Times New Roman" w:cs="Times New Roman"/>
          <w:b/>
          <w:sz w:val="24"/>
          <w:szCs w:val="24"/>
        </w:rPr>
        <w:t>Números da Repercussão Geral.</w:t>
      </w:r>
      <w:r>
        <w:rPr>
          <w:rFonts w:ascii="Times New Roman" w:hAnsi="Times New Roman" w:cs="Times New Roman"/>
          <w:sz w:val="24"/>
          <w:szCs w:val="24"/>
        </w:rPr>
        <w:t xml:space="preserve"> Disponível em: &lt;</w:t>
      </w:r>
      <w:r w:rsidRPr="00142281">
        <w:rPr>
          <w:rFonts w:ascii="Times New Roman" w:hAnsi="Times New Roman" w:cs="Times New Roman"/>
          <w:sz w:val="24"/>
          <w:szCs w:val="24"/>
        </w:rPr>
        <w:t>http://www.stf.jus.br/portal/cms/verTexto.asp?</w:t>
      </w:r>
      <w:proofErr w:type="gramStart"/>
      <w:r w:rsidRPr="00142281">
        <w:rPr>
          <w:rFonts w:ascii="Times New Roman" w:hAnsi="Times New Roman" w:cs="Times New Roman"/>
          <w:sz w:val="24"/>
          <w:szCs w:val="24"/>
        </w:rPr>
        <w:t>servico</w:t>
      </w:r>
      <w:proofErr w:type="gramEnd"/>
      <w:r w:rsidRPr="00142281">
        <w:rPr>
          <w:rFonts w:ascii="Times New Roman" w:hAnsi="Times New Roman" w:cs="Times New Roman"/>
          <w:sz w:val="24"/>
          <w:szCs w:val="24"/>
        </w:rPr>
        <w:t>=jurisprudenciaRepercussaoGeral&amp;pagina=numeroRepercussao</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16 outubro 2014</w:t>
      </w:r>
      <w:proofErr w:type="gramEnd"/>
      <w:r>
        <w:rPr>
          <w:rFonts w:ascii="Times New Roman" w:hAnsi="Times New Roman" w:cs="Times New Roman"/>
          <w:sz w:val="24"/>
          <w:szCs w:val="24"/>
        </w:rPr>
        <w:t>.</w:t>
      </w:r>
    </w:p>
    <w:p w:rsidR="000F4363" w:rsidRPr="00940808" w:rsidRDefault="000F4363" w:rsidP="000F4363">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TUCCI, José Rogério Cruz E. Anotações sobre a Repercussão Geral como Pressuposto de Admissibilidade do Recurso Extraordinário. </w:t>
      </w:r>
      <w:r w:rsidRPr="00940808">
        <w:rPr>
          <w:rFonts w:ascii="Times New Roman" w:hAnsi="Times New Roman" w:cs="Times New Roman"/>
          <w:b/>
          <w:sz w:val="24"/>
          <w:szCs w:val="24"/>
        </w:rPr>
        <w:t>Revista de Processo</w:t>
      </w:r>
      <w:r w:rsidRPr="00940808">
        <w:rPr>
          <w:rFonts w:ascii="Times New Roman" w:hAnsi="Times New Roman" w:cs="Times New Roman"/>
          <w:sz w:val="24"/>
          <w:szCs w:val="24"/>
        </w:rPr>
        <w:t>, v. 145, p.51, 2007.</w:t>
      </w:r>
    </w:p>
    <w:p w:rsidR="000F4363" w:rsidRDefault="000F4363" w:rsidP="000F4363">
      <w:pPr>
        <w:spacing w:after="0" w:line="240" w:lineRule="auto"/>
        <w:jc w:val="both"/>
        <w:rPr>
          <w:rFonts w:ascii="Times New Roman" w:hAnsi="Times New Roman" w:cs="Times New Roman"/>
          <w:sz w:val="24"/>
          <w:szCs w:val="24"/>
        </w:rPr>
      </w:pPr>
    </w:p>
    <w:p w:rsidR="000F4363" w:rsidRPr="00940808" w:rsidRDefault="000F4363" w:rsidP="000F4363">
      <w:pPr>
        <w:spacing w:after="0" w:line="240" w:lineRule="auto"/>
        <w:jc w:val="both"/>
        <w:rPr>
          <w:rFonts w:ascii="Times New Roman" w:hAnsi="Times New Roman" w:cs="Times New Roman"/>
          <w:sz w:val="24"/>
          <w:szCs w:val="24"/>
        </w:rPr>
      </w:pPr>
      <w:r w:rsidRPr="00940808">
        <w:rPr>
          <w:rFonts w:ascii="Times New Roman" w:hAnsi="Times New Roman" w:cs="Times New Roman"/>
          <w:sz w:val="24"/>
          <w:szCs w:val="24"/>
        </w:rPr>
        <w:t xml:space="preserve">WAMBIER, Teresa Arruda Alvim. </w:t>
      </w:r>
      <w:r w:rsidRPr="00940808">
        <w:rPr>
          <w:rFonts w:ascii="Times New Roman" w:hAnsi="Times New Roman" w:cs="Times New Roman"/>
          <w:b/>
          <w:sz w:val="24"/>
          <w:szCs w:val="24"/>
        </w:rPr>
        <w:t>Recurso especial, recurso extraordinário e ação rescisória.</w:t>
      </w:r>
      <w:r w:rsidRPr="00940808">
        <w:rPr>
          <w:rFonts w:ascii="Times New Roman" w:hAnsi="Times New Roman" w:cs="Times New Roman"/>
          <w:sz w:val="24"/>
          <w:szCs w:val="24"/>
        </w:rPr>
        <w:t xml:space="preserve"> 2. </w:t>
      </w:r>
      <w:proofErr w:type="gramStart"/>
      <w:r w:rsidRPr="00940808">
        <w:rPr>
          <w:rFonts w:ascii="Times New Roman" w:hAnsi="Times New Roman" w:cs="Times New Roman"/>
          <w:sz w:val="24"/>
          <w:szCs w:val="24"/>
        </w:rPr>
        <w:t>ed.</w:t>
      </w:r>
      <w:proofErr w:type="gramEnd"/>
      <w:r w:rsidRPr="00940808">
        <w:rPr>
          <w:rFonts w:ascii="Times New Roman" w:hAnsi="Times New Roman" w:cs="Times New Roman"/>
          <w:sz w:val="24"/>
          <w:szCs w:val="24"/>
        </w:rPr>
        <w:t xml:space="preserve">, reform. </w:t>
      </w:r>
      <w:proofErr w:type="gramStart"/>
      <w:r w:rsidRPr="00940808">
        <w:rPr>
          <w:rFonts w:ascii="Times New Roman" w:hAnsi="Times New Roman" w:cs="Times New Roman"/>
          <w:sz w:val="24"/>
          <w:szCs w:val="24"/>
        </w:rPr>
        <w:t>e</w:t>
      </w:r>
      <w:proofErr w:type="gramEnd"/>
      <w:r w:rsidRPr="00940808">
        <w:rPr>
          <w:rFonts w:ascii="Times New Roman" w:hAnsi="Times New Roman" w:cs="Times New Roman"/>
          <w:sz w:val="24"/>
          <w:szCs w:val="24"/>
        </w:rPr>
        <w:t xml:space="preserve"> atual. São Paulo: Revista dos Tribunais, 2008. </w:t>
      </w:r>
      <w:proofErr w:type="gramStart"/>
      <w:r w:rsidRPr="00940808">
        <w:rPr>
          <w:rFonts w:ascii="Times New Roman" w:hAnsi="Times New Roman" w:cs="Times New Roman"/>
          <w:sz w:val="24"/>
          <w:szCs w:val="24"/>
        </w:rPr>
        <w:t>p.</w:t>
      </w:r>
      <w:proofErr w:type="gramEnd"/>
      <w:r w:rsidRPr="00940808">
        <w:rPr>
          <w:rFonts w:ascii="Times New Roman" w:hAnsi="Times New Roman" w:cs="Times New Roman"/>
          <w:sz w:val="24"/>
          <w:szCs w:val="24"/>
        </w:rPr>
        <w:t xml:space="preserve"> 290-291.</w:t>
      </w:r>
    </w:p>
    <w:p w:rsidR="003E1E08" w:rsidRDefault="003E1E08" w:rsidP="00200D52">
      <w:pPr>
        <w:spacing w:after="0" w:line="240" w:lineRule="auto"/>
        <w:jc w:val="both"/>
        <w:rPr>
          <w:rFonts w:ascii="Times New Roman" w:hAnsi="Times New Roman" w:cs="Times New Roman"/>
          <w:sz w:val="24"/>
          <w:szCs w:val="24"/>
        </w:rPr>
      </w:pPr>
    </w:p>
    <w:p w:rsidR="004271AF" w:rsidRDefault="004271AF" w:rsidP="00200D52">
      <w:pPr>
        <w:spacing w:after="0" w:line="240" w:lineRule="auto"/>
        <w:jc w:val="both"/>
        <w:rPr>
          <w:rFonts w:ascii="Times New Roman" w:hAnsi="Times New Roman" w:cs="Times New Roman"/>
          <w:sz w:val="24"/>
          <w:szCs w:val="24"/>
        </w:rPr>
      </w:pPr>
    </w:p>
    <w:sectPr w:rsidR="004271AF" w:rsidSect="00991A8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0C" w:rsidRDefault="00EA2A0C" w:rsidP="006A04DB">
      <w:pPr>
        <w:spacing w:after="0" w:line="240" w:lineRule="auto"/>
      </w:pPr>
      <w:r>
        <w:separator/>
      </w:r>
    </w:p>
  </w:endnote>
  <w:endnote w:type="continuationSeparator" w:id="0">
    <w:p w:rsidR="00EA2A0C" w:rsidRDefault="00EA2A0C" w:rsidP="006A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0C" w:rsidRDefault="00EA2A0C" w:rsidP="006A04DB">
      <w:pPr>
        <w:spacing w:after="0" w:line="240" w:lineRule="auto"/>
      </w:pPr>
      <w:r>
        <w:separator/>
      </w:r>
    </w:p>
  </w:footnote>
  <w:footnote w:type="continuationSeparator" w:id="0">
    <w:p w:rsidR="00EA2A0C" w:rsidRDefault="00EA2A0C" w:rsidP="006A04DB">
      <w:pPr>
        <w:spacing w:after="0" w:line="240" w:lineRule="auto"/>
      </w:pPr>
      <w:r>
        <w:continuationSeparator/>
      </w:r>
    </w:p>
  </w:footnote>
  <w:footnote w:id="1">
    <w:p w:rsidR="005A07CF" w:rsidRDefault="005A07CF" w:rsidP="006A04DB">
      <w:pPr>
        <w:pStyle w:val="Textodenotaderodap"/>
      </w:pPr>
      <w:r>
        <w:rPr>
          <w:rStyle w:val="Refdenotaderodap"/>
        </w:rPr>
        <w:footnoteRef/>
      </w:r>
      <w:r>
        <w:t xml:space="preserve"> Trabalho de </w:t>
      </w:r>
      <w:proofErr w:type="spellStart"/>
      <w:r>
        <w:t>Paper</w:t>
      </w:r>
      <w:proofErr w:type="spellEnd"/>
      <w:r>
        <w:t xml:space="preserve"> apresentado à disciplina de Recursos no Processo civil, da Unidade de Ensino Superior Dom Bosco – </w:t>
      </w:r>
      <w:proofErr w:type="gramStart"/>
      <w:r>
        <w:t>UNDB</w:t>
      </w:r>
      <w:proofErr w:type="gramEnd"/>
    </w:p>
    <w:p w:rsidR="005A07CF" w:rsidRDefault="005A07CF" w:rsidP="006A04DB">
      <w:pPr>
        <w:pStyle w:val="Textodenotaderodap"/>
      </w:pPr>
      <w:proofErr w:type="gramStart"/>
      <w:r>
        <w:t>²</w:t>
      </w:r>
      <w:proofErr w:type="gramEnd"/>
      <w:r>
        <w:t xml:space="preserve"> Alunas do 6º período, do curso de Direito, da UNDB</w:t>
      </w:r>
    </w:p>
    <w:p w:rsidR="005A07CF" w:rsidRDefault="005A07CF" w:rsidP="006A04DB">
      <w:pPr>
        <w:pStyle w:val="Textodenotaderodap"/>
      </w:pPr>
      <w:proofErr w:type="gramStart"/>
      <w:r>
        <w:t>³</w:t>
      </w:r>
      <w:proofErr w:type="gramEnd"/>
      <w:r>
        <w:t xml:space="preserve"> Professor Mestre, Orientador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8F7"/>
    <w:multiLevelType w:val="multilevel"/>
    <w:tmpl w:val="8738FA12"/>
    <w:lvl w:ilvl="0">
      <w:start w:val="1"/>
      <w:numFmt w:val="decimal"/>
      <w:lvlText w:val="%1."/>
      <w:lvlJc w:val="left"/>
      <w:pPr>
        <w:ind w:left="1494" w:hanging="360"/>
      </w:pPr>
      <w:rPr>
        <w:rFonts w:hint="default"/>
      </w:rPr>
    </w:lvl>
    <w:lvl w:ilvl="1">
      <w:start w:val="2"/>
      <w:numFmt w:val="decimal"/>
      <w:isLgl/>
      <w:lvlText w:val="%1.%2"/>
      <w:lvlJc w:val="left"/>
      <w:pPr>
        <w:ind w:left="1539"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04DB"/>
    <w:rsid w:val="00000640"/>
    <w:rsid w:val="00001E0F"/>
    <w:rsid w:val="00002177"/>
    <w:rsid w:val="0000245A"/>
    <w:rsid w:val="0000694A"/>
    <w:rsid w:val="0000698F"/>
    <w:rsid w:val="00007330"/>
    <w:rsid w:val="000073EB"/>
    <w:rsid w:val="0001294D"/>
    <w:rsid w:val="000154BD"/>
    <w:rsid w:val="00016309"/>
    <w:rsid w:val="000175C2"/>
    <w:rsid w:val="00017A37"/>
    <w:rsid w:val="0002079D"/>
    <w:rsid w:val="000226F8"/>
    <w:rsid w:val="00023770"/>
    <w:rsid w:val="0002680F"/>
    <w:rsid w:val="00026B11"/>
    <w:rsid w:val="00026C38"/>
    <w:rsid w:val="00027F50"/>
    <w:rsid w:val="000362DC"/>
    <w:rsid w:val="000373EB"/>
    <w:rsid w:val="0004006E"/>
    <w:rsid w:val="00041039"/>
    <w:rsid w:val="00047F24"/>
    <w:rsid w:val="00050730"/>
    <w:rsid w:val="0005321A"/>
    <w:rsid w:val="000566D3"/>
    <w:rsid w:val="0005738A"/>
    <w:rsid w:val="0006029E"/>
    <w:rsid w:val="0006218C"/>
    <w:rsid w:val="000626CF"/>
    <w:rsid w:val="00064632"/>
    <w:rsid w:val="00064DA0"/>
    <w:rsid w:val="00066912"/>
    <w:rsid w:val="00067C1B"/>
    <w:rsid w:val="0007135B"/>
    <w:rsid w:val="00071F65"/>
    <w:rsid w:val="00072D2F"/>
    <w:rsid w:val="0007334C"/>
    <w:rsid w:val="00075FDE"/>
    <w:rsid w:val="000774EA"/>
    <w:rsid w:val="00081B20"/>
    <w:rsid w:val="00087C9F"/>
    <w:rsid w:val="00091261"/>
    <w:rsid w:val="00092281"/>
    <w:rsid w:val="00094592"/>
    <w:rsid w:val="000945B3"/>
    <w:rsid w:val="000954C6"/>
    <w:rsid w:val="0009631B"/>
    <w:rsid w:val="000970CF"/>
    <w:rsid w:val="000A0AE6"/>
    <w:rsid w:val="000A2C54"/>
    <w:rsid w:val="000A38B7"/>
    <w:rsid w:val="000B343F"/>
    <w:rsid w:val="000C08BB"/>
    <w:rsid w:val="000C164A"/>
    <w:rsid w:val="000C5651"/>
    <w:rsid w:val="000C61A0"/>
    <w:rsid w:val="000C73A0"/>
    <w:rsid w:val="000D4C0B"/>
    <w:rsid w:val="000D5AE2"/>
    <w:rsid w:val="000D673C"/>
    <w:rsid w:val="000D679D"/>
    <w:rsid w:val="000D7CAE"/>
    <w:rsid w:val="000E0C51"/>
    <w:rsid w:val="000E22CB"/>
    <w:rsid w:val="000E4CC1"/>
    <w:rsid w:val="000F0CF8"/>
    <w:rsid w:val="000F4363"/>
    <w:rsid w:val="000F7306"/>
    <w:rsid w:val="0010350B"/>
    <w:rsid w:val="00106074"/>
    <w:rsid w:val="00111DDE"/>
    <w:rsid w:val="001134AF"/>
    <w:rsid w:val="001155CC"/>
    <w:rsid w:val="00117AF2"/>
    <w:rsid w:val="00126CF7"/>
    <w:rsid w:val="00130779"/>
    <w:rsid w:val="00131317"/>
    <w:rsid w:val="00132C32"/>
    <w:rsid w:val="001349D7"/>
    <w:rsid w:val="001362AA"/>
    <w:rsid w:val="0013737C"/>
    <w:rsid w:val="00141F5E"/>
    <w:rsid w:val="00142281"/>
    <w:rsid w:val="00143FED"/>
    <w:rsid w:val="00146242"/>
    <w:rsid w:val="001464FC"/>
    <w:rsid w:val="001500DA"/>
    <w:rsid w:val="0015478F"/>
    <w:rsid w:val="00155CB6"/>
    <w:rsid w:val="0015687D"/>
    <w:rsid w:val="00156EB6"/>
    <w:rsid w:val="0016066F"/>
    <w:rsid w:val="00161ECC"/>
    <w:rsid w:val="0016524B"/>
    <w:rsid w:val="00165301"/>
    <w:rsid w:val="00170188"/>
    <w:rsid w:val="0017046C"/>
    <w:rsid w:val="00172156"/>
    <w:rsid w:val="00175C25"/>
    <w:rsid w:val="00176272"/>
    <w:rsid w:val="00176B2A"/>
    <w:rsid w:val="00176D09"/>
    <w:rsid w:val="001870AC"/>
    <w:rsid w:val="00190178"/>
    <w:rsid w:val="00190A79"/>
    <w:rsid w:val="0019167C"/>
    <w:rsid w:val="00192E44"/>
    <w:rsid w:val="00197376"/>
    <w:rsid w:val="001A044D"/>
    <w:rsid w:val="001A295C"/>
    <w:rsid w:val="001A79E3"/>
    <w:rsid w:val="001A7F55"/>
    <w:rsid w:val="001B01C6"/>
    <w:rsid w:val="001B162E"/>
    <w:rsid w:val="001B1D7F"/>
    <w:rsid w:val="001B4D9D"/>
    <w:rsid w:val="001B62C6"/>
    <w:rsid w:val="001B657F"/>
    <w:rsid w:val="001B7495"/>
    <w:rsid w:val="001C26C2"/>
    <w:rsid w:val="001C2D1E"/>
    <w:rsid w:val="001C75BC"/>
    <w:rsid w:val="001D0624"/>
    <w:rsid w:val="001D13E5"/>
    <w:rsid w:val="001D2A93"/>
    <w:rsid w:val="001D4551"/>
    <w:rsid w:val="001D72F6"/>
    <w:rsid w:val="001D7500"/>
    <w:rsid w:val="001E1FCC"/>
    <w:rsid w:val="001E4841"/>
    <w:rsid w:val="001F3FE7"/>
    <w:rsid w:val="001F4190"/>
    <w:rsid w:val="00200D52"/>
    <w:rsid w:val="00201E2D"/>
    <w:rsid w:val="00204FE9"/>
    <w:rsid w:val="00205C1B"/>
    <w:rsid w:val="00205E12"/>
    <w:rsid w:val="00207FB8"/>
    <w:rsid w:val="002129A3"/>
    <w:rsid w:val="0021355B"/>
    <w:rsid w:val="00213C83"/>
    <w:rsid w:val="0021468D"/>
    <w:rsid w:val="002168B9"/>
    <w:rsid w:val="00217484"/>
    <w:rsid w:val="00217F3E"/>
    <w:rsid w:val="0022215A"/>
    <w:rsid w:val="00222E79"/>
    <w:rsid w:val="00222F38"/>
    <w:rsid w:val="002241E0"/>
    <w:rsid w:val="00230328"/>
    <w:rsid w:val="00233B85"/>
    <w:rsid w:val="00234B55"/>
    <w:rsid w:val="0023552F"/>
    <w:rsid w:val="00235833"/>
    <w:rsid w:val="00236753"/>
    <w:rsid w:val="00237DB8"/>
    <w:rsid w:val="002413ED"/>
    <w:rsid w:val="002416F5"/>
    <w:rsid w:val="00244FD1"/>
    <w:rsid w:val="00247956"/>
    <w:rsid w:val="00253F13"/>
    <w:rsid w:val="00255609"/>
    <w:rsid w:val="00255C97"/>
    <w:rsid w:val="00256AE6"/>
    <w:rsid w:val="00260629"/>
    <w:rsid w:val="00261686"/>
    <w:rsid w:val="0026220E"/>
    <w:rsid w:val="0026365C"/>
    <w:rsid w:val="00263E6E"/>
    <w:rsid w:val="00264E8A"/>
    <w:rsid w:val="00265005"/>
    <w:rsid w:val="002660ED"/>
    <w:rsid w:val="00266853"/>
    <w:rsid w:val="0026686C"/>
    <w:rsid w:val="00267DCA"/>
    <w:rsid w:val="00270889"/>
    <w:rsid w:val="00272FDB"/>
    <w:rsid w:val="002731F5"/>
    <w:rsid w:val="002765DB"/>
    <w:rsid w:val="002777BB"/>
    <w:rsid w:val="002828CC"/>
    <w:rsid w:val="00284E1A"/>
    <w:rsid w:val="00285022"/>
    <w:rsid w:val="0028579C"/>
    <w:rsid w:val="002904AD"/>
    <w:rsid w:val="00291CCD"/>
    <w:rsid w:val="0029549D"/>
    <w:rsid w:val="002956AD"/>
    <w:rsid w:val="00295FC6"/>
    <w:rsid w:val="002A035B"/>
    <w:rsid w:val="002A064A"/>
    <w:rsid w:val="002A10C5"/>
    <w:rsid w:val="002A210F"/>
    <w:rsid w:val="002A670C"/>
    <w:rsid w:val="002A6FD2"/>
    <w:rsid w:val="002B0F8E"/>
    <w:rsid w:val="002B1D31"/>
    <w:rsid w:val="002B212F"/>
    <w:rsid w:val="002B33DC"/>
    <w:rsid w:val="002B6C74"/>
    <w:rsid w:val="002C029C"/>
    <w:rsid w:val="002C46B6"/>
    <w:rsid w:val="002D0D5D"/>
    <w:rsid w:val="002D148C"/>
    <w:rsid w:val="002D5660"/>
    <w:rsid w:val="002E1807"/>
    <w:rsid w:val="002E1846"/>
    <w:rsid w:val="002E1BE1"/>
    <w:rsid w:val="002E2038"/>
    <w:rsid w:val="002E4C2B"/>
    <w:rsid w:val="002E6946"/>
    <w:rsid w:val="002F0C45"/>
    <w:rsid w:val="002F2051"/>
    <w:rsid w:val="002F2BAD"/>
    <w:rsid w:val="002F732E"/>
    <w:rsid w:val="002F774B"/>
    <w:rsid w:val="003001E6"/>
    <w:rsid w:val="0030044C"/>
    <w:rsid w:val="00300785"/>
    <w:rsid w:val="00301916"/>
    <w:rsid w:val="00301C47"/>
    <w:rsid w:val="003035D6"/>
    <w:rsid w:val="00305710"/>
    <w:rsid w:val="00306EFB"/>
    <w:rsid w:val="003074AF"/>
    <w:rsid w:val="00310578"/>
    <w:rsid w:val="00310BB1"/>
    <w:rsid w:val="0031304D"/>
    <w:rsid w:val="00315428"/>
    <w:rsid w:val="003154FA"/>
    <w:rsid w:val="00316004"/>
    <w:rsid w:val="003175E2"/>
    <w:rsid w:val="00317DEA"/>
    <w:rsid w:val="00317E96"/>
    <w:rsid w:val="00322378"/>
    <w:rsid w:val="003224DC"/>
    <w:rsid w:val="00322C22"/>
    <w:rsid w:val="00325DCC"/>
    <w:rsid w:val="003263CA"/>
    <w:rsid w:val="003269D3"/>
    <w:rsid w:val="00326E2B"/>
    <w:rsid w:val="0033150D"/>
    <w:rsid w:val="00332058"/>
    <w:rsid w:val="00336D40"/>
    <w:rsid w:val="00337BEB"/>
    <w:rsid w:val="003415D2"/>
    <w:rsid w:val="00345347"/>
    <w:rsid w:val="00346D6A"/>
    <w:rsid w:val="00347BB3"/>
    <w:rsid w:val="00347F36"/>
    <w:rsid w:val="00350583"/>
    <w:rsid w:val="003514A7"/>
    <w:rsid w:val="00352166"/>
    <w:rsid w:val="00354692"/>
    <w:rsid w:val="00355427"/>
    <w:rsid w:val="00360048"/>
    <w:rsid w:val="0036087C"/>
    <w:rsid w:val="00360923"/>
    <w:rsid w:val="00361DE5"/>
    <w:rsid w:val="00362F46"/>
    <w:rsid w:val="003658B1"/>
    <w:rsid w:val="0036594F"/>
    <w:rsid w:val="00371505"/>
    <w:rsid w:val="00371AB5"/>
    <w:rsid w:val="00371B93"/>
    <w:rsid w:val="00371F66"/>
    <w:rsid w:val="003734B2"/>
    <w:rsid w:val="00374589"/>
    <w:rsid w:val="003762FE"/>
    <w:rsid w:val="00380475"/>
    <w:rsid w:val="00380EE4"/>
    <w:rsid w:val="003815EF"/>
    <w:rsid w:val="00382936"/>
    <w:rsid w:val="003839F2"/>
    <w:rsid w:val="00384CB5"/>
    <w:rsid w:val="0038503E"/>
    <w:rsid w:val="00385938"/>
    <w:rsid w:val="0039281D"/>
    <w:rsid w:val="00392B42"/>
    <w:rsid w:val="003937DB"/>
    <w:rsid w:val="0039466B"/>
    <w:rsid w:val="003952FE"/>
    <w:rsid w:val="00395582"/>
    <w:rsid w:val="00396764"/>
    <w:rsid w:val="00397128"/>
    <w:rsid w:val="003A2FC3"/>
    <w:rsid w:val="003A34DE"/>
    <w:rsid w:val="003A3C76"/>
    <w:rsid w:val="003A3C7C"/>
    <w:rsid w:val="003A4800"/>
    <w:rsid w:val="003A4EE5"/>
    <w:rsid w:val="003A62E0"/>
    <w:rsid w:val="003A76D6"/>
    <w:rsid w:val="003A7E5E"/>
    <w:rsid w:val="003B0CC7"/>
    <w:rsid w:val="003B18FF"/>
    <w:rsid w:val="003B275E"/>
    <w:rsid w:val="003B573D"/>
    <w:rsid w:val="003B5D79"/>
    <w:rsid w:val="003B63B5"/>
    <w:rsid w:val="003B64A7"/>
    <w:rsid w:val="003B66A5"/>
    <w:rsid w:val="003B722A"/>
    <w:rsid w:val="003C07DD"/>
    <w:rsid w:val="003C0A89"/>
    <w:rsid w:val="003C294D"/>
    <w:rsid w:val="003C46EC"/>
    <w:rsid w:val="003C5F79"/>
    <w:rsid w:val="003C7E16"/>
    <w:rsid w:val="003D4814"/>
    <w:rsid w:val="003D51BB"/>
    <w:rsid w:val="003D5DEA"/>
    <w:rsid w:val="003D6A72"/>
    <w:rsid w:val="003D7DD4"/>
    <w:rsid w:val="003E1E08"/>
    <w:rsid w:val="003E39E3"/>
    <w:rsid w:val="003E7FE4"/>
    <w:rsid w:val="003F0426"/>
    <w:rsid w:val="003F06B5"/>
    <w:rsid w:val="003F0F4E"/>
    <w:rsid w:val="003F22DE"/>
    <w:rsid w:val="003F5332"/>
    <w:rsid w:val="003F6DC9"/>
    <w:rsid w:val="0040389E"/>
    <w:rsid w:val="004131A3"/>
    <w:rsid w:val="0041538B"/>
    <w:rsid w:val="00417B00"/>
    <w:rsid w:val="004211FF"/>
    <w:rsid w:val="004271AF"/>
    <w:rsid w:val="00430ED9"/>
    <w:rsid w:val="00437D76"/>
    <w:rsid w:val="004450CD"/>
    <w:rsid w:val="004464E6"/>
    <w:rsid w:val="004467BA"/>
    <w:rsid w:val="004521CC"/>
    <w:rsid w:val="00453B7B"/>
    <w:rsid w:val="00455983"/>
    <w:rsid w:val="0045646A"/>
    <w:rsid w:val="0045660B"/>
    <w:rsid w:val="00457221"/>
    <w:rsid w:val="00460C0D"/>
    <w:rsid w:val="00462B3C"/>
    <w:rsid w:val="00467354"/>
    <w:rsid w:val="00467B1A"/>
    <w:rsid w:val="0047262A"/>
    <w:rsid w:val="004822F2"/>
    <w:rsid w:val="00483B62"/>
    <w:rsid w:val="00485586"/>
    <w:rsid w:val="00485D7A"/>
    <w:rsid w:val="00486516"/>
    <w:rsid w:val="0048750C"/>
    <w:rsid w:val="004917E2"/>
    <w:rsid w:val="00492B34"/>
    <w:rsid w:val="00496C38"/>
    <w:rsid w:val="004971BE"/>
    <w:rsid w:val="004B2823"/>
    <w:rsid w:val="004B2D12"/>
    <w:rsid w:val="004B34BF"/>
    <w:rsid w:val="004B545D"/>
    <w:rsid w:val="004B71C6"/>
    <w:rsid w:val="004B73E0"/>
    <w:rsid w:val="004C0BD5"/>
    <w:rsid w:val="004C4D1E"/>
    <w:rsid w:val="004C6E92"/>
    <w:rsid w:val="004D11C8"/>
    <w:rsid w:val="004D2917"/>
    <w:rsid w:val="004D32E3"/>
    <w:rsid w:val="004E06B5"/>
    <w:rsid w:val="004E3138"/>
    <w:rsid w:val="004E380F"/>
    <w:rsid w:val="004E392F"/>
    <w:rsid w:val="004E5D60"/>
    <w:rsid w:val="004F18C1"/>
    <w:rsid w:val="004F2E01"/>
    <w:rsid w:val="004F32B0"/>
    <w:rsid w:val="004F64BB"/>
    <w:rsid w:val="004F7182"/>
    <w:rsid w:val="00503E2A"/>
    <w:rsid w:val="0050614F"/>
    <w:rsid w:val="00513A45"/>
    <w:rsid w:val="00515C58"/>
    <w:rsid w:val="00517887"/>
    <w:rsid w:val="005205A8"/>
    <w:rsid w:val="005219E6"/>
    <w:rsid w:val="00523B9B"/>
    <w:rsid w:val="0053128F"/>
    <w:rsid w:val="00532EB9"/>
    <w:rsid w:val="00533FF2"/>
    <w:rsid w:val="00536359"/>
    <w:rsid w:val="005364D2"/>
    <w:rsid w:val="00541627"/>
    <w:rsid w:val="00541868"/>
    <w:rsid w:val="00542930"/>
    <w:rsid w:val="00543E6E"/>
    <w:rsid w:val="0054543D"/>
    <w:rsid w:val="00545E53"/>
    <w:rsid w:val="00546654"/>
    <w:rsid w:val="0054682C"/>
    <w:rsid w:val="00551CF1"/>
    <w:rsid w:val="00552480"/>
    <w:rsid w:val="00554163"/>
    <w:rsid w:val="00554BF7"/>
    <w:rsid w:val="005616DA"/>
    <w:rsid w:val="005644CF"/>
    <w:rsid w:val="005652F8"/>
    <w:rsid w:val="005665B7"/>
    <w:rsid w:val="00574049"/>
    <w:rsid w:val="00574492"/>
    <w:rsid w:val="00574E91"/>
    <w:rsid w:val="00580150"/>
    <w:rsid w:val="005803C1"/>
    <w:rsid w:val="00580B7D"/>
    <w:rsid w:val="00582281"/>
    <w:rsid w:val="00583A0C"/>
    <w:rsid w:val="00583BD5"/>
    <w:rsid w:val="00587CC4"/>
    <w:rsid w:val="0059008A"/>
    <w:rsid w:val="0059489E"/>
    <w:rsid w:val="00595A6B"/>
    <w:rsid w:val="005A07CF"/>
    <w:rsid w:val="005A0943"/>
    <w:rsid w:val="005A1ECA"/>
    <w:rsid w:val="005A47D6"/>
    <w:rsid w:val="005A7279"/>
    <w:rsid w:val="005B2566"/>
    <w:rsid w:val="005B6925"/>
    <w:rsid w:val="005C0E6F"/>
    <w:rsid w:val="005C150D"/>
    <w:rsid w:val="005C271D"/>
    <w:rsid w:val="005C2CC9"/>
    <w:rsid w:val="005C3AB0"/>
    <w:rsid w:val="005C6ED5"/>
    <w:rsid w:val="005D0E30"/>
    <w:rsid w:val="005D25A4"/>
    <w:rsid w:val="005D31FF"/>
    <w:rsid w:val="005D34B2"/>
    <w:rsid w:val="005D4F84"/>
    <w:rsid w:val="005D613C"/>
    <w:rsid w:val="005D7FE6"/>
    <w:rsid w:val="005E0FCB"/>
    <w:rsid w:val="005E1017"/>
    <w:rsid w:val="005E1FE9"/>
    <w:rsid w:val="005E2647"/>
    <w:rsid w:val="005E28A5"/>
    <w:rsid w:val="005E2D3C"/>
    <w:rsid w:val="005E41A8"/>
    <w:rsid w:val="005E5414"/>
    <w:rsid w:val="005E6574"/>
    <w:rsid w:val="005F0965"/>
    <w:rsid w:val="005F31F3"/>
    <w:rsid w:val="005F594F"/>
    <w:rsid w:val="005F7103"/>
    <w:rsid w:val="005F714D"/>
    <w:rsid w:val="006000DA"/>
    <w:rsid w:val="00600834"/>
    <w:rsid w:val="006067E7"/>
    <w:rsid w:val="0060755F"/>
    <w:rsid w:val="006102C3"/>
    <w:rsid w:val="006129F4"/>
    <w:rsid w:val="006208A4"/>
    <w:rsid w:val="00622796"/>
    <w:rsid w:val="00624234"/>
    <w:rsid w:val="00624A8B"/>
    <w:rsid w:val="00627C56"/>
    <w:rsid w:val="00627F17"/>
    <w:rsid w:val="00631B22"/>
    <w:rsid w:val="00637BA7"/>
    <w:rsid w:val="00642481"/>
    <w:rsid w:val="00642BB5"/>
    <w:rsid w:val="00643B7B"/>
    <w:rsid w:val="00645A25"/>
    <w:rsid w:val="00645FAD"/>
    <w:rsid w:val="00647D9C"/>
    <w:rsid w:val="0065423B"/>
    <w:rsid w:val="00660932"/>
    <w:rsid w:val="00663EAA"/>
    <w:rsid w:val="00665099"/>
    <w:rsid w:val="0066556B"/>
    <w:rsid w:val="006674D2"/>
    <w:rsid w:val="00670A6C"/>
    <w:rsid w:val="006720E8"/>
    <w:rsid w:val="00680022"/>
    <w:rsid w:val="006816E5"/>
    <w:rsid w:val="00682CC8"/>
    <w:rsid w:val="00684603"/>
    <w:rsid w:val="00684D2E"/>
    <w:rsid w:val="00691578"/>
    <w:rsid w:val="0069184A"/>
    <w:rsid w:val="0069746B"/>
    <w:rsid w:val="006A04DB"/>
    <w:rsid w:val="006A08C3"/>
    <w:rsid w:val="006A1C5E"/>
    <w:rsid w:val="006A7D80"/>
    <w:rsid w:val="006B05BF"/>
    <w:rsid w:val="006B2D3B"/>
    <w:rsid w:val="006B682B"/>
    <w:rsid w:val="006C3ED9"/>
    <w:rsid w:val="006C445C"/>
    <w:rsid w:val="006C5636"/>
    <w:rsid w:val="006C694E"/>
    <w:rsid w:val="006C7076"/>
    <w:rsid w:val="006C731A"/>
    <w:rsid w:val="006D1FDD"/>
    <w:rsid w:val="006D2078"/>
    <w:rsid w:val="006D26D2"/>
    <w:rsid w:val="006D4DE8"/>
    <w:rsid w:val="006D4ECC"/>
    <w:rsid w:val="006E0319"/>
    <w:rsid w:val="006E1340"/>
    <w:rsid w:val="006E2066"/>
    <w:rsid w:val="006E3764"/>
    <w:rsid w:val="006E55C1"/>
    <w:rsid w:val="006E6BEB"/>
    <w:rsid w:val="006F0849"/>
    <w:rsid w:val="006F2923"/>
    <w:rsid w:val="006F4553"/>
    <w:rsid w:val="006F51E8"/>
    <w:rsid w:val="00700FF8"/>
    <w:rsid w:val="007016E5"/>
    <w:rsid w:val="007018B0"/>
    <w:rsid w:val="00701957"/>
    <w:rsid w:val="007028FC"/>
    <w:rsid w:val="0070325D"/>
    <w:rsid w:val="00703EAB"/>
    <w:rsid w:val="007042CA"/>
    <w:rsid w:val="00705713"/>
    <w:rsid w:val="00707331"/>
    <w:rsid w:val="00711480"/>
    <w:rsid w:val="0071616C"/>
    <w:rsid w:val="007163C9"/>
    <w:rsid w:val="007174C9"/>
    <w:rsid w:val="0072006B"/>
    <w:rsid w:val="007200C5"/>
    <w:rsid w:val="00721DBB"/>
    <w:rsid w:val="00723F3A"/>
    <w:rsid w:val="00724B7D"/>
    <w:rsid w:val="00727875"/>
    <w:rsid w:val="00730F67"/>
    <w:rsid w:val="00731055"/>
    <w:rsid w:val="00731596"/>
    <w:rsid w:val="0073224B"/>
    <w:rsid w:val="007335BA"/>
    <w:rsid w:val="00733648"/>
    <w:rsid w:val="00734D17"/>
    <w:rsid w:val="007362F2"/>
    <w:rsid w:val="00737C06"/>
    <w:rsid w:val="00737FD5"/>
    <w:rsid w:val="00742AEB"/>
    <w:rsid w:val="00742D95"/>
    <w:rsid w:val="00751953"/>
    <w:rsid w:val="0075283E"/>
    <w:rsid w:val="00752F4B"/>
    <w:rsid w:val="007533D6"/>
    <w:rsid w:val="007565F0"/>
    <w:rsid w:val="00763503"/>
    <w:rsid w:val="0076542A"/>
    <w:rsid w:val="0076578B"/>
    <w:rsid w:val="00770B03"/>
    <w:rsid w:val="00774161"/>
    <w:rsid w:val="0077562B"/>
    <w:rsid w:val="0078005A"/>
    <w:rsid w:val="00780C9B"/>
    <w:rsid w:val="00781D22"/>
    <w:rsid w:val="007825D5"/>
    <w:rsid w:val="0078441D"/>
    <w:rsid w:val="0078691C"/>
    <w:rsid w:val="00791CA3"/>
    <w:rsid w:val="00793EE9"/>
    <w:rsid w:val="00794A26"/>
    <w:rsid w:val="007960A3"/>
    <w:rsid w:val="00796722"/>
    <w:rsid w:val="00797541"/>
    <w:rsid w:val="007A0489"/>
    <w:rsid w:val="007A0DBC"/>
    <w:rsid w:val="007A1A49"/>
    <w:rsid w:val="007A43AF"/>
    <w:rsid w:val="007A557C"/>
    <w:rsid w:val="007B0FAC"/>
    <w:rsid w:val="007B4F85"/>
    <w:rsid w:val="007B75AE"/>
    <w:rsid w:val="007C2D3E"/>
    <w:rsid w:val="007C734B"/>
    <w:rsid w:val="007C7BF0"/>
    <w:rsid w:val="007D0646"/>
    <w:rsid w:val="007D3BBE"/>
    <w:rsid w:val="007D477A"/>
    <w:rsid w:val="007D5F6F"/>
    <w:rsid w:val="007D71E9"/>
    <w:rsid w:val="007E17D2"/>
    <w:rsid w:val="007E1875"/>
    <w:rsid w:val="007E2755"/>
    <w:rsid w:val="007E2852"/>
    <w:rsid w:val="007E43CC"/>
    <w:rsid w:val="007F1232"/>
    <w:rsid w:val="007F1241"/>
    <w:rsid w:val="007F247C"/>
    <w:rsid w:val="007F25EB"/>
    <w:rsid w:val="007F329E"/>
    <w:rsid w:val="007F33F5"/>
    <w:rsid w:val="007F5A34"/>
    <w:rsid w:val="007F6059"/>
    <w:rsid w:val="007F7100"/>
    <w:rsid w:val="0080068A"/>
    <w:rsid w:val="00803384"/>
    <w:rsid w:val="0080571C"/>
    <w:rsid w:val="00805DAB"/>
    <w:rsid w:val="008124D5"/>
    <w:rsid w:val="008138CC"/>
    <w:rsid w:val="0081393D"/>
    <w:rsid w:val="00813ABF"/>
    <w:rsid w:val="00814644"/>
    <w:rsid w:val="00814F7E"/>
    <w:rsid w:val="00823CB2"/>
    <w:rsid w:val="00824035"/>
    <w:rsid w:val="00825166"/>
    <w:rsid w:val="00825686"/>
    <w:rsid w:val="00826AB3"/>
    <w:rsid w:val="00826B65"/>
    <w:rsid w:val="008305DE"/>
    <w:rsid w:val="00837D3C"/>
    <w:rsid w:val="008427F7"/>
    <w:rsid w:val="00843F15"/>
    <w:rsid w:val="00845D7A"/>
    <w:rsid w:val="008502CA"/>
    <w:rsid w:val="00851006"/>
    <w:rsid w:val="00854BCD"/>
    <w:rsid w:val="00855B66"/>
    <w:rsid w:val="00855B86"/>
    <w:rsid w:val="008579CC"/>
    <w:rsid w:val="008602EA"/>
    <w:rsid w:val="00860AB0"/>
    <w:rsid w:val="0086408E"/>
    <w:rsid w:val="00870CFA"/>
    <w:rsid w:val="00871F22"/>
    <w:rsid w:val="00874367"/>
    <w:rsid w:val="00876609"/>
    <w:rsid w:val="00876A95"/>
    <w:rsid w:val="00880BEA"/>
    <w:rsid w:val="00883837"/>
    <w:rsid w:val="00884286"/>
    <w:rsid w:val="00886251"/>
    <w:rsid w:val="00890BDD"/>
    <w:rsid w:val="00894510"/>
    <w:rsid w:val="008A3A69"/>
    <w:rsid w:val="008A4D03"/>
    <w:rsid w:val="008A5956"/>
    <w:rsid w:val="008A6FD1"/>
    <w:rsid w:val="008A7E4B"/>
    <w:rsid w:val="008B23EB"/>
    <w:rsid w:val="008B58DF"/>
    <w:rsid w:val="008B71E7"/>
    <w:rsid w:val="008C2DC7"/>
    <w:rsid w:val="008C4485"/>
    <w:rsid w:val="008C4A1D"/>
    <w:rsid w:val="008C5B16"/>
    <w:rsid w:val="008C5D4B"/>
    <w:rsid w:val="008D08D0"/>
    <w:rsid w:val="008D2350"/>
    <w:rsid w:val="008D235E"/>
    <w:rsid w:val="008D275D"/>
    <w:rsid w:val="008D4561"/>
    <w:rsid w:val="008D4BBA"/>
    <w:rsid w:val="008D732D"/>
    <w:rsid w:val="008E000F"/>
    <w:rsid w:val="008E1276"/>
    <w:rsid w:val="008E14C7"/>
    <w:rsid w:val="008E1BF3"/>
    <w:rsid w:val="008E5959"/>
    <w:rsid w:val="008E5CDF"/>
    <w:rsid w:val="008F015F"/>
    <w:rsid w:val="008F60A9"/>
    <w:rsid w:val="008F7423"/>
    <w:rsid w:val="00902EA4"/>
    <w:rsid w:val="00903272"/>
    <w:rsid w:val="00905881"/>
    <w:rsid w:val="009064A9"/>
    <w:rsid w:val="00910128"/>
    <w:rsid w:val="0091647E"/>
    <w:rsid w:val="009204AA"/>
    <w:rsid w:val="00920FBA"/>
    <w:rsid w:val="00921480"/>
    <w:rsid w:val="00922CC6"/>
    <w:rsid w:val="00923C00"/>
    <w:rsid w:val="0092516F"/>
    <w:rsid w:val="00925D3F"/>
    <w:rsid w:val="0092701B"/>
    <w:rsid w:val="00927BB6"/>
    <w:rsid w:val="00930D73"/>
    <w:rsid w:val="009311CE"/>
    <w:rsid w:val="00931970"/>
    <w:rsid w:val="00931FA0"/>
    <w:rsid w:val="00933FFC"/>
    <w:rsid w:val="009340E3"/>
    <w:rsid w:val="00935A81"/>
    <w:rsid w:val="00940EFA"/>
    <w:rsid w:val="00943B15"/>
    <w:rsid w:val="00951ECB"/>
    <w:rsid w:val="00953F8E"/>
    <w:rsid w:val="0095443D"/>
    <w:rsid w:val="009550EE"/>
    <w:rsid w:val="00955647"/>
    <w:rsid w:val="00955AF1"/>
    <w:rsid w:val="00955ED4"/>
    <w:rsid w:val="00956BBB"/>
    <w:rsid w:val="0095741A"/>
    <w:rsid w:val="0096286A"/>
    <w:rsid w:val="00963DDC"/>
    <w:rsid w:val="009643F8"/>
    <w:rsid w:val="00964459"/>
    <w:rsid w:val="00964638"/>
    <w:rsid w:val="00965493"/>
    <w:rsid w:val="00966792"/>
    <w:rsid w:val="00966AAB"/>
    <w:rsid w:val="009713E7"/>
    <w:rsid w:val="00971856"/>
    <w:rsid w:val="00971D48"/>
    <w:rsid w:val="009725E4"/>
    <w:rsid w:val="00973202"/>
    <w:rsid w:val="0097459B"/>
    <w:rsid w:val="00974E30"/>
    <w:rsid w:val="009830FA"/>
    <w:rsid w:val="0098377A"/>
    <w:rsid w:val="009838F7"/>
    <w:rsid w:val="00985010"/>
    <w:rsid w:val="0098723E"/>
    <w:rsid w:val="009900C2"/>
    <w:rsid w:val="0099014E"/>
    <w:rsid w:val="009914DC"/>
    <w:rsid w:val="00991A87"/>
    <w:rsid w:val="00991CCC"/>
    <w:rsid w:val="00992B8D"/>
    <w:rsid w:val="00996E15"/>
    <w:rsid w:val="0099773E"/>
    <w:rsid w:val="00997946"/>
    <w:rsid w:val="009A39CB"/>
    <w:rsid w:val="009A3E8D"/>
    <w:rsid w:val="009A6942"/>
    <w:rsid w:val="009B3D15"/>
    <w:rsid w:val="009B4E9E"/>
    <w:rsid w:val="009B5C8C"/>
    <w:rsid w:val="009C3967"/>
    <w:rsid w:val="009C4415"/>
    <w:rsid w:val="009C49C2"/>
    <w:rsid w:val="009C6C0F"/>
    <w:rsid w:val="009C71EC"/>
    <w:rsid w:val="009C7462"/>
    <w:rsid w:val="009C7D30"/>
    <w:rsid w:val="009D059C"/>
    <w:rsid w:val="009D2146"/>
    <w:rsid w:val="009D3274"/>
    <w:rsid w:val="009D41CA"/>
    <w:rsid w:val="009D444B"/>
    <w:rsid w:val="009D63E1"/>
    <w:rsid w:val="009D6AF1"/>
    <w:rsid w:val="009E09A8"/>
    <w:rsid w:val="009E4A40"/>
    <w:rsid w:val="009E56A2"/>
    <w:rsid w:val="009E59EA"/>
    <w:rsid w:val="009F04F8"/>
    <w:rsid w:val="009F246E"/>
    <w:rsid w:val="009F361F"/>
    <w:rsid w:val="009F5CBD"/>
    <w:rsid w:val="009F5FD6"/>
    <w:rsid w:val="009F7298"/>
    <w:rsid w:val="009F7884"/>
    <w:rsid w:val="00A0007D"/>
    <w:rsid w:val="00A00A77"/>
    <w:rsid w:val="00A012BF"/>
    <w:rsid w:val="00A01A5B"/>
    <w:rsid w:val="00A01C88"/>
    <w:rsid w:val="00A01CF2"/>
    <w:rsid w:val="00A02FA9"/>
    <w:rsid w:val="00A05EA5"/>
    <w:rsid w:val="00A07A11"/>
    <w:rsid w:val="00A12609"/>
    <w:rsid w:val="00A133F8"/>
    <w:rsid w:val="00A16252"/>
    <w:rsid w:val="00A16860"/>
    <w:rsid w:val="00A16BF8"/>
    <w:rsid w:val="00A177A5"/>
    <w:rsid w:val="00A2610D"/>
    <w:rsid w:val="00A26824"/>
    <w:rsid w:val="00A26C67"/>
    <w:rsid w:val="00A27941"/>
    <w:rsid w:val="00A31E5C"/>
    <w:rsid w:val="00A349F6"/>
    <w:rsid w:val="00A37B16"/>
    <w:rsid w:val="00A37DFF"/>
    <w:rsid w:val="00A37EB1"/>
    <w:rsid w:val="00A41DB5"/>
    <w:rsid w:val="00A44EFD"/>
    <w:rsid w:val="00A45EEA"/>
    <w:rsid w:val="00A47282"/>
    <w:rsid w:val="00A50508"/>
    <w:rsid w:val="00A50BA4"/>
    <w:rsid w:val="00A51BF7"/>
    <w:rsid w:val="00A5266A"/>
    <w:rsid w:val="00A5393E"/>
    <w:rsid w:val="00A54529"/>
    <w:rsid w:val="00A54DBA"/>
    <w:rsid w:val="00A56E54"/>
    <w:rsid w:val="00A70CEF"/>
    <w:rsid w:val="00A7518F"/>
    <w:rsid w:val="00A7585D"/>
    <w:rsid w:val="00A76491"/>
    <w:rsid w:val="00A80A04"/>
    <w:rsid w:val="00A85F22"/>
    <w:rsid w:val="00A903C4"/>
    <w:rsid w:val="00A90DAB"/>
    <w:rsid w:val="00A9130A"/>
    <w:rsid w:val="00A92821"/>
    <w:rsid w:val="00A94F0A"/>
    <w:rsid w:val="00AA0E46"/>
    <w:rsid w:val="00AA3985"/>
    <w:rsid w:val="00AA4994"/>
    <w:rsid w:val="00AA7936"/>
    <w:rsid w:val="00AB026D"/>
    <w:rsid w:val="00AB05B0"/>
    <w:rsid w:val="00AB12E4"/>
    <w:rsid w:val="00AB192D"/>
    <w:rsid w:val="00AB1EC4"/>
    <w:rsid w:val="00AB5530"/>
    <w:rsid w:val="00AB7303"/>
    <w:rsid w:val="00AB760A"/>
    <w:rsid w:val="00AC010A"/>
    <w:rsid w:val="00AC0B6F"/>
    <w:rsid w:val="00AC2170"/>
    <w:rsid w:val="00AC3698"/>
    <w:rsid w:val="00AC4BCE"/>
    <w:rsid w:val="00AC4BF4"/>
    <w:rsid w:val="00AC4E53"/>
    <w:rsid w:val="00AC6210"/>
    <w:rsid w:val="00AC6A18"/>
    <w:rsid w:val="00AC7C3B"/>
    <w:rsid w:val="00AD2324"/>
    <w:rsid w:val="00AD2919"/>
    <w:rsid w:val="00AD2A61"/>
    <w:rsid w:val="00AD35C9"/>
    <w:rsid w:val="00AE255F"/>
    <w:rsid w:val="00AE60B8"/>
    <w:rsid w:val="00AE7F37"/>
    <w:rsid w:val="00AF0E4D"/>
    <w:rsid w:val="00AF237E"/>
    <w:rsid w:val="00AF2F43"/>
    <w:rsid w:val="00AF3284"/>
    <w:rsid w:val="00AF41B0"/>
    <w:rsid w:val="00AF41ED"/>
    <w:rsid w:val="00AF4BC5"/>
    <w:rsid w:val="00AF4FC1"/>
    <w:rsid w:val="00B0172B"/>
    <w:rsid w:val="00B0294D"/>
    <w:rsid w:val="00B02BDD"/>
    <w:rsid w:val="00B04257"/>
    <w:rsid w:val="00B04905"/>
    <w:rsid w:val="00B07A3F"/>
    <w:rsid w:val="00B07BAC"/>
    <w:rsid w:val="00B11AF3"/>
    <w:rsid w:val="00B14ECD"/>
    <w:rsid w:val="00B15286"/>
    <w:rsid w:val="00B1727D"/>
    <w:rsid w:val="00B20ADE"/>
    <w:rsid w:val="00B235A4"/>
    <w:rsid w:val="00B25D56"/>
    <w:rsid w:val="00B26106"/>
    <w:rsid w:val="00B267C8"/>
    <w:rsid w:val="00B26A81"/>
    <w:rsid w:val="00B31FF9"/>
    <w:rsid w:val="00B34136"/>
    <w:rsid w:val="00B37E5E"/>
    <w:rsid w:val="00B40FA4"/>
    <w:rsid w:val="00B418E9"/>
    <w:rsid w:val="00B4340F"/>
    <w:rsid w:val="00B4594C"/>
    <w:rsid w:val="00B4741D"/>
    <w:rsid w:val="00B47712"/>
    <w:rsid w:val="00B51FE1"/>
    <w:rsid w:val="00B522FB"/>
    <w:rsid w:val="00B5620D"/>
    <w:rsid w:val="00B57023"/>
    <w:rsid w:val="00B606D7"/>
    <w:rsid w:val="00B606F8"/>
    <w:rsid w:val="00B61A53"/>
    <w:rsid w:val="00B654A7"/>
    <w:rsid w:val="00B658AB"/>
    <w:rsid w:val="00B662BC"/>
    <w:rsid w:val="00B70AEC"/>
    <w:rsid w:val="00B7206D"/>
    <w:rsid w:val="00B73B7A"/>
    <w:rsid w:val="00B73C98"/>
    <w:rsid w:val="00B73D0F"/>
    <w:rsid w:val="00B74F13"/>
    <w:rsid w:val="00B77758"/>
    <w:rsid w:val="00B8015B"/>
    <w:rsid w:val="00B81E3A"/>
    <w:rsid w:val="00B83D18"/>
    <w:rsid w:val="00B84A0B"/>
    <w:rsid w:val="00B85395"/>
    <w:rsid w:val="00B85F15"/>
    <w:rsid w:val="00B90554"/>
    <w:rsid w:val="00B91A7C"/>
    <w:rsid w:val="00B930AE"/>
    <w:rsid w:val="00B93739"/>
    <w:rsid w:val="00B93BA7"/>
    <w:rsid w:val="00B95492"/>
    <w:rsid w:val="00B974A7"/>
    <w:rsid w:val="00B9791A"/>
    <w:rsid w:val="00BA0832"/>
    <w:rsid w:val="00BA0AA1"/>
    <w:rsid w:val="00BA1B43"/>
    <w:rsid w:val="00BA1D63"/>
    <w:rsid w:val="00BA483C"/>
    <w:rsid w:val="00BA4A0D"/>
    <w:rsid w:val="00BB0E8B"/>
    <w:rsid w:val="00BB223B"/>
    <w:rsid w:val="00BB23BF"/>
    <w:rsid w:val="00BB6062"/>
    <w:rsid w:val="00BB783C"/>
    <w:rsid w:val="00BB79F0"/>
    <w:rsid w:val="00BC43D5"/>
    <w:rsid w:val="00BC5ACA"/>
    <w:rsid w:val="00BC5BF6"/>
    <w:rsid w:val="00BC5F7C"/>
    <w:rsid w:val="00BC774D"/>
    <w:rsid w:val="00BD027F"/>
    <w:rsid w:val="00BD2F43"/>
    <w:rsid w:val="00BD3503"/>
    <w:rsid w:val="00BD598A"/>
    <w:rsid w:val="00BD6F01"/>
    <w:rsid w:val="00BE01B9"/>
    <w:rsid w:val="00BE1AFE"/>
    <w:rsid w:val="00BE6AE4"/>
    <w:rsid w:val="00BE7884"/>
    <w:rsid w:val="00BF0A14"/>
    <w:rsid w:val="00BF1F44"/>
    <w:rsid w:val="00BF2A45"/>
    <w:rsid w:val="00BF3364"/>
    <w:rsid w:val="00BF3A11"/>
    <w:rsid w:val="00BF3D5C"/>
    <w:rsid w:val="00BF3FA7"/>
    <w:rsid w:val="00BF43D3"/>
    <w:rsid w:val="00BF6813"/>
    <w:rsid w:val="00C000E9"/>
    <w:rsid w:val="00C00367"/>
    <w:rsid w:val="00C02CA0"/>
    <w:rsid w:val="00C02CD4"/>
    <w:rsid w:val="00C05067"/>
    <w:rsid w:val="00C0651A"/>
    <w:rsid w:val="00C06CB8"/>
    <w:rsid w:val="00C11133"/>
    <w:rsid w:val="00C128EF"/>
    <w:rsid w:val="00C16B15"/>
    <w:rsid w:val="00C17476"/>
    <w:rsid w:val="00C17BDF"/>
    <w:rsid w:val="00C20A69"/>
    <w:rsid w:val="00C20D94"/>
    <w:rsid w:val="00C22DFE"/>
    <w:rsid w:val="00C24267"/>
    <w:rsid w:val="00C25453"/>
    <w:rsid w:val="00C26A3B"/>
    <w:rsid w:val="00C27435"/>
    <w:rsid w:val="00C309DC"/>
    <w:rsid w:val="00C30E18"/>
    <w:rsid w:val="00C3161D"/>
    <w:rsid w:val="00C32F4D"/>
    <w:rsid w:val="00C33941"/>
    <w:rsid w:val="00C34FAB"/>
    <w:rsid w:val="00C378FA"/>
    <w:rsid w:val="00C41444"/>
    <w:rsid w:val="00C4206B"/>
    <w:rsid w:val="00C43D21"/>
    <w:rsid w:val="00C43EC0"/>
    <w:rsid w:val="00C47A70"/>
    <w:rsid w:val="00C47C1F"/>
    <w:rsid w:val="00C5247C"/>
    <w:rsid w:val="00C5531B"/>
    <w:rsid w:val="00C558E8"/>
    <w:rsid w:val="00C56B0D"/>
    <w:rsid w:val="00C6023D"/>
    <w:rsid w:val="00C609F6"/>
    <w:rsid w:val="00C623EA"/>
    <w:rsid w:val="00C62C8A"/>
    <w:rsid w:val="00C648CC"/>
    <w:rsid w:val="00C71282"/>
    <w:rsid w:val="00C71AC0"/>
    <w:rsid w:val="00C72066"/>
    <w:rsid w:val="00C731DA"/>
    <w:rsid w:val="00C732FD"/>
    <w:rsid w:val="00C736BA"/>
    <w:rsid w:val="00C845E5"/>
    <w:rsid w:val="00C85730"/>
    <w:rsid w:val="00C85989"/>
    <w:rsid w:val="00C85C1E"/>
    <w:rsid w:val="00C86970"/>
    <w:rsid w:val="00C90816"/>
    <w:rsid w:val="00C90D66"/>
    <w:rsid w:val="00C93AC8"/>
    <w:rsid w:val="00C93C36"/>
    <w:rsid w:val="00C93CF8"/>
    <w:rsid w:val="00C96C75"/>
    <w:rsid w:val="00CA3F90"/>
    <w:rsid w:val="00CA56B9"/>
    <w:rsid w:val="00CA5DED"/>
    <w:rsid w:val="00CA6830"/>
    <w:rsid w:val="00CA77E6"/>
    <w:rsid w:val="00CA7FAB"/>
    <w:rsid w:val="00CB6BDB"/>
    <w:rsid w:val="00CB73D2"/>
    <w:rsid w:val="00CC21ED"/>
    <w:rsid w:val="00CC377E"/>
    <w:rsid w:val="00CC4BEC"/>
    <w:rsid w:val="00CC5941"/>
    <w:rsid w:val="00CC71EF"/>
    <w:rsid w:val="00CD0994"/>
    <w:rsid w:val="00CD0DE2"/>
    <w:rsid w:val="00CD11D8"/>
    <w:rsid w:val="00CD4458"/>
    <w:rsid w:val="00CD511B"/>
    <w:rsid w:val="00CD5745"/>
    <w:rsid w:val="00CD5F91"/>
    <w:rsid w:val="00CD783C"/>
    <w:rsid w:val="00CE0C60"/>
    <w:rsid w:val="00CE4A9D"/>
    <w:rsid w:val="00CE55D4"/>
    <w:rsid w:val="00CE5A76"/>
    <w:rsid w:val="00CE5A89"/>
    <w:rsid w:val="00CE6A6A"/>
    <w:rsid w:val="00CF0118"/>
    <w:rsid w:val="00CF39E9"/>
    <w:rsid w:val="00CF3A1E"/>
    <w:rsid w:val="00CF480B"/>
    <w:rsid w:val="00CF51A8"/>
    <w:rsid w:val="00CF6DF0"/>
    <w:rsid w:val="00D01C97"/>
    <w:rsid w:val="00D0349A"/>
    <w:rsid w:val="00D04AC7"/>
    <w:rsid w:val="00D04E6D"/>
    <w:rsid w:val="00D052DE"/>
    <w:rsid w:val="00D06749"/>
    <w:rsid w:val="00D0709B"/>
    <w:rsid w:val="00D10DAB"/>
    <w:rsid w:val="00D11D2A"/>
    <w:rsid w:val="00D1461E"/>
    <w:rsid w:val="00D15CE6"/>
    <w:rsid w:val="00D16035"/>
    <w:rsid w:val="00D173B5"/>
    <w:rsid w:val="00D17C69"/>
    <w:rsid w:val="00D20307"/>
    <w:rsid w:val="00D2097D"/>
    <w:rsid w:val="00D20A66"/>
    <w:rsid w:val="00D212D4"/>
    <w:rsid w:val="00D23E85"/>
    <w:rsid w:val="00D254AB"/>
    <w:rsid w:val="00D32EF9"/>
    <w:rsid w:val="00D33F2D"/>
    <w:rsid w:val="00D34D15"/>
    <w:rsid w:val="00D36B1C"/>
    <w:rsid w:val="00D378B0"/>
    <w:rsid w:val="00D42224"/>
    <w:rsid w:val="00D42D05"/>
    <w:rsid w:val="00D465ED"/>
    <w:rsid w:val="00D471C6"/>
    <w:rsid w:val="00D47442"/>
    <w:rsid w:val="00D47B39"/>
    <w:rsid w:val="00D50829"/>
    <w:rsid w:val="00D60818"/>
    <w:rsid w:val="00D61BD4"/>
    <w:rsid w:val="00D61E6A"/>
    <w:rsid w:val="00D6395B"/>
    <w:rsid w:val="00D63B8C"/>
    <w:rsid w:val="00D64FE1"/>
    <w:rsid w:val="00D670C3"/>
    <w:rsid w:val="00D67BAA"/>
    <w:rsid w:val="00D70210"/>
    <w:rsid w:val="00D707B2"/>
    <w:rsid w:val="00D70B5E"/>
    <w:rsid w:val="00D7230B"/>
    <w:rsid w:val="00D72ECF"/>
    <w:rsid w:val="00D75990"/>
    <w:rsid w:val="00D75C89"/>
    <w:rsid w:val="00D7719E"/>
    <w:rsid w:val="00D773C8"/>
    <w:rsid w:val="00D774BB"/>
    <w:rsid w:val="00D800B6"/>
    <w:rsid w:val="00D803BF"/>
    <w:rsid w:val="00D805BA"/>
    <w:rsid w:val="00D82F43"/>
    <w:rsid w:val="00D84E1A"/>
    <w:rsid w:val="00D86BAC"/>
    <w:rsid w:val="00D87C7C"/>
    <w:rsid w:val="00D9622D"/>
    <w:rsid w:val="00D9642E"/>
    <w:rsid w:val="00D97483"/>
    <w:rsid w:val="00D97E4D"/>
    <w:rsid w:val="00DA3B06"/>
    <w:rsid w:val="00DA43F5"/>
    <w:rsid w:val="00DA60E8"/>
    <w:rsid w:val="00DA64E8"/>
    <w:rsid w:val="00DB1470"/>
    <w:rsid w:val="00DB3B7C"/>
    <w:rsid w:val="00DB4B34"/>
    <w:rsid w:val="00DB4C5B"/>
    <w:rsid w:val="00DB51F0"/>
    <w:rsid w:val="00DB51FC"/>
    <w:rsid w:val="00DB7EF2"/>
    <w:rsid w:val="00DC6BC0"/>
    <w:rsid w:val="00DD044D"/>
    <w:rsid w:val="00DD0475"/>
    <w:rsid w:val="00DD384C"/>
    <w:rsid w:val="00DD4F87"/>
    <w:rsid w:val="00DD5109"/>
    <w:rsid w:val="00DD7012"/>
    <w:rsid w:val="00DF1C6B"/>
    <w:rsid w:val="00DF4978"/>
    <w:rsid w:val="00E027B9"/>
    <w:rsid w:val="00E058B3"/>
    <w:rsid w:val="00E10B7E"/>
    <w:rsid w:val="00E14890"/>
    <w:rsid w:val="00E17E60"/>
    <w:rsid w:val="00E20261"/>
    <w:rsid w:val="00E2250C"/>
    <w:rsid w:val="00E252E2"/>
    <w:rsid w:val="00E25BC6"/>
    <w:rsid w:val="00E26242"/>
    <w:rsid w:val="00E2731D"/>
    <w:rsid w:val="00E317DF"/>
    <w:rsid w:val="00E33848"/>
    <w:rsid w:val="00E34356"/>
    <w:rsid w:val="00E345A4"/>
    <w:rsid w:val="00E42609"/>
    <w:rsid w:val="00E42EE4"/>
    <w:rsid w:val="00E4557C"/>
    <w:rsid w:val="00E4622F"/>
    <w:rsid w:val="00E472D8"/>
    <w:rsid w:val="00E47B0C"/>
    <w:rsid w:val="00E47B8A"/>
    <w:rsid w:val="00E47BCA"/>
    <w:rsid w:val="00E50A66"/>
    <w:rsid w:val="00E52828"/>
    <w:rsid w:val="00E54005"/>
    <w:rsid w:val="00E5404A"/>
    <w:rsid w:val="00E541BB"/>
    <w:rsid w:val="00E55183"/>
    <w:rsid w:val="00E55260"/>
    <w:rsid w:val="00E55C8B"/>
    <w:rsid w:val="00E55E25"/>
    <w:rsid w:val="00E5749F"/>
    <w:rsid w:val="00E578C0"/>
    <w:rsid w:val="00E60D18"/>
    <w:rsid w:val="00E64250"/>
    <w:rsid w:val="00E64570"/>
    <w:rsid w:val="00E65698"/>
    <w:rsid w:val="00E65A34"/>
    <w:rsid w:val="00E67024"/>
    <w:rsid w:val="00E70D22"/>
    <w:rsid w:val="00E716DC"/>
    <w:rsid w:val="00E71A3A"/>
    <w:rsid w:val="00E71F8D"/>
    <w:rsid w:val="00E73A08"/>
    <w:rsid w:val="00E81DC8"/>
    <w:rsid w:val="00E82BC4"/>
    <w:rsid w:val="00E8645C"/>
    <w:rsid w:val="00E8798E"/>
    <w:rsid w:val="00E91441"/>
    <w:rsid w:val="00E91A35"/>
    <w:rsid w:val="00E9246A"/>
    <w:rsid w:val="00E933F4"/>
    <w:rsid w:val="00E96E4A"/>
    <w:rsid w:val="00EA03A9"/>
    <w:rsid w:val="00EA0621"/>
    <w:rsid w:val="00EA176E"/>
    <w:rsid w:val="00EA2A0C"/>
    <w:rsid w:val="00EB2DE3"/>
    <w:rsid w:val="00EB387E"/>
    <w:rsid w:val="00EB3A48"/>
    <w:rsid w:val="00EB4C97"/>
    <w:rsid w:val="00EB7AFE"/>
    <w:rsid w:val="00EC0B28"/>
    <w:rsid w:val="00EC5997"/>
    <w:rsid w:val="00EC5E9A"/>
    <w:rsid w:val="00ED1598"/>
    <w:rsid w:val="00ED4D1C"/>
    <w:rsid w:val="00ED6DCC"/>
    <w:rsid w:val="00ED7DBE"/>
    <w:rsid w:val="00EE0902"/>
    <w:rsid w:val="00EE23C5"/>
    <w:rsid w:val="00EE2C1C"/>
    <w:rsid w:val="00EE6D4A"/>
    <w:rsid w:val="00EF0394"/>
    <w:rsid w:val="00EF096C"/>
    <w:rsid w:val="00EF1429"/>
    <w:rsid w:val="00EF271C"/>
    <w:rsid w:val="00EF492B"/>
    <w:rsid w:val="00EF5AB7"/>
    <w:rsid w:val="00F0110D"/>
    <w:rsid w:val="00F011F0"/>
    <w:rsid w:val="00F04919"/>
    <w:rsid w:val="00F052C4"/>
    <w:rsid w:val="00F058FF"/>
    <w:rsid w:val="00F06DD0"/>
    <w:rsid w:val="00F07DBA"/>
    <w:rsid w:val="00F10A81"/>
    <w:rsid w:val="00F10FA1"/>
    <w:rsid w:val="00F17638"/>
    <w:rsid w:val="00F20DF0"/>
    <w:rsid w:val="00F21489"/>
    <w:rsid w:val="00F21A77"/>
    <w:rsid w:val="00F26983"/>
    <w:rsid w:val="00F312F8"/>
    <w:rsid w:val="00F31C44"/>
    <w:rsid w:val="00F3215F"/>
    <w:rsid w:val="00F32249"/>
    <w:rsid w:val="00F3461F"/>
    <w:rsid w:val="00F36CBD"/>
    <w:rsid w:val="00F42B2A"/>
    <w:rsid w:val="00F436CE"/>
    <w:rsid w:val="00F5503C"/>
    <w:rsid w:val="00F55118"/>
    <w:rsid w:val="00F576FE"/>
    <w:rsid w:val="00F61DE7"/>
    <w:rsid w:val="00F642DA"/>
    <w:rsid w:val="00F65558"/>
    <w:rsid w:val="00F656BC"/>
    <w:rsid w:val="00F67C3F"/>
    <w:rsid w:val="00F76556"/>
    <w:rsid w:val="00F80080"/>
    <w:rsid w:val="00F81318"/>
    <w:rsid w:val="00F81C7C"/>
    <w:rsid w:val="00F82488"/>
    <w:rsid w:val="00F858E6"/>
    <w:rsid w:val="00F860EB"/>
    <w:rsid w:val="00F864B1"/>
    <w:rsid w:val="00F877C8"/>
    <w:rsid w:val="00F91455"/>
    <w:rsid w:val="00F91714"/>
    <w:rsid w:val="00F9305E"/>
    <w:rsid w:val="00F940A1"/>
    <w:rsid w:val="00F95319"/>
    <w:rsid w:val="00F97C96"/>
    <w:rsid w:val="00FA0969"/>
    <w:rsid w:val="00FA116B"/>
    <w:rsid w:val="00FA2230"/>
    <w:rsid w:val="00FA306A"/>
    <w:rsid w:val="00FA5087"/>
    <w:rsid w:val="00FA57BB"/>
    <w:rsid w:val="00FA7828"/>
    <w:rsid w:val="00FA7884"/>
    <w:rsid w:val="00FB0049"/>
    <w:rsid w:val="00FB0D55"/>
    <w:rsid w:val="00FB1AAE"/>
    <w:rsid w:val="00FB2B33"/>
    <w:rsid w:val="00FB3163"/>
    <w:rsid w:val="00FB334A"/>
    <w:rsid w:val="00FB3935"/>
    <w:rsid w:val="00FB5A93"/>
    <w:rsid w:val="00FC08DC"/>
    <w:rsid w:val="00FC0F09"/>
    <w:rsid w:val="00FC1D8D"/>
    <w:rsid w:val="00FC224A"/>
    <w:rsid w:val="00FC22E0"/>
    <w:rsid w:val="00FC33CC"/>
    <w:rsid w:val="00FC3C0E"/>
    <w:rsid w:val="00FC4A46"/>
    <w:rsid w:val="00FC68C0"/>
    <w:rsid w:val="00FD2A7F"/>
    <w:rsid w:val="00FD597A"/>
    <w:rsid w:val="00FE648C"/>
    <w:rsid w:val="00FE6A0D"/>
    <w:rsid w:val="00FE75CD"/>
    <w:rsid w:val="00FE75F0"/>
    <w:rsid w:val="00FE7CF3"/>
    <w:rsid w:val="00FF0A48"/>
    <w:rsid w:val="00FF1338"/>
    <w:rsid w:val="00FF1398"/>
    <w:rsid w:val="00FF2552"/>
    <w:rsid w:val="00FF4835"/>
    <w:rsid w:val="00FF5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A04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04DB"/>
    <w:rPr>
      <w:sz w:val="20"/>
      <w:szCs w:val="20"/>
    </w:rPr>
  </w:style>
  <w:style w:type="character" w:styleId="Refdenotaderodap">
    <w:name w:val="footnote reference"/>
    <w:basedOn w:val="Fontepargpadro"/>
    <w:uiPriority w:val="99"/>
    <w:semiHidden/>
    <w:unhideWhenUsed/>
    <w:rsid w:val="006A04DB"/>
    <w:rPr>
      <w:vertAlign w:val="superscript"/>
    </w:rPr>
  </w:style>
  <w:style w:type="paragraph" w:styleId="PargrafodaLista">
    <w:name w:val="List Paragraph"/>
    <w:basedOn w:val="Normal"/>
    <w:uiPriority w:val="34"/>
    <w:qFormat/>
    <w:rsid w:val="007E2852"/>
    <w:pPr>
      <w:ind w:left="720"/>
      <w:contextualSpacing/>
    </w:pPr>
  </w:style>
  <w:style w:type="character" w:styleId="nfase">
    <w:name w:val="Emphasis"/>
    <w:basedOn w:val="Fontepargpadro"/>
    <w:uiPriority w:val="20"/>
    <w:qFormat/>
    <w:rsid w:val="000F4363"/>
    <w:rPr>
      <w:i/>
      <w:iCs/>
    </w:rPr>
  </w:style>
  <w:style w:type="character" w:styleId="Hyperlink">
    <w:name w:val="Hyperlink"/>
    <w:basedOn w:val="Fontepargpadro"/>
    <w:uiPriority w:val="99"/>
    <w:unhideWhenUsed/>
    <w:rsid w:val="008C4A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9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11</Pages>
  <Words>3863</Words>
  <Characters>20865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 Propaganda</dc:creator>
  <cp:lastModifiedBy>Gabriela Felix</cp:lastModifiedBy>
  <cp:revision>50</cp:revision>
  <dcterms:created xsi:type="dcterms:W3CDTF">2014-11-03T14:59:00Z</dcterms:created>
  <dcterms:modified xsi:type="dcterms:W3CDTF">2014-11-11T13:23:00Z</dcterms:modified>
</cp:coreProperties>
</file>