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A3" w:rsidRPr="003B14DC" w:rsidRDefault="00A74FA3" w:rsidP="00394E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FA3">
        <w:rPr>
          <w:rFonts w:ascii="Times New Roman" w:hAnsi="Times New Roman" w:cs="Times New Roman"/>
          <w:b/>
          <w:sz w:val="24"/>
          <w:szCs w:val="24"/>
        </w:rPr>
        <w:t>SINOPSE DO CASE</w:t>
      </w:r>
      <w:r w:rsidRPr="003B14DC">
        <w:rPr>
          <w:rFonts w:ascii="Times New Roman" w:hAnsi="Times New Roman" w:cs="Times New Roman"/>
          <w:b/>
          <w:sz w:val="24"/>
          <w:szCs w:val="24"/>
        </w:rPr>
        <w:t>:</w:t>
      </w:r>
      <w:r w:rsidR="003B14DC">
        <w:rPr>
          <w:rFonts w:ascii="Times New Roman" w:hAnsi="Times New Roman" w:cs="Times New Roman"/>
          <w:b/>
          <w:sz w:val="24"/>
          <w:szCs w:val="24"/>
        </w:rPr>
        <w:t xml:space="preserve"> INCIDE </w:t>
      </w:r>
      <w:r w:rsidR="00C85BC9" w:rsidRPr="003B14DC">
        <w:rPr>
          <w:rFonts w:ascii="Times New Roman" w:hAnsi="Times New Roman" w:cs="Times New Roman"/>
          <w:b/>
          <w:sz w:val="24"/>
          <w:szCs w:val="24"/>
        </w:rPr>
        <w:t>ITBI SOBRE A TRANSMISSÃO DE IMÓVEIS CUJOS VALORES ULTRAPASSEM O CAPITAL SOCIAL?</w:t>
      </w:r>
      <w:r w:rsidR="00945AE2" w:rsidRPr="003B14DC">
        <w:rPr>
          <w:rStyle w:val="Refdenotaderodap"/>
          <w:rFonts w:ascii="Times New Roman" w:hAnsi="Times New Roman" w:cs="Times New Roman"/>
          <w:b/>
          <w:bCs/>
          <w:iCs/>
          <w:sz w:val="24"/>
          <w:szCs w:val="24"/>
        </w:rPr>
        <w:footnoteReference w:id="1"/>
      </w:r>
    </w:p>
    <w:p w:rsidR="00A74FA3" w:rsidRDefault="00A74FA3" w:rsidP="00394E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FA3" w:rsidRPr="00C65F41" w:rsidRDefault="00C85BC9" w:rsidP="00394E3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Gabriela Felix </w:t>
      </w:r>
      <w:proofErr w:type="spellStart"/>
      <w:r>
        <w:rPr>
          <w:rFonts w:ascii="Times New Roman" w:hAnsi="Times New Roman" w:cs="Times New Roman"/>
          <w:sz w:val="20"/>
          <w:szCs w:val="20"/>
        </w:rPr>
        <w:t>Marão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Martins</w:t>
      </w:r>
      <w:r w:rsidR="00A74FA3" w:rsidRPr="00C65F41">
        <w:rPr>
          <w:rFonts w:ascii="Times New Roman" w:hAnsi="Times New Roman" w:cs="Times New Roman"/>
          <w:sz w:val="20"/>
          <w:szCs w:val="20"/>
        </w:rPr>
        <w:t>²</w:t>
      </w:r>
    </w:p>
    <w:p w:rsidR="00A74FA3" w:rsidRPr="00AF1C7D" w:rsidRDefault="00C85BC9" w:rsidP="00394E3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Moraes Rego Gaspar</w:t>
      </w:r>
      <w:r w:rsidR="00A74FA3" w:rsidRPr="00C65F41">
        <w:rPr>
          <w:rFonts w:ascii="Times New Roman" w:hAnsi="Times New Roman" w:cs="Times New Roman"/>
          <w:sz w:val="20"/>
          <w:szCs w:val="20"/>
        </w:rPr>
        <w:t>³</w:t>
      </w:r>
    </w:p>
    <w:p w:rsidR="007A75F8" w:rsidRPr="007A75F8" w:rsidRDefault="007A75F8" w:rsidP="00394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7"/>
      </w:tblGrid>
      <w:tr w:rsidR="007A75F8" w:rsidRPr="007A75F8">
        <w:trPr>
          <w:trHeight w:val="99"/>
        </w:trPr>
        <w:tc>
          <w:tcPr>
            <w:tcW w:w="2107" w:type="dxa"/>
          </w:tcPr>
          <w:p w:rsidR="007A75F8" w:rsidRPr="007A75F8" w:rsidRDefault="007A75F8" w:rsidP="00394E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882" w:rsidRPr="007A75F8">
        <w:trPr>
          <w:trHeight w:val="99"/>
        </w:trPr>
        <w:tc>
          <w:tcPr>
            <w:tcW w:w="2107" w:type="dxa"/>
          </w:tcPr>
          <w:p w:rsidR="00442882" w:rsidRPr="007A75F8" w:rsidRDefault="00442882" w:rsidP="00394E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2882" w:rsidRDefault="00A74FA3" w:rsidP="00172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94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proofErr w:type="gramEnd"/>
      <w:r w:rsidRPr="00394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DESCRIÇÃO DO CASO</w:t>
      </w:r>
    </w:p>
    <w:p w:rsidR="00C85BC9" w:rsidRDefault="00C85BC9" w:rsidP="0017285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Hetfield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Participações S/A deu início aos procedimentos necessários para integrar a sociedade empresária Metalúrgica Heavy Metal Ltda., em 2015. Para integralizar sua parcela de capital social, ofereceu um bem imóvel de R$ 750.000,00, sendo que sua parcela era de R$ 500.000,00. Porém, a </w:t>
      </w:r>
      <w:r w:rsidRPr="00C85BC9">
        <w:rPr>
          <w:rFonts w:ascii="Times New Roman" w:hAnsi="Times New Roman" w:cs="Times New Roman"/>
          <w:color w:val="000000" w:themeColor="text1"/>
          <w:sz w:val="24"/>
          <w:szCs w:val="24"/>
        </w:rPr>
        <w:t>Secretaria de Fazenda do Município de São Luís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alegando que </w:t>
      </w:r>
      <w:r w:rsidRPr="00C85BC9">
        <w:rPr>
          <w:rFonts w:ascii="Times New Roman" w:hAnsi="Times New Roman" w:cs="Times New Roman"/>
          <w:color w:val="000000" w:themeColor="text1"/>
          <w:sz w:val="24"/>
          <w:szCs w:val="24"/>
        </w:rPr>
        <w:t>o valor de a propriedade exceder em muito o capital social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não quis </w:t>
      </w:r>
      <w:r w:rsidRPr="00C85BC9">
        <w:rPr>
          <w:rFonts w:ascii="Times New Roman" w:hAnsi="Times New Roman" w:cs="Times New Roman"/>
          <w:color w:val="000000" w:themeColor="text1"/>
          <w:sz w:val="24"/>
          <w:szCs w:val="24"/>
        </w:rPr>
        <w:t>emitir a guia de recolhimento do ITBI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 refere ao</w:t>
      </w:r>
      <w:r w:rsidRPr="00C85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imóvel integralizado ao capital da empresa com a imunidade total.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 </w:t>
      </w:r>
      <w:r w:rsidRPr="00C85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município </w:t>
      </w:r>
      <w:proofErr w:type="gramStart"/>
      <w:r w:rsidR="0017285D" w:rsidRPr="00C85BC9">
        <w:rPr>
          <w:rFonts w:ascii="Times New Roman" w:hAnsi="Times New Roman" w:cs="Times New Roman"/>
          <w:color w:val="000000" w:themeColor="text1"/>
          <w:sz w:val="24"/>
          <w:szCs w:val="24"/>
        </w:rPr>
        <w:t>atribuiu</w:t>
      </w:r>
      <w:proofErr w:type="gramEnd"/>
      <w:r w:rsidRPr="00C85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85BC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C85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tributação sobre o valor do imóvel incorporado que excedeu o limite do capital social a ser integralizado, </w:t>
      </w:r>
      <w:r w:rsidR="0017285D">
        <w:rPr>
          <w:rFonts w:ascii="Times New Roman" w:hAnsi="Times New Roman" w:cs="Times New Roman"/>
          <w:color w:val="000000" w:themeColor="text1"/>
          <w:sz w:val="24"/>
          <w:szCs w:val="24"/>
        </w:rPr>
        <w:t>preconizando</w:t>
      </w:r>
      <w:r w:rsidRPr="00C85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 imunidade </w:t>
      </w:r>
      <w:r w:rsidR="0017285D">
        <w:rPr>
          <w:rFonts w:ascii="Times New Roman" w:hAnsi="Times New Roman" w:cs="Times New Roman"/>
          <w:color w:val="000000" w:themeColor="text1"/>
          <w:sz w:val="24"/>
          <w:szCs w:val="24"/>
        </w:rPr>
        <w:t>que prevê o artigo</w:t>
      </w:r>
      <w:r w:rsidRPr="00C85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156, parágrafo 2º, I, da CF/88 se </w:t>
      </w:r>
      <w:r w:rsidR="0017285D">
        <w:rPr>
          <w:rFonts w:ascii="Times New Roman" w:hAnsi="Times New Roman" w:cs="Times New Roman"/>
          <w:color w:val="000000" w:themeColor="text1"/>
          <w:sz w:val="24"/>
          <w:szCs w:val="24"/>
        </w:rPr>
        <w:t>limita</w:t>
      </w:r>
      <w:r w:rsidRPr="00C85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valor do imóvel suficiente à integralização do capital social.</w:t>
      </w:r>
    </w:p>
    <w:p w:rsidR="0017285D" w:rsidRDefault="0017285D" w:rsidP="0017285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A3" w:rsidRDefault="00A74FA3" w:rsidP="001728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IDENTIFICAÇÃO E ANÁLISE DO CASO</w:t>
      </w:r>
    </w:p>
    <w:p w:rsidR="0017285D" w:rsidRPr="0017285D" w:rsidRDefault="00DD7E0A" w:rsidP="00172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Haja vista o caso em questão</w:t>
      </w:r>
      <w:r w:rsidR="0017285D">
        <w:rPr>
          <w:rFonts w:ascii="Times New Roman" w:hAnsi="Times New Roman" w:cs="Times New Roman"/>
          <w:sz w:val="24"/>
          <w:szCs w:val="24"/>
        </w:rPr>
        <w:t>, indaga-se:</w:t>
      </w:r>
    </w:p>
    <w:p w:rsidR="0017285D" w:rsidRDefault="0017285D" w:rsidP="001728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85D">
        <w:rPr>
          <w:rFonts w:ascii="Times New Roman" w:hAnsi="Times New Roman" w:cs="Times New Roman"/>
          <w:b/>
          <w:sz w:val="24"/>
          <w:szCs w:val="24"/>
        </w:rPr>
        <w:t>a) Qual a regra-matriz de incidência tributária do ITBI?</w:t>
      </w:r>
    </w:p>
    <w:p w:rsidR="0017285D" w:rsidRDefault="003B14DC" w:rsidP="0017285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Primeiramente é preciso que se aborde o conceito de regra-matriz de incidência. </w:t>
      </w:r>
      <w:r w:rsidR="000A5A85">
        <w:rPr>
          <w:rFonts w:ascii="Times New Roman" w:hAnsi="Times New Roman" w:cs="Times New Roman"/>
          <w:sz w:val="24"/>
          <w:szCs w:val="24"/>
        </w:rPr>
        <w:t xml:space="preserve">Regra-matriz de incidência são normas </w:t>
      </w:r>
      <w:proofErr w:type="gramStart"/>
      <w:r w:rsidR="000A5A85">
        <w:rPr>
          <w:rFonts w:ascii="Times New Roman" w:hAnsi="Times New Roman" w:cs="Times New Roman"/>
          <w:sz w:val="24"/>
          <w:szCs w:val="24"/>
        </w:rPr>
        <w:t>abstratas/gerais</w:t>
      </w:r>
      <w:proofErr w:type="gramEnd"/>
      <w:r w:rsidR="000A5A85">
        <w:rPr>
          <w:rFonts w:ascii="Times New Roman" w:hAnsi="Times New Roman" w:cs="Times New Roman"/>
          <w:sz w:val="24"/>
          <w:szCs w:val="24"/>
        </w:rPr>
        <w:t xml:space="preserve"> que incidem em casos concretos. Conforme Aurora </w:t>
      </w:r>
      <w:proofErr w:type="spellStart"/>
      <w:r w:rsidR="000A5A85">
        <w:rPr>
          <w:rFonts w:ascii="Times New Roman" w:hAnsi="Times New Roman" w:cs="Times New Roman"/>
          <w:sz w:val="24"/>
          <w:szCs w:val="24"/>
        </w:rPr>
        <w:t>Tomazini</w:t>
      </w:r>
      <w:proofErr w:type="spellEnd"/>
      <w:r w:rsidR="000A5A85">
        <w:rPr>
          <w:rFonts w:ascii="Times New Roman" w:hAnsi="Times New Roman" w:cs="Times New Roman"/>
          <w:sz w:val="24"/>
          <w:szCs w:val="24"/>
        </w:rPr>
        <w:t xml:space="preserve"> (2009) a palavra “regra” é empregada no mesmo sentido de norma jurídica, é uma construção interpretativa, que é obtida por meio do contato com textos legislados. “Matriz”, por sua vez, indica que essa construção é um “</w:t>
      </w:r>
      <w:r w:rsidR="000A5A85" w:rsidRPr="000A5A85">
        <w:rPr>
          <w:rFonts w:ascii="Times New Roman" w:hAnsi="Times New Roman" w:cs="Times New Roman"/>
          <w:sz w:val="24"/>
          <w:szCs w:val="24"/>
        </w:rPr>
        <w:t>padrão sintático-semântico na produção</w:t>
      </w:r>
      <w:r w:rsidR="000A5A85">
        <w:rPr>
          <w:rFonts w:ascii="Times New Roman" w:hAnsi="Times New Roman" w:cs="Times New Roman"/>
          <w:sz w:val="24"/>
          <w:szCs w:val="24"/>
        </w:rPr>
        <w:t xml:space="preserve"> da linguagem jurídica concreta” (CARVALHO, 2009, p. 362). Enquanto o termo “de incidência”, ainda conforme Aurora </w:t>
      </w:r>
      <w:proofErr w:type="spellStart"/>
      <w:r w:rsidR="000A5A85">
        <w:rPr>
          <w:rFonts w:ascii="Times New Roman" w:hAnsi="Times New Roman" w:cs="Times New Roman"/>
          <w:sz w:val="24"/>
          <w:szCs w:val="24"/>
        </w:rPr>
        <w:t>Tomazini</w:t>
      </w:r>
      <w:proofErr w:type="spellEnd"/>
      <w:r w:rsidR="000A5A85">
        <w:rPr>
          <w:rFonts w:ascii="Times New Roman" w:hAnsi="Times New Roman" w:cs="Times New Roman"/>
          <w:sz w:val="24"/>
          <w:szCs w:val="24"/>
        </w:rPr>
        <w:t xml:space="preserve"> (2009), demonstra que são normas que serão aplicadas em casos concretos. Em outras palavras, Regra-Matriz de incidência é uma norma </w:t>
      </w:r>
      <w:r w:rsidR="00373E10">
        <w:rPr>
          <w:rFonts w:ascii="Times New Roman" w:hAnsi="Times New Roman" w:cs="Times New Roman"/>
          <w:sz w:val="24"/>
          <w:szCs w:val="24"/>
        </w:rPr>
        <w:t xml:space="preserve">padrão </w:t>
      </w:r>
      <w:r w:rsidR="000A5A85">
        <w:rPr>
          <w:rFonts w:ascii="Times New Roman" w:hAnsi="Times New Roman" w:cs="Times New Roman"/>
          <w:sz w:val="24"/>
          <w:szCs w:val="24"/>
        </w:rPr>
        <w:lastRenderedPageBreak/>
        <w:t>que será aplicada em casos concretos</w:t>
      </w:r>
      <w:r w:rsidR="00373E10">
        <w:rPr>
          <w:rFonts w:ascii="Times New Roman" w:hAnsi="Times New Roman" w:cs="Times New Roman"/>
          <w:sz w:val="24"/>
          <w:szCs w:val="24"/>
        </w:rPr>
        <w:t xml:space="preserve">. Assim, podem-se ter diversos casos concretos, mas todos eles </w:t>
      </w:r>
      <w:proofErr w:type="gramStart"/>
      <w:r w:rsidR="00373E10">
        <w:rPr>
          <w:rFonts w:ascii="Times New Roman" w:hAnsi="Times New Roman" w:cs="Times New Roman"/>
          <w:sz w:val="24"/>
          <w:szCs w:val="24"/>
        </w:rPr>
        <w:t>obedecerão o</w:t>
      </w:r>
      <w:proofErr w:type="gramEnd"/>
      <w:r w:rsidR="00373E10">
        <w:rPr>
          <w:rFonts w:ascii="Times New Roman" w:hAnsi="Times New Roman" w:cs="Times New Roman"/>
          <w:sz w:val="24"/>
          <w:szCs w:val="24"/>
        </w:rPr>
        <w:t xml:space="preserve"> mesmo padrão. Essa regra pode, portanto, ser de qualquer natureza, inclusive a tributária. </w:t>
      </w:r>
      <w:r w:rsidR="00FC6D2E">
        <w:rPr>
          <w:rFonts w:ascii="Times New Roman" w:hAnsi="Times New Roman" w:cs="Times New Roman"/>
          <w:sz w:val="24"/>
          <w:szCs w:val="24"/>
        </w:rPr>
        <w:t xml:space="preserve">No que diz respeito </w:t>
      </w:r>
      <w:proofErr w:type="gramStart"/>
      <w:r w:rsidR="00FC6D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C6D2E">
        <w:rPr>
          <w:rFonts w:ascii="Times New Roman" w:hAnsi="Times New Roman" w:cs="Times New Roman"/>
          <w:sz w:val="24"/>
          <w:szCs w:val="24"/>
        </w:rPr>
        <w:t xml:space="preserve"> Regra-Matriz de Incidência Tributária, Paulo de Barros Carvalho bem leciona: </w:t>
      </w:r>
    </w:p>
    <w:p w:rsidR="00D24451" w:rsidRDefault="00FC6D2E" w:rsidP="00D2445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FC6D2E">
        <w:rPr>
          <w:rFonts w:ascii="Times New Roman" w:hAnsi="Times New Roman" w:cs="Times New Roman"/>
          <w:sz w:val="20"/>
          <w:szCs w:val="24"/>
        </w:rPr>
        <w:t xml:space="preserve">“A norma tributária, em sentido estrito, reiteramos, é a que define a incidência fiscal. Sua construção é obra do cientista do Direito e se </w:t>
      </w:r>
      <w:proofErr w:type="gramStart"/>
      <w:r w:rsidRPr="00FC6D2E">
        <w:rPr>
          <w:rFonts w:ascii="Times New Roman" w:hAnsi="Times New Roman" w:cs="Times New Roman"/>
          <w:sz w:val="20"/>
          <w:szCs w:val="24"/>
        </w:rPr>
        <w:t>apresenta,</w:t>
      </w:r>
      <w:proofErr w:type="gramEnd"/>
      <w:r w:rsidRPr="00FC6D2E">
        <w:rPr>
          <w:rFonts w:ascii="Times New Roman" w:hAnsi="Times New Roman" w:cs="Times New Roman"/>
          <w:sz w:val="20"/>
          <w:szCs w:val="24"/>
        </w:rPr>
        <w:t xml:space="preserve"> de final, com a compostura própria dos juízos hipotético-condicionais. Haverá uma hipótese, suposto ou antecedente, a que se conjuga um mandamento, uma </w:t>
      </w:r>
      <w:proofErr w:type="spellStart"/>
      <w:r w:rsidRPr="00FC6D2E">
        <w:rPr>
          <w:rFonts w:ascii="Times New Roman" w:hAnsi="Times New Roman" w:cs="Times New Roman"/>
          <w:sz w:val="20"/>
          <w:szCs w:val="24"/>
        </w:rPr>
        <w:t>conseqüência</w:t>
      </w:r>
      <w:proofErr w:type="spellEnd"/>
      <w:r w:rsidRPr="00FC6D2E">
        <w:rPr>
          <w:rFonts w:ascii="Times New Roman" w:hAnsi="Times New Roman" w:cs="Times New Roman"/>
          <w:sz w:val="20"/>
          <w:szCs w:val="24"/>
        </w:rPr>
        <w:t xml:space="preserve"> ou </w:t>
      </w:r>
      <w:proofErr w:type="spellStart"/>
      <w:r w:rsidRPr="00FC6D2E">
        <w:rPr>
          <w:rFonts w:ascii="Times New Roman" w:hAnsi="Times New Roman" w:cs="Times New Roman"/>
          <w:sz w:val="20"/>
          <w:szCs w:val="24"/>
        </w:rPr>
        <w:t>estatuição</w:t>
      </w:r>
      <w:proofErr w:type="spellEnd"/>
      <w:r w:rsidRPr="00FC6D2E">
        <w:rPr>
          <w:rFonts w:ascii="Times New Roman" w:hAnsi="Times New Roman" w:cs="Times New Roman"/>
          <w:sz w:val="20"/>
          <w:szCs w:val="24"/>
        </w:rPr>
        <w:t>.” (</w:t>
      </w:r>
      <w:r w:rsidR="00D24451">
        <w:rPr>
          <w:rFonts w:ascii="Times New Roman" w:hAnsi="Times New Roman" w:cs="Times New Roman"/>
          <w:sz w:val="20"/>
          <w:szCs w:val="24"/>
        </w:rPr>
        <w:t xml:space="preserve">CARVALHO, </w:t>
      </w:r>
      <w:r w:rsidRPr="00FC6D2E">
        <w:rPr>
          <w:rFonts w:ascii="Times New Roman" w:hAnsi="Times New Roman" w:cs="Times New Roman"/>
          <w:sz w:val="20"/>
          <w:szCs w:val="24"/>
        </w:rPr>
        <w:t>2002, p. 235.)</w:t>
      </w:r>
    </w:p>
    <w:p w:rsidR="00D24451" w:rsidRDefault="00D24451" w:rsidP="00D2445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24451" w:rsidRDefault="00D24451" w:rsidP="00D2445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Deste modo, pode-se concluir que a Regra-Matriz de Incidência Tributária é uma construção doutrinária, é uma norma geral/abstrata compreendida como juízo hipotético- condicional</w:t>
      </w:r>
      <w:r w:rsidR="00544299">
        <w:rPr>
          <w:rFonts w:ascii="Times New Roman" w:hAnsi="Times New Roman" w:cs="Times New Roman"/>
          <w:sz w:val="24"/>
          <w:szCs w:val="24"/>
        </w:rPr>
        <w:t>, onde há um fato gerador e uma consequência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4299">
        <w:rPr>
          <w:rFonts w:ascii="Times New Roman" w:hAnsi="Times New Roman" w:cs="Times New Roman"/>
          <w:sz w:val="24"/>
          <w:szCs w:val="24"/>
        </w:rPr>
        <w:t xml:space="preserve">Paulo de Barros (2009) afirma que cabe na Regra-Matriz de Incidência Tributária os critérios: material, temporal, espacial, pessoal e quantitativo. </w:t>
      </w:r>
    </w:p>
    <w:p w:rsidR="00544299" w:rsidRPr="00D24451" w:rsidRDefault="00EB367A" w:rsidP="00C948B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B5E8F">
        <w:rPr>
          <w:rFonts w:ascii="Times New Roman" w:hAnsi="Times New Roman" w:cs="Times New Roman"/>
          <w:b/>
          <w:sz w:val="24"/>
          <w:szCs w:val="24"/>
        </w:rPr>
        <w:t>Aspecto Material</w:t>
      </w:r>
      <w:r>
        <w:rPr>
          <w:rFonts w:ascii="Times New Roman" w:hAnsi="Times New Roman" w:cs="Times New Roman"/>
          <w:sz w:val="24"/>
          <w:szCs w:val="24"/>
        </w:rPr>
        <w:t xml:space="preserve"> é dito como o fato gerador da obrigação. No que diz respeito ao ITBI, </w:t>
      </w:r>
      <w:r w:rsidR="006A6F8E">
        <w:rPr>
          <w:rFonts w:ascii="Times New Roman" w:hAnsi="Times New Roman" w:cs="Times New Roman"/>
          <w:sz w:val="24"/>
          <w:szCs w:val="24"/>
        </w:rPr>
        <w:t xml:space="preserve">o fato gerador se traduz em uma situação de direito posto que, </w:t>
      </w:r>
      <w:r>
        <w:rPr>
          <w:rFonts w:ascii="Times New Roman" w:hAnsi="Times New Roman" w:cs="Times New Roman"/>
          <w:sz w:val="24"/>
          <w:szCs w:val="24"/>
        </w:rPr>
        <w:t xml:space="preserve">conforme </w:t>
      </w:r>
      <w:r w:rsidR="006A6F8E">
        <w:rPr>
          <w:rFonts w:ascii="Times New Roman" w:hAnsi="Times New Roman" w:cs="Times New Roman"/>
          <w:sz w:val="24"/>
          <w:szCs w:val="24"/>
        </w:rPr>
        <w:t>se observa no A</w:t>
      </w:r>
      <w:r>
        <w:rPr>
          <w:rFonts w:ascii="Times New Roman" w:hAnsi="Times New Roman" w:cs="Times New Roman"/>
          <w:sz w:val="24"/>
          <w:szCs w:val="24"/>
        </w:rPr>
        <w:t xml:space="preserve">rtigo </w:t>
      </w:r>
      <w:r w:rsidR="00F944AD">
        <w:rPr>
          <w:rFonts w:ascii="Times New Roman" w:hAnsi="Times New Roman" w:cs="Times New Roman"/>
          <w:sz w:val="24"/>
          <w:szCs w:val="24"/>
        </w:rPr>
        <w:t>56, II da Constituição Federal,</w:t>
      </w:r>
      <w:r w:rsidR="00BA50BB">
        <w:rPr>
          <w:rFonts w:ascii="Times New Roman" w:hAnsi="Times New Roman" w:cs="Times New Roman"/>
          <w:sz w:val="24"/>
          <w:szCs w:val="24"/>
        </w:rPr>
        <w:t xml:space="preserve"> a materialidade se dá </w:t>
      </w:r>
      <w:r w:rsidR="00C948BA">
        <w:rPr>
          <w:rFonts w:ascii="Times New Roman" w:hAnsi="Times New Roman" w:cs="Times New Roman"/>
          <w:sz w:val="24"/>
          <w:szCs w:val="24"/>
        </w:rPr>
        <w:t xml:space="preserve">pela </w:t>
      </w:r>
      <w:r w:rsidR="00094B29">
        <w:rPr>
          <w:rFonts w:ascii="Times New Roman" w:hAnsi="Times New Roman" w:cs="Times New Roman"/>
          <w:sz w:val="24"/>
          <w:szCs w:val="24"/>
        </w:rPr>
        <w:t>transmissão “</w:t>
      </w:r>
      <w:proofErr w:type="spellStart"/>
      <w:proofErr w:type="gramStart"/>
      <w:r w:rsidR="00094B29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="00094B29">
        <w:rPr>
          <w:rFonts w:ascii="Times New Roman" w:hAnsi="Times New Roman" w:cs="Times New Roman"/>
          <w:sz w:val="24"/>
          <w:szCs w:val="24"/>
        </w:rPr>
        <w:t xml:space="preserve"> </w:t>
      </w:r>
      <w:r w:rsidR="00C948BA" w:rsidRPr="00C948BA">
        <w:rPr>
          <w:rFonts w:ascii="Times New Roman" w:hAnsi="Times New Roman" w:cs="Times New Roman"/>
          <w:sz w:val="24"/>
          <w:szCs w:val="24"/>
        </w:rPr>
        <w:t>vivos</w:t>
      </w:r>
      <w:proofErr w:type="gramEnd"/>
      <w:r w:rsidR="00C948BA" w:rsidRPr="00C948BA">
        <w:rPr>
          <w:rFonts w:ascii="Times New Roman" w:hAnsi="Times New Roman" w:cs="Times New Roman"/>
          <w:sz w:val="24"/>
          <w:szCs w:val="24"/>
        </w:rPr>
        <w:t>”, a q</w:t>
      </w:r>
      <w:r w:rsidR="00C948BA">
        <w:rPr>
          <w:rFonts w:ascii="Times New Roman" w:hAnsi="Times New Roman" w:cs="Times New Roman"/>
          <w:sz w:val="24"/>
          <w:szCs w:val="24"/>
        </w:rPr>
        <w:t xml:space="preserve">ualquer título, por ato oneroso: </w:t>
      </w:r>
      <w:r w:rsidR="00C948BA" w:rsidRPr="00C948BA">
        <w:rPr>
          <w:rFonts w:ascii="Times New Roman" w:hAnsi="Times New Roman" w:cs="Times New Roman"/>
          <w:sz w:val="24"/>
          <w:szCs w:val="24"/>
        </w:rPr>
        <w:t>de bens imóveis, por natureza ou acessão física</w:t>
      </w:r>
      <w:r w:rsidR="00094B29">
        <w:rPr>
          <w:rFonts w:ascii="Times New Roman" w:hAnsi="Times New Roman" w:cs="Times New Roman"/>
          <w:sz w:val="24"/>
          <w:szCs w:val="24"/>
        </w:rPr>
        <w:t>, excluindo-se a sucessão</w:t>
      </w:r>
      <w:r w:rsidR="00C948BA" w:rsidRPr="00C948BA">
        <w:rPr>
          <w:rFonts w:ascii="Times New Roman" w:hAnsi="Times New Roman" w:cs="Times New Roman"/>
          <w:sz w:val="24"/>
          <w:szCs w:val="24"/>
        </w:rPr>
        <w:t>; de direitos reais sobre bens imóveis, excet</w:t>
      </w:r>
      <w:r w:rsidR="00F944AD">
        <w:rPr>
          <w:rFonts w:ascii="Times New Roman" w:hAnsi="Times New Roman" w:cs="Times New Roman"/>
          <w:sz w:val="24"/>
          <w:szCs w:val="24"/>
        </w:rPr>
        <w:t xml:space="preserve">o os de garantia. </w:t>
      </w:r>
      <w:r w:rsidR="00C948BA">
        <w:rPr>
          <w:rFonts w:ascii="Times New Roman" w:hAnsi="Times New Roman" w:cs="Times New Roman"/>
          <w:sz w:val="24"/>
          <w:szCs w:val="24"/>
        </w:rPr>
        <w:t xml:space="preserve">Também se materializa pela </w:t>
      </w:r>
      <w:r w:rsidR="00C948BA" w:rsidRPr="00C948BA">
        <w:rPr>
          <w:rFonts w:ascii="Times New Roman" w:hAnsi="Times New Roman" w:cs="Times New Roman"/>
          <w:sz w:val="24"/>
          <w:szCs w:val="24"/>
        </w:rPr>
        <w:t>cessão, por ato oneroso, de direitos relativos à aquisição de bens imóveis.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D2E" w:rsidRDefault="00C948BA" w:rsidP="00966A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B5E8F">
        <w:rPr>
          <w:rFonts w:ascii="Times New Roman" w:hAnsi="Times New Roman" w:cs="Times New Roman"/>
          <w:b/>
          <w:sz w:val="24"/>
          <w:szCs w:val="24"/>
        </w:rPr>
        <w:t>aspecto espacial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F8E">
        <w:rPr>
          <w:rFonts w:ascii="Times New Roman" w:hAnsi="Times New Roman" w:cs="Times New Roman"/>
          <w:sz w:val="24"/>
          <w:szCs w:val="24"/>
        </w:rPr>
        <w:t xml:space="preserve">é </w:t>
      </w:r>
      <w:r w:rsidR="006A6F8E" w:rsidRPr="006A6F8E">
        <w:rPr>
          <w:rFonts w:ascii="Times New Roman" w:hAnsi="Times New Roman" w:cs="Times New Roman"/>
          <w:sz w:val="24"/>
          <w:szCs w:val="24"/>
        </w:rPr>
        <w:t>o espaço físico em que a relação jurídica po</w:t>
      </w:r>
      <w:r w:rsidR="006A6F8E">
        <w:rPr>
          <w:rFonts w:ascii="Times New Roman" w:hAnsi="Times New Roman" w:cs="Times New Roman"/>
          <w:sz w:val="24"/>
          <w:szCs w:val="24"/>
        </w:rPr>
        <w:t>de se dar</w:t>
      </w:r>
      <w:r w:rsidR="006A6F8E" w:rsidRPr="006A6F8E">
        <w:rPr>
          <w:rFonts w:ascii="Times New Roman" w:hAnsi="Times New Roman" w:cs="Times New Roman"/>
          <w:sz w:val="24"/>
          <w:szCs w:val="24"/>
        </w:rPr>
        <w:t>.</w:t>
      </w:r>
      <w:r w:rsidR="006A6F8E">
        <w:rPr>
          <w:rFonts w:ascii="Times New Roman" w:hAnsi="Times New Roman" w:cs="Times New Roman"/>
          <w:sz w:val="24"/>
          <w:szCs w:val="24"/>
        </w:rPr>
        <w:t xml:space="preserve"> Assim, no caso do ITBI, já que é um imposto que compete aos Municípios, o local é o do município onde se encontra</w:t>
      </w:r>
      <w:r w:rsidR="006A6F8E" w:rsidRPr="006A6F8E">
        <w:rPr>
          <w:rFonts w:ascii="Times New Roman" w:hAnsi="Times New Roman" w:cs="Times New Roman"/>
          <w:sz w:val="24"/>
          <w:szCs w:val="24"/>
        </w:rPr>
        <w:t xml:space="preserve"> o imóvel </w:t>
      </w:r>
      <w:r w:rsidR="006A6F8E">
        <w:rPr>
          <w:rFonts w:ascii="Times New Roman" w:hAnsi="Times New Roman" w:cs="Times New Roman"/>
          <w:sz w:val="24"/>
          <w:szCs w:val="24"/>
        </w:rPr>
        <w:t xml:space="preserve">que é </w:t>
      </w:r>
      <w:r w:rsidR="006A6F8E" w:rsidRPr="006A6F8E">
        <w:rPr>
          <w:rFonts w:ascii="Times New Roman" w:hAnsi="Times New Roman" w:cs="Times New Roman"/>
          <w:sz w:val="24"/>
          <w:szCs w:val="24"/>
        </w:rPr>
        <w:t xml:space="preserve">objeto </w:t>
      </w:r>
      <w:r w:rsidR="006A6F8E">
        <w:rPr>
          <w:rFonts w:ascii="Times New Roman" w:hAnsi="Times New Roman" w:cs="Times New Roman"/>
          <w:sz w:val="24"/>
          <w:szCs w:val="24"/>
        </w:rPr>
        <w:t xml:space="preserve">do fato gerador: </w:t>
      </w:r>
      <w:r w:rsidR="006A6F8E" w:rsidRPr="006A6F8E">
        <w:rPr>
          <w:rFonts w:ascii="Times New Roman" w:hAnsi="Times New Roman" w:cs="Times New Roman"/>
          <w:sz w:val="24"/>
          <w:szCs w:val="24"/>
        </w:rPr>
        <w:t>cessão de direitos</w:t>
      </w:r>
      <w:r w:rsidR="006A6F8E">
        <w:rPr>
          <w:rFonts w:ascii="Times New Roman" w:hAnsi="Times New Roman" w:cs="Times New Roman"/>
          <w:sz w:val="24"/>
          <w:szCs w:val="24"/>
        </w:rPr>
        <w:t xml:space="preserve"> ou a transmissão</w:t>
      </w:r>
      <w:r w:rsidR="006A6F8E" w:rsidRPr="006A6F8E">
        <w:rPr>
          <w:rFonts w:ascii="Times New Roman" w:hAnsi="Times New Roman" w:cs="Times New Roman"/>
          <w:sz w:val="24"/>
          <w:szCs w:val="24"/>
        </w:rPr>
        <w:t>.</w:t>
      </w:r>
      <w:r w:rsidR="003A238D">
        <w:rPr>
          <w:rFonts w:ascii="Times New Roman" w:hAnsi="Times New Roman" w:cs="Times New Roman"/>
          <w:sz w:val="24"/>
          <w:szCs w:val="24"/>
        </w:rPr>
        <w:t xml:space="preserve"> (Artigo 156, II da CF c/c artigo 35, </w:t>
      </w:r>
      <w:r w:rsidR="003A238D" w:rsidRPr="003A238D">
        <w:rPr>
          <w:rFonts w:ascii="Times New Roman" w:hAnsi="Times New Roman" w:cs="Times New Roman"/>
          <w:i/>
          <w:sz w:val="24"/>
          <w:szCs w:val="24"/>
        </w:rPr>
        <w:t>caput</w:t>
      </w:r>
      <w:r w:rsidR="003A238D">
        <w:rPr>
          <w:rFonts w:ascii="Times New Roman" w:hAnsi="Times New Roman" w:cs="Times New Roman"/>
          <w:sz w:val="24"/>
          <w:szCs w:val="24"/>
        </w:rPr>
        <w:t xml:space="preserve"> do CTN</w:t>
      </w:r>
      <w:proofErr w:type="gramStart"/>
      <w:r w:rsidR="003A238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94B29" w:rsidRDefault="006A6F8E" w:rsidP="00966A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B5E8F">
        <w:rPr>
          <w:rFonts w:ascii="Times New Roman" w:hAnsi="Times New Roman" w:cs="Times New Roman"/>
          <w:b/>
          <w:sz w:val="24"/>
          <w:szCs w:val="24"/>
        </w:rPr>
        <w:t>aspecto pessoal</w:t>
      </w:r>
      <w:r>
        <w:rPr>
          <w:rFonts w:ascii="Times New Roman" w:hAnsi="Times New Roman" w:cs="Times New Roman"/>
          <w:sz w:val="24"/>
          <w:szCs w:val="24"/>
        </w:rPr>
        <w:t xml:space="preserve"> abrange o sujeito passivo e ativo da obrigação tributária em questão. O sujeito </w:t>
      </w:r>
      <w:r w:rsidR="00BF135F">
        <w:rPr>
          <w:rFonts w:ascii="Times New Roman" w:hAnsi="Times New Roman" w:cs="Times New Roman"/>
          <w:sz w:val="24"/>
          <w:szCs w:val="24"/>
        </w:rPr>
        <w:t>ativo é aquele que tem condições jurídicas de cobrar o tributo e o sujeito passivo</w:t>
      </w:r>
      <w:r>
        <w:rPr>
          <w:rFonts w:ascii="Times New Roman" w:hAnsi="Times New Roman" w:cs="Times New Roman"/>
          <w:sz w:val="24"/>
          <w:szCs w:val="24"/>
        </w:rPr>
        <w:t xml:space="preserve"> é aquele que realiza o fato dito imponível, ou outro que tenha ligação para com tal</w:t>
      </w:r>
      <w:r w:rsidR="00BF135F">
        <w:rPr>
          <w:rFonts w:ascii="Times New Roman" w:hAnsi="Times New Roman" w:cs="Times New Roman"/>
          <w:sz w:val="24"/>
          <w:szCs w:val="24"/>
        </w:rPr>
        <w:t>. Portanto, o sujeito ativo no ITBI são os Municípios, pois cabe a eles a instituição do ITBI, conforme dispõe artigo 56, II da CF</w:t>
      </w:r>
      <w:r w:rsidR="00F944AD">
        <w:rPr>
          <w:rFonts w:ascii="Times New Roman" w:hAnsi="Times New Roman" w:cs="Times New Roman"/>
          <w:sz w:val="24"/>
          <w:szCs w:val="24"/>
        </w:rPr>
        <w:t xml:space="preserve"> e como sujeito passivo tem-se os contribuintes</w:t>
      </w:r>
      <w:r w:rsidR="00094B29">
        <w:rPr>
          <w:rFonts w:ascii="Times New Roman" w:hAnsi="Times New Roman" w:cs="Times New Roman"/>
          <w:sz w:val="24"/>
          <w:szCs w:val="24"/>
        </w:rPr>
        <w:t xml:space="preserve">, que, em acordo com o artigo 42 do CTN é </w:t>
      </w:r>
      <w:r w:rsidR="00204F66">
        <w:rPr>
          <w:rFonts w:ascii="Times New Roman" w:hAnsi="Times New Roman" w:cs="Times New Roman"/>
          <w:sz w:val="24"/>
          <w:szCs w:val="24"/>
        </w:rPr>
        <w:t>“</w:t>
      </w:r>
      <w:r w:rsidR="00094B29">
        <w:rPr>
          <w:rFonts w:ascii="Times New Roman" w:hAnsi="Times New Roman" w:cs="Times New Roman"/>
          <w:sz w:val="24"/>
          <w:szCs w:val="24"/>
        </w:rPr>
        <w:t>qualquer das partes na operação tributada, como dispuser a lei</w:t>
      </w:r>
      <w:r w:rsidR="00204F6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04F66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3A238D" w:rsidRDefault="0045434F" w:rsidP="00966A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B5E8F">
        <w:rPr>
          <w:rFonts w:ascii="Times New Roman" w:hAnsi="Times New Roman" w:cs="Times New Roman"/>
          <w:b/>
          <w:sz w:val="24"/>
          <w:szCs w:val="24"/>
        </w:rPr>
        <w:t>aspecto quantitativo</w:t>
      </w:r>
      <w:r>
        <w:rPr>
          <w:rFonts w:ascii="Times New Roman" w:hAnsi="Times New Roman" w:cs="Times New Roman"/>
          <w:sz w:val="24"/>
          <w:szCs w:val="24"/>
        </w:rPr>
        <w:t xml:space="preserve"> da hipótese de incidência leva em consideração o próprio Artigo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CTN, que assegura que a norma tributária deve prever o verbo e o complemento, o momento em que surge a obrigação, local, sujeitos e a base de cálculo 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alíquota. Trazendo para o ITBI, a base de cálculo é o valor venal dos bens ou direitos transmitidos, como dispõe artigo 38 do CTN. </w:t>
      </w:r>
      <w:r w:rsidR="003A238D">
        <w:rPr>
          <w:rFonts w:ascii="Times New Roman" w:hAnsi="Times New Roman" w:cs="Times New Roman"/>
          <w:sz w:val="24"/>
          <w:szCs w:val="24"/>
        </w:rPr>
        <w:t xml:space="preserve">A alíquota seria o percentual, cujo limite não excederá </w:t>
      </w:r>
      <w:r w:rsidR="003A238D" w:rsidRPr="003A238D">
        <w:rPr>
          <w:rFonts w:ascii="Times New Roman" w:hAnsi="Times New Roman" w:cs="Times New Roman"/>
          <w:sz w:val="24"/>
          <w:szCs w:val="24"/>
        </w:rPr>
        <w:t>os limites fixados em resolução do Senado Federal, que distinguirá, para efeito de aplicação de alíquota mais baixa, as transmissões que atendam à política nacional de habitação</w:t>
      </w:r>
      <w:r w:rsidR="003A2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6D2E" w:rsidRPr="00FC6D2E" w:rsidRDefault="003A238D" w:rsidP="0048150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CF3C13">
        <w:rPr>
          <w:rFonts w:ascii="Times New Roman" w:hAnsi="Times New Roman" w:cs="Times New Roman"/>
          <w:b/>
          <w:sz w:val="24"/>
          <w:szCs w:val="24"/>
        </w:rPr>
        <w:t>critério espacial</w:t>
      </w:r>
      <w:r>
        <w:rPr>
          <w:rFonts w:ascii="Times New Roman" w:hAnsi="Times New Roman" w:cs="Times New Roman"/>
          <w:sz w:val="24"/>
          <w:szCs w:val="24"/>
        </w:rPr>
        <w:t xml:space="preserve"> leva em consideração o momento em que se dá o fato gerador. Posto isto, no caso do ITBI será o momento em que se dá a transmissão. (Artigo 35, I e II do CTN).</w:t>
      </w:r>
    </w:p>
    <w:p w:rsidR="0017285D" w:rsidRDefault="0017285D" w:rsidP="001728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85D">
        <w:rPr>
          <w:rFonts w:ascii="Times New Roman" w:hAnsi="Times New Roman" w:cs="Times New Roman"/>
          <w:b/>
          <w:sz w:val="24"/>
          <w:szCs w:val="24"/>
        </w:rPr>
        <w:t>b) Qual o conceito de imunidade tributária.</w:t>
      </w:r>
    </w:p>
    <w:p w:rsidR="00481508" w:rsidRPr="00481508" w:rsidRDefault="00A42E2A" w:rsidP="0048150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2E2A">
        <w:rPr>
          <w:rFonts w:ascii="Times New Roman" w:hAnsi="Times New Roman" w:cs="Times New Roman"/>
          <w:sz w:val="24"/>
          <w:szCs w:val="24"/>
        </w:rPr>
        <w:t xml:space="preserve">A imunidade tributária é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Pr="00A42E2A">
        <w:rPr>
          <w:rFonts w:ascii="Times New Roman" w:hAnsi="Times New Roman" w:cs="Times New Roman"/>
          <w:sz w:val="24"/>
          <w:szCs w:val="24"/>
        </w:rPr>
        <w:t xml:space="preserve">norma constitucional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2E2A">
        <w:rPr>
          <w:rFonts w:ascii="Times New Roman" w:hAnsi="Times New Roman" w:cs="Times New Roman"/>
          <w:sz w:val="24"/>
          <w:szCs w:val="24"/>
        </w:rPr>
        <w:t>art. 150, VI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2E2A">
        <w:rPr>
          <w:rFonts w:ascii="Times New Roman" w:hAnsi="Times New Roman" w:cs="Times New Roman"/>
          <w:sz w:val="24"/>
          <w:szCs w:val="24"/>
        </w:rPr>
        <w:t xml:space="preserve"> que versa sobre as l</w:t>
      </w:r>
      <w:r>
        <w:rPr>
          <w:rFonts w:ascii="Times New Roman" w:hAnsi="Times New Roman" w:cs="Times New Roman"/>
          <w:sz w:val="24"/>
          <w:szCs w:val="24"/>
        </w:rPr>
        <w:t xml:space="preserve">imitações do poder de tributar. </w:t>
      </w:r>
      <w:r w:rsidR="00481508" w:rsidRPr="00481508">
        <w:rPr>
          <w:rFonts w:ascii="Times New Roman" w:hAnsi="Times New Roman" w:cs="Times New Roman"/>
          <w:sz w:val="24"/>
          <w:szCs w:val="24"/>
        </w:rPr>
        <w:t>O Professor Paulo de Barros Carvalho traz o seguinte conceito de imunidade:</w:t>
      </w:r>
    </w:p>
    <w:p w:rsidR="00563F6E" w:rsidRDefault="00481508" w:rsidP="0048150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481508">
        <w:rPr>
          <w:rFonts w:ascii="Times New Roman" w:hAnsi="Times New Roman" w:cs="Times New Roman"/>
          <w:sz w:val="20"/>
          <w:szCs w:val="24"/>
        </w:rPr>
        <w:t>“A classe finita e imediatamente determinável de normas jurídicas, contidas no texto da Constituição Federal, que estabelecem de modo expresso a incompetência das pessoas políticas de direito interno, para expedir regras instituidores de tributos que alcancem situações específicas e suficientemente caracterizadas.” (</w:t>
      </w:r>
      <w:r w:rsidR="00A42E2A">
        <w:rPr>
          <w:rFonts w:ascii="Times New Roman" w:hAnsi="Times New Roman" w:cs="Times New Roman"/>
          <w:sz w:val="20"/>
          <w:szCs w:val="24"/>
        </w:rPr>
        <w:t>2002</w:t>
      </w:r>
      <w:r w:rsidRPr="00481508">
        <w:rPr>
          <w:rFonts w:ascii="Times New Roman" w:hAnsi="Times New Roman" w:cs="Times New Roman"/>
          <w:sz w:val="20"/>
          <w:szCs w:val="24"/>
        </w:rPr>
        <w:t>, p. 178</w:t>
      </w:r>
      <w:proofErr w:type="gramStart"/>
      <w:r w:rsidRPr="00481508">
        <w:rPr>
          <w:rFonts w:ascii="Times New Roman" w:hAnsi="Times New Roman" w:cs="Times New Roman"/>
          <w:sz w:val="20"/>
          <w:szCs w:val="24"/>
        </w:rPr>
        <w:t>)</w:t>
      </w:r>
      <w:proofErr w:type="gramEnd"/>
    </w:p>
    <w:p w:rsidR="00CE2084" w:rsidRDefault="00CE2084" w:rsidP="00CE208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E2084" w:rsidRPr="00CE2084" w:rsidRDefault="00CE2084" w:rsidP="00263AF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doutrina diferencia imunidade de isenção. Conforme José Luiz de Gouvêia Rios (1998), a imunidade se trata da renúncia fiscal ou vedação da cobrança de tributos que a Constituição estabelece. RIOS (1998) </w:t>
      </w:r>
      <w:proofErr w:type="gramStart"/>
      <w:r>
        <w:rPr>
          <w:rFonts w:ascii="Times New Roman" w:hAnsi="Times New Roman" w:cs="Times New Roman"/>
          <w:sz w:val="24"/>
          <w:szCs w:val="24"/>
        </w:rPr>
        <w:t>acrescenta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ainda que o termo utilizado na Constituição seja isenção, em bem verdade trata-se de imunidade</w:t>
      </w:r>
      <w:r w:rsidR="00263A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isençã</w:t>
      </w:r>
      <w:r w:rsidR="00263AF0">
        <w:rPr>
          <w:rFonts w:ascii="Times New Roman" w:hAnsi="Times New Roman" w:cs="Times New Roman"/>
          <w:sz w:val="24"/>
          <w:szCs w:val="24"/>
        </w:rPr>
        <w:t xml:space="preserve">o, por sua vez, seria a escusa </w:t>
      </w:r>
      <w:r>
        <w:rPr>
          <w:rFonts w:ascii="Times New Roman" w:hAnsi="Times New Roman" w:cs="Times New Roman"/>
          <w:sz w:val="24"/>
          <w:szCs w:val="24"/>
        </w:rPr>
        <w:t>por parte de determinadas pessoas e situações, na qual o Estado concede o recolhimento de certos tributos</w:t>
      </w:r>
      <w:r w:rsidRPr="00CE20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 meio</w:t>
      </w:r>
      <w:r w:rsidRPr="00CE2084">
        <w:rPr>
          <w:rFonts w:ascii="Times New Roman" w:hAnsi="Times New Roman" w:cs="Times New Roman"/>
          <w:sz w:val="24"/>
          <w:szCs w:val="24"/>
        </w:rPr>
        <w:t xml:space="preserve"> de leis </w:t>
      </w:r>
      <w:proofErr w:type="spellStart"/>
      <w:proofErr w:type="gramStart"/>
      <w:r w:rsidRPr="00CE2084">
        <w:rPr>
          <w:rFonts w:ascii="Times New Roman" w:hAnsi="Times New Roman" w:cs="Times New Roman"/>
          <w:sz w:val="24"/>
          <w:szCs w:val="24"/>
        </w:rPr>
        <w:t>infra-constitucionais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(RIOS, 1988).</w:t>
      </w:r>
    </w:p>
    <w:p w:rsidR="00481508" w:rsidRPr="00481508" w:rsidRDefault="00481508" w:rsidP="0048150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</w:p>
    <w:p w:rsidR="0017285D" w:rsidRPr="0017285D" w:rsidRDefault="0017285D" w:rsidP="001728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85D">
        <w:rPr>
          <w:rFonts w:ascii="Times New Roman" w:hAnsi="Times New Roman" w:cs="Times New Roman"/>
          <w:b/>
          <w:sz w:val="24"/>
          <w:szCs w:val="24"/>
        </w:rPr>
        <w:t>c) Qual o limite de interpretação das normas tributárias imunizantes?</w:t>
      </w:r>
    </w:p>
    <w:p w:rsidR="00043348" w:rsidRPr="006B37E6" w:rsidRDefault="00043348" w:rsidP="0004334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7E6">
        <w:rPr>
          <w:rFonts w:ascii="Times New Roman" w:hAnsi="Times New Roman" w:cs="Times New Roman"/>
          <w:sz w:val="24"/>
          <w:szCs w:val="24"/>
        </w:rPr>
        <w:t>O artigo</w:t>
      </w:r>
      <w:r w:rsidRPr="006B3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111 do Código Tributário Nacional (CTN) determina que se interprete literalmente a legislação tributária que verse sobre a outorga de isenção.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Traz, portanto, uma limitação à letra da lei.</w:t>
      </w:r>
      <w:r w:rsidRPr="006B3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Ricardo Lobo Torres (2006) explica que este tipo de interpretação literal é </w:t>
      </w:r>
      <w:proofErr w:type="gramStart"/>
      <w:r w:rsidR="005333CB" w:rsidRPr="006B3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designad</w:t>
      </w:r>
      <w:r w:rsidR="00533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6B3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</w:t>
      </w:r>
      <w:r w:rsidR="00533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6B3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restritiva</w:t>
      </w:r>
      <w:r w:rsidR="00533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6B3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pela doutrina. Este é um artigo duramente criticado por grande parte da doutrina, pois, conforme aduz José Souto Maior Borges, acaba por ocasionar a “subordinação acrítica e servil do intérprete” (1980, p. 121), levando ao totalitarismo (1980, p.122). As jurisprudências têm se posicionado de forma a adotar a interpretação extensiva, ampla e teleologia, como no julgado que segue: </w:t>
      </w:r>
    </w:p>
    <w:p w:rsidR="00043348" w:rsidRPr="006B37E6" w:rsidRDefault="00043348" w:rsidP="0004334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6B37E6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lastRenderedPageBreak/>
        <w:t xml:space="preserve">A imunidade, sendo uma limitação constitucional ao poder de tributar, não deve sofrer leitura restritiva, tal como a isenção. Segundo a boa doutrina, a regra </w:t>
      </w:r>
      <w:proofErr w:type="spellStart"/>
      <w:r w:rsidRPr="006B37E6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imunitória</w:t>
      </w:r>
      <w:proofErr w:type="spellEnd"/>
      <w:r w:rsidRPr="006B37E6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, como todos os preceitos constitucionais, deve ser interpretada com largueza, atendendo, destarte, o propósito político perseguido pelo constituinte (Proc. DRT-1 n. 2.983/90. TITSP, 4ª C, Rel. Juíza Maria Malfada Tinti. Boletim TIT 17.06.95).</w:t>
      </w:r>
    </w:p>
    <w:p w:rsidR="00043348" w:rsidRPr="006B37E6" w:rsidRDefault="00043348" w:rsidP="0004334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</w:p>
    <w:p w:rsidR="00043348" w:rsidRPr="00043348" w:rsidRDefault="00043348" w:rsidP="0004334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43348">
        <w:rPr>
          <w:rFonts w:ascii="Times New Roman" w:hAnsi="Times New Roman" w:cs="Times New Roman"/>
          <w:color w:val="000000"/>
          <w:sz w:val="24"/>
          <w:shd w:val="clear" w:color="auto" w:fill="FFFFFF"/>
        </w:rPr>
        <w:t>Tem-se como outro exemplo o julgamento do Recurso Extraordinário (RE) n° 237.718, ocorrido em 29 de março de 2001, onde houve provas de que a interpretação dada às regras tributárias imunizantes tem dado importância:</w:t>
      </w:r>
    </w:p>
    <w:p w:rsidR="00043348" w:rsidRPr="006B37E6" w:rsidRDefault="00043348" w:rsidP="0004334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</w:pPr>
      <w:r w:rsidRPr="006B37E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“à interpretação teleológica das normas de imunidade tributária, de modo a </w:t>
      </w:r>
      <w:proofErr w:type="spellStart"/>
      <w:r w:rsidRPr="006B37E6">
        <w:rPr>
          <w:rFonts w:ascii="Times New Roman" w:hAnsi="Times New Roman" w:cs="Times New Roman"/>
          <w:color w:val="000000"/>
          <w:sz w:val="20"/>
          <w:shd w:val="clear" w:color="auto" w:fill="FFFFFF"/>
        </w:rPr>
        <w:t>maximizar-lhes</w:t>
      </w:r>
      <w:proofErr w:type="spellEnd"/>
      <w:r w:rsidRPr="006B37E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o potencial de efetividade, como garantia ou estímulo à concretização dos valores constitucionais que inspiram limitações ao poder de tributar” (BRASIL, RE 237.718, 2001).</w:t>
      </w:r>
    </w:p>
    <w:p w:rsidR="00043348" w:rsidRPr="006B37E6" w:rsidRDefault="00043348" w:rsidP="0004334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</w:pPr>
    </w:p>
    <w:p w:rsidR="00043348" w:rsidRDefault="00043348" w:rsidP="0004334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Fato é que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 depender do limite que se dá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à interpretação das normas de imunidade tributária,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têm-se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diferentes entendimentos e consequências.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o que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será visto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diante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333CB" w:rsidRPr="000619B3" w:rsidRDefault="005333CB" w:rsidP="0004334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386B" w:rsidRPr="0017285D" w:rsidRDefault="00C85BC9" w:rsidP="001728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5BC9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C85BC9">
        <w:rPr>
          <w:rFonts w:ascii="Times New Roman" w:hAnsi="Times New Roman" w:cs="Times New Roman"/>
          <w:b/>
          <w:sz w:val="24"/>
          <w:szCs w:val="24"/>
        </w:rPr>
        <w:t xml:space="preserve"> DESCRIÇÃO DAS DECISÕES POSSÍVEIS</w:t>
      </w:r>
    </w:p>
    <w:p w:rsidR="0017285D" w:rsidRDefault="0017285D" w:rsidP="001728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85D">
        <w:rPr>
          <w:rFonts w:ascii="Times New Roman" w:hAnsi="Times New Roman" w:cs="Times New Roman"/>
          <w:b/>
          <w:sz w:val="24"/>
          <w:szCs w:val="24"/>
        </w:rPr>
        <w:t>d) Incide a imunidade tributária prevista no artigo 156, § 2º, I, da CF/88 quando o imóvel superar o valor do capital social integralizado?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EB3" w:rsidRPr="0017285D" w:rsidRDefault="003A5EB3" w:rsidP="003A5E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>Não incide a imunidade tributária.</w:t>
      </w:r>
    </w:p>
    <w:p w:rsidR="003A5EB3" w:rsidRDefault="003A5EB3" w:rsidP="003A5EB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O artigo 156, §2 da Constituição Federal é claro ao afirmar que </w:t>
      </w:r>
      <w:r w:rsidRPr="00263AF0">
        <w:rPr>
          <w:rFonts w:ascii="Times New Roman" w:hAnsi="Times New Roman" w:cs="Times New Roman"/>
          <w:i/>
          <w:sz w:val="24"/>
          <w:szCs w:val="24"/>
        </w:rPr>
        <w:t>“</w:t>
      </w:r>
      <w:r w:rsidRPr="00263A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§ 2º - O imposto previsto no inciso II: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63A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 - não incide sobre a transmissão de bens ou direitos incorporados ao patrimônio de pessoa ju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rídica em realização de capital (...)</w:t>
      </w:r>
      <w:r w:rsidRPr="00263A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Desta forma, por meio da uma interpretação restritiva, </w:t>
      </w:r>
      <w:r w:rsidRPr="003A5EB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entende-se que somente incide a imunidade tributária em cima </w:t>
      </w:r>
      <w:r w:rsidR="00DF6F2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daquele valo suficiente à</w:t>
      </w:r>
      <w:bookmarkStart w:id="0" w:name="_GoBack"/>
      <w:bookmarkEnd w:id="0"/>
      <w:r w:rsidRPr="003A5EB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integralização de capital social.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Fora isto, não é caso de imunidade. </w:t>
      </w:r>
    </w:p>
    <w:p w:rsidR="003A5EB3" w:rsidRDefault="003A5EB3" w:rsidP="003A5EB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Desta maneira, somente sobre a importância que excede o valor do capital social a integralizar, recairia o ITBI. O voto a seguir do desembargador Jaime Ramos bem expõe este entendimento, ao julgar a Apelação Cível do Mandado de Segurança nº </w:t>
      </w:r>
      <w:r w:rsidRPr="00E54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2011.073712-5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A5EB3" w:rsidRPr="00E54BD8" w:rsidRDefault="003A5EB3" w:rsidP="003A5EB3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“</w:t>
      </w:r>
      <w:r w:rsidRPr="00E54BD8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Todavia</w:t>
      </w:r>
      <w:proofErr w:type="gramEnd"/>
      <w:r w:rsidRPr="00E54BD8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, a imunidade tributária não é ampla e irrestrita, mas apenas em relação ao valor do imóvel suficiente à integralização do capital social, vale dizer, se o capital social a ser integralizado é de R$ 10.000,00, por exemplo, e o valor do imóvel incorporado ao patrimônio da pessoa jurídica para a realização desse capital é R$ 30.000,00, o imposto sobre a transmissão de bens (ITBI) não incidirá tão somente sobre a importância de R$ 10.000,00.</w:t>
      </w:r>
      <w:r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</w:t>
      </w:r>
      <w:r w:rsidRPr="00E54BD8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Isso porque a intenção do legislador constituinte, ao estabelecer a imunidade do ITBI sobre imóveis incorporados ao patrimônio de pessoa jurídica, destinados à integralização do capital social, foi a de facilitar a instituição/criação de novas sociedades e a movimentação de bens que representassem o capital exigido para tal finalidade, e não a de criar </w:t>
      </w:r>
      <w:r w:rsidRPr="00E54BD8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lastRenderedPageBreak/>
        <w:t xml:space="preserve">mecanismos a fim de que os sócios transferissem para o patrimônio da pessoa jurídica imóveis de valor superior àquele necessário à integralização do capital social, e assim ficar totalmente imunes à tributação. </w:t>
      </w:r>
    </w:p>
    <w:p w:rsidR="003A5EB3" w:rsidRDefault="003A5EB3" w:rsidP="003A5EB3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E54BD8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Aliás, o Código Tributário Nacional determina que, "ressalvado o disposto no artigo seguinte, o imposto não incide sobre a transmissão dos bens ou direitos referidos no artigo anterior: I - quando efetuada para sua incorporação ao patrimônio de pessoa jurídica em pagamento de capital nela subscrito" (art. 36 </w:t>
      </w:r>
      <w:proofErr w:type="gramStart"/>
      <w:r w:rsidRPr="00E54BD8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-grifo</w:t>
      </w:r>
      <w:proofErr w:type="gramEnd"/>
      <w:r w:rsidRPr="00E54BD8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aposto).</w:t>
      </w:r>
      <w:r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” (BRASIL, AP 2011.073712-5)</w:t>
      </w:r>
    </w:p>
    <w:p w:rsidR="003A5EB3" w:rsidRDefault="003A5EB3" w:rsidP="003A5EB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5EB3" w:rsidRDefault="003A5EB3" w:rsidP="003A5EB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Destarte, por meio do</w:t>
      </w:r>
      <w:r w:rsidRPr="003A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artigo 36 do Código Tributário Nacional,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versa sobre a não incidência deste imposto</w:t>
      </w:r>
      <w:r w:rsidRPr="003A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sobre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transmissão de bens em determinadas</w:t>
      </w:r>
      <w:r w:rsidRPr="003A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circunstâncias</w:t>
      </w:r>
      <w:r w:rsidRPr="003A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compreende-se que não é caso de conceder imunidade ao valor que excede</w:t>
      </w:r>
      <w:r w:rsidRPr="003A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A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valor total do imóvel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ser integralizado</w:t>
      </w:r>
      <w:r w:rsidRPr="003A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A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41552" w:rsidRPr="00D7658E" w:rsidRDefault="00341552" w:rsidP="003415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osto isto,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552">
        <w:rPr>
          <w:rFonts w:ascii="Times New Roman" w:hAnsi="Times New Roman" w:cs="Times New Roman"/>
          <w:sz w:val="24"/>
          <w:szCs w:val="24"/>
          <w:u w:val="single"/>
        </w:rPr>
        <w:t>não</w:t>
      </w:r>
      <w:r w:rsidRPr="00341552">
        <w:rPr>
          <w:rFonts w:ascii="Times New Roman" w:hAnsi="Times New Roman" w:cs="Times New Roman"/>
          <w:sz w:val="24"/>
          <w:szCs w:val="24"/>
          <w:u w:val="single"/>
        </w:rPr>
        <w:t xml:space="preserve"> incide a imunidade tributária sobre o valor total do imóvel, </w:t>
      </w:r>
      <w:r w:rsidRPr="00341552">
        <w:rPr>
          <w:rFonts w:ascii="Times New Roman" w:hAnsi="Times New Roman" w:cs="Times New Roman"/>
          <w:sz w:val="24"/>
          <w:szCs w:val="24"/>
          <w:u w:val="single"/>
        </w:rPr>
        <w:t>so</w:t>
      </w:r>
      <w:r w:rsidR="005333CB">
        <w:rPr>
          <w:rFonts w:ascii="Times New Roman" w:hAnsi="Times New Roman" w:cs="Times New Roman"/>
          <w:sz w:val="24"/>
          <w:szCs w:val="24"/>
          <w:u w:val="single"/>
        </w:rPr>
        <w:t xml:space="preserve">mente sobre o valor </w:t>
      </w:r>
      <w:r w:rsidR="00DD7E0A">
        <w:rPr>
          <w:rFonts w:ascii="Times New Roman" w:hAnsi="Times New Roman" w:cs="Times New Roman"/>
          <w:sz w:val="24"/>
          <w:szCs w:val="24"/>
          <w:u w:val="single"/>
        </w:rPr>
        <w:t>suficiente a</w:t>
      </w:r>
      <w:r w:rsidRPr="00341552">
        <w:rPr>
          <w:rFonts w:ascii="Times New Roman" w:hAnsi="Times New Roman" w:cs="Times New Roman"/>
          <w:sz w:val="24"/>
          <w:szCs w:val="24"/>
          <w:u w:val="single"/>
        </w:rPr>
        <w:t xml:space="preserve"> integralização de capital social.</w:t>
      </w:r>
    </w:p>
    <w:p w:rsidR="00341552" w:rsidRPr="003A5EB3" w:rsidRDefault="00341552" w:rsidP="003A5EB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285D" w:rsidRDefault="003A5EB3" w:rsidP="001728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</w:t>
      </w:r>
      <w:r w:rsidR="0017285D">
        <w:rPr>
          <w:rFonts w:ascii="Times New Roman" w:hAnsi="Times New Roman" w:cs="Times New Roman"/>
          <w:b/>
          <w:sz w:val="24"/>
          <w:szCs w:val="24"/>
        </w:rPr>
        <w:t>) Incide</w:t>
      </w:r>
      <w:r w:rsidR="00263AF0">
        <w:rPr>
          <w:rFonts w:ascii="Times New Roman" w:hAnsi="Times New Roman" w:cs="Times New Roman"/>
          <w:b/>
          <w:sz w:val="24"/>
          <w:szCs w:val="24"/>
        </w:rPr>
        <w:t xml:space="preserve"> a imunidade tributária</w:t>
      </w:r>
      <w:r w:rsidR="0017285D">
        <w:rPr>
          <w:rFonts w:ascii="Times New Roman" w:hAnsi="Times New Roman" w:cs="Times New Roman"/>
          <w:b/>
          <w:sz w:val="24"/>
          <w:szCs w:val="24"/>
        </w:rPr>
        <w:t>.</w:t>
      </w:r>
    </w:p>
    <w:p w:rsidR="00043348" w:rsidRDefault="003A5EB3" w:rsidP="0004334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Por meio de uma interpretação ampla e extensiva, chega-se à conclusão de que a imunidade tributária estende-se também à importância</w:t>
      </w:r>
      <w:r w:rsidR="00D7658E">
        <w:rPr>
          <w:rFonts w:ascii="Times New Roman" w:hAnsi="Times New Roman" w:cs="Times New Roman"/>
          <w:sz w:val="24"/>
          <w:szCs w:val="24"/>
        </w:rPr>
        <w:t xml:space="preserve"> que exceda</w:t>
      </w:r>
      <w:r>
        <w:rPr>
          <w:rFonts w:ascii="Times New Roman" w:hAnsi="Times New Roman" w:cs="Times New Roman"/>
          <w:sz w:val="24"/>
          <w:szCs w:val="24"/>
        </w:rPr>
        <w:t xml:space="preserve"> o valor a ser </w:t>
      </w:r>
      <w:r w:rsidR="00D7658E">
        <w:rPr>
          <w:rFonts w:ascii="Times New Roman" w:hAnsi="Times New Roman" w:cs="Times New Roman"/>
          <w:sz w:val="24"/>
          <w:szCs w:val="24"/>
        </w:rPr>
        <w:t>integralizado no capital social da pessoa jurídica. C</w:t>
      </w:r>
      <w:r w:rsidR="00D7658E">
        <w:rPr>
          <w:rFonts w:ascii="Times New Roman" w:hAnsi="Times New Roman" w:cs="Times New Roman"/>
          <w:sz w:val="24"/>
          <w:szCs w:val="24"/>
        </w:rPr>
        <w:t xml:space="preserve">onforme Artigo 5º do Código Civil </w:t>
      </w:r>
      <w:r w:rsidR="00D7658E">
        <w:rPr>
          <w:rFonts w:ascii="Times New Roman" w:hAnsi="Times New Roman" w:cs="Times New Roman"/>
          <w:sz w:val="24"/>
          <w:szCs w:val="24"/>
        </w:rPr>
        <w:t xml:space="preserve">deve-se levar em consideração o fim social a que a lei se dirige, qual seja possibilitar a entrada de pessoas física e jurídicas no mercado, e então, a partir deste óbice, </w:t>
      </w:r>
      <w:r w:rsidR="00D7658E" w:rsidRPr="00D7658E">
        <w:rPr>
          <w:rFonts w:ascii="Times New Roman" w:hAnsi="Times New Roman" w:cs="Times New Roman"/>
          <w:sz w:val="24"/>
          <w:szCs w:val="24"/>
          <w:u w:val="single"/>
        </w:rPr>
        <w:t>a imunidade incidiria inclusive sobre o valor do imóvel que excede</w:t>
      </w:r>
      <w:r w:rsidR="00D7658E">
        <w:rPr>
          <w:rFonts w:ascii="Times New Roman" w:hAnsi="Times New Roman" w:cs="Times New Roman"/>
          <w:sz w:val="24"/>
          <w:szCs w:val="24"/>
          <w:u w:val="single"/>
        </w:rPr>
        <w:t xml:space="preserve"> o valor</w:t>
      </w:r>
      <w:r w:rsidR="00D7658E" w:rsidRPr="00D76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658E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D7658E" w:rsidRPr="00D7658E">
        <w:rPr>
          <w:rFonts w:ascii="Times New Roman" w:hAnsi="Times New Roman" w:cs="Times New Roman"/>
          <w:sz w:val="24"/>
          <w:szCs w:val="24"/>
          <w:u w:val="single"/>
        </w:rPr>
        <w:t xml:space="preserve">a integralização. </w:t>
      </w:r>
    </w:p>
    <w:p w:rsidR="00341552" w:rsidRDefault="00D7658E" w:rsidP="0004334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destacar que a não incidência da imunidade sobre o valor total do imóvel poderia ser configurado como um obstáculo À Livre Iniciativa (Artigo 1º da Constituição Federal) e da Autonomia da Vontade (</w:t>
      </w:r>
      <w:r w:rsidRPr="00D7658E">
        <w:rPr>
          <w:rFonts w:ascii="Times New Roman" w:hAnsi="Times New Roman" w:cs="Times New Roman"/>
          <w:sz w:val="24"/>
          <w:szCs w:val="24"/>
        </w:rPr>
        <w:t>artigo 170, inciso IV da C</w:t>
      </w:r>
      <w:r>
        <w:rPr>
          <w:rFonts w:ascii="Times New Roman" w:hAnsi="Times New Roman" w:cs="Times New Roman"/>
          <w:sz w:val="24"/>
          <w:szCs w:val="24"/>
        </w:rPr>
        <w:t xml:space="preserve">onstituição </w:t>
      </w:r>
      <w:r w:rsidRPr="00D7658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ederal)</w:t>
      </w:r>
      <w:r w:rsidR="00341552">
        <w:rPr>
          <w:rFonts w:ascii="Times New Roman" w:hAnsi="Times New Roman" w:cs="Times New Roman"/>
          <w:sz w:val="24"/>
          <w:szCs w:val="24"/>
        </w:rPr>
        <w:t>. Da mesma forma, causar-se-ia grande insegurança jurídica, pois não há nada na Constituição que vede a imunidade sobre o valor que excede o da integralização, muito pelo contrário, permite a imunidade nesses casos para preservar os princípios ditos anteriormente.</w:t>
      </w:r>
    </w:p>
    <w:p w:rsidR="00D7658E" w:rsidRPr="00D7658E" w:rsidRDefault="00341552" w:rsidP="0004334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Posto isto, </w:t>
      </w:r>
      <w:r w:rsidRPr="00341552">
        <w:rPr>
          <w:rFonts w:ascii="Times New Roman" w:hAnsi="Times New Roman" w:cs="Times New Roman"/>
          <w:sz w:val="24"/>
          <w:szCs w:val="24"/>
          <w:u w:val="single"/>
        </w:rPr>
        <w:t>incide a imunidade tributária sobre o valor total do imóvel, inclusive sobre o que excede o valor da integralização de capital social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6DD" w:rsidRDefault="00EA76DD" w:rsidP="00263AF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A5EB3" w:rsidRPr="00263AF0" w:rsidRDefault="003A5EB3" w:rsidP="00263AF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A75F8" w:rsidRDefault="007A75F8" w:rsidP="0017285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33CB" w:rsidRPr="00263AF0" w:rsidRDefault="005333CB" w:rsidP="0017285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1552" w:rsidRDefault="00341552" w:rsidP="00E54B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4A" w:rsidRPr="00FC6D2E" w:rsidRDefault="00B80551" w:rsidP="005A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551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5333CB" w:rsidRDefault="005333CB" w:rsidP="005A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B3">
        <w:rPr>
          <w:rFonts w:ascii="Times New Roman" w:hAnsi="Times New Roman" w:cs="Times New Roman"/>
          <w:sz w:val="24"/>
          <w:szCs w:val="24"/>
        </w:rPr>
        <w:t xml:space="preserve">BORGES, José Souto Maior. Isenções tributárias. 2. </w:t>
      </w:r>
      <w:proofErr w:type="gramStart"/>
      <w:r w:rsidRPr="000619B3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0619B3">
        <w:rPr>
          <w:rFonts w:ascii="Times New Roman" w:hAnsi="Times New Roman" w:cs="Times New Roman"/>
          <w:sz w:val="24"/>
          <w:szCs w:val="24"/>
        </w:rPr>
        <w:t xml:space="preserve"> São Paulo: Sugestões Literárias, 1980.</w:t>
      </w:r>
    </w:p>
    <w:p w:rsidR="005A1F6D" w:rsidRPr="000619B3" w:rsidRDefault="005A1F6D" w:rsidP="005A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BC9" w:rsidRDefault="00FC6D2E" w:rsidP="005A1F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CARVALHO, Paulo de Barros. </w:t>
      </w:r>
      <w:r w:rsidRPr="00A42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Curso de direito tributário.</w:t>
      </w:r>
      <w:r w:rsidRPr="00FC6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14ª. </w:t>
      </w:r>
      <w:proofErr w:type="gramStart"/>
      <w:r w:rsidRPr="00FC6D2E">
        <w:rPr>
          <w:rFonts w:ascii="Times New Roman" w:hAnsi="Times New Roman" w:cs="Times New Roman"/>
          <w:color w:val="000000" w:themeColor="text1"/>
          <w:sz w:val="24"/>
          <w:szCs w:val="24"/>
        </w:rPr>
        <w:t>ed.</w:t>
      </w:r>
      <w:proofErr w:type="gramEnd"/>
      <w:r w:rsidRPr="00FC6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Paulo: Saraiva, 2002.</w:t>
      </w:r>
    </w:p>
    <w:p w:rsidR="005A1F6D" w:rsidRDefault="005A1F6D" w:rsidP="005A1F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6D2E" w:rsidRDefault="00FC6D2E" w:rsidP="005A1F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1EE6">
        <w:rPr>
          <w:rFonts w:ascii="Times New Roman" w:hAnsi="Times New Roman" w:cs="Times New Roman"/>
          <w:sz w:val="24"/>
        </w:rPr>
        <w:t xml:space="preserve">CARVALHO, Aurora </w:t>
      </w:r>
      <w:proofErr w:type="spellStart"/>
      <w:r w:rsidRPr="00B21EE6">
        <w:rPr>
          <w:rFonts w:ascii="Times New Roman" w:hAnsi="Times New Roman" w:cs="Times New Roman"/>
          <w:sz w:val="24"/>
        </w:rPr>
        <w:t>Tomazini</w:t>
      </w:r>
      <w:proofErr w:type="spellEnd"/>
      <w:r w:rsidRPr="00B21EE6">
        <w:rPr>
          <w:rFonts w:ascii="Times New Roman" w:hAnsi="Times New Roman" w:cs="Times New Roman"/>
          <w:sz w:val="24"/>
        </w:rPr>
        <w:t xml:space="preserve"> de. </w:t>
      </w:r>
      <w:r w:rsidRPr="00B21EE6">
        <w:rPr>
          <w:rFonts w:ascii="Times New Roman" w:hAnsi="Times New Roman" w:cs="Times New Roman"/>
          <w:b/>
          <w:sz w:val="24"/>
        </w:rPr>
        <w:t xml:space="preserve">Curso de teoria geral do direito: o </w:t>
      </w:r>
      <w:proofErr w:type="spellStart"/>
      <w:r w:rsidRPr="00B21EE6">
        <w:rPr>
          <w:rFonts w:ascii="Times New Roman" w:hAnsi="Times New Roman" w:cs="Times New Roman"/>
          <w:b/>
          <w:sz w:val="24"/>
        </w:rPr>
        <w:t>constructivismo</w:t>
      </w:r>
      <w:proofErr w:type="spellEnd"/>
      <w:r w:rsidRPr="00B21EE6">
        <w:rPr>
          <w:rFonts w:ascii="Times New Roman" w:hAnsi="Times New Roman" w:cs="Times New Roman"/>
          <w:b/>
          <w:sz w:val="24"/>
        </w:rPr>
        <w:t xml:space="preserve"> lógico semântico</w:t>
      </w:r>
      <w:r w:rsidRPr="00B21EE6">
        <w:rPr>
          <w:rFonts w:ascii="Times New Roman" w:hAnsi="Times New Roman" w:cs="Times New Roman"/>
          <w:sz w:val="24"/>
        </w:rPr>
        <w:t xml:space="preserve">. São Paulo: </w:t>
      </w:r>
      <w:proofErr w:type="spellStart"/>
      <w:r w:rsidRPr="00B21EE6">
        <w:rPr>
          <w:rFonts w:ascii="Times New Roman" w:hAnsi="Times New Roman" w:cs="Times New Roman"/>
          <w:sz w:val="24"/>
        </w:rPr>
        <w:t>Noeses</w:t>
      </w:r>
      <w:proofErr w:type="spellEnd"/>
      <w:r w:rsidRPr="00B21EE6">
        <w:rPr>
          <w:rFonts w:ascii="Times New Roman" w:hAnsi="Times New Roman" w:cs="Times New Roman"/>
          <w:sz w:val="24"/>
        </w:rPr>
        <w:t>, 2009.</w:t>
      </w:r>
    </w:p>
    <w:p w:rsidR="005A1F6D" w:rsidRDefault="005A1F6D" w:rsidP="005A1F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33CB" w:rsidRDefault="005333CB" w:rsidP="005A1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9B3">
        <w:rPr>
          <w:rFonts w:ascii="Times New Roman" w:hAnsi="Times New Roman" w:cs="Times New Roman"/>
          <w:color w:val="000000"/>
          <w:sz w:val="24"/>
          <w:szCs w:val="24"/>
        </w:rPr>
        <w:t>TORRES, Ricardo Lobo.</w:t>
      </w:r>
      <w:r w:rsidRPr="000619B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6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Normas de Interpretação e Integração do Direito Tributário</w:t>
      </w:r>
      <w:r w:rsidRPr="000619B3">
        <w:rPr>
          <w:rFonts w:ascii="Times New Roman" w:hAnsi="Times New Roman" w:cs="Times New Roman"/>
          <w:color w:val="000000"/>
          <w:sz w:val="24"/>
          <w:szCs w:val="24"/>
        </w:rPr>
        <w:t>. Rio de Janeiro: Renovar, 2006.</w:t>
      </w:r>
    </w:p>
    <w:p w:rsidR="005A1F6D" w:rsidRPr="000619B3" w:rsidRDefault="005A1F6D" w:rsidP="005A1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3CB" w:rsidRPr="000619B3" w:rsidRDefault="005333CB" w:rsidP="005A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B3">
        <w:rPr>
          <w:rFonts w:ascii="Times New Roman" w:hAnsi="Times New Roman" w:cs="Times New Roman"/>
          <w:sz w:val="24"/>
          <w:szCs w:val="24"/>
        </w:rPr>
        <w:t xml:space="preserve">BORGES, José Souto Maior. </w:t>
      </w:r>
      <w:r w:rsidRPr="005A1F6D">
        <w:rPr>
          <w:rFonts w:ascii="Times New Roman" w:hAnsi="Times New Roman" w:cs="Times New Roman"/>
          <w:b/>
          <w:sz w:val="24"/>
          <w:szCs w:val="24"/>
        </w:rPr>
        <w:t>Isenções tributárias.</w:t>
      </w:r>
      <w:r w:rsidRPr="000619B3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0619B3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0619B3">
        <w:rPr>
          <w:rFonts w:ascii="Times New Roman" w:hAnsi="Times New Roman" w:cs="Times New Roman"/>
          <w:sz w:val="24"/>
          <w:szCs w:val="24"/>
        </w:rPr>
        <w:t xml:space="preserve"> São Paulo: Sugestões Literárias, 1980.</w:t>
      </w:r>
    </w:p>
    <w:p w:rsidR="005A1F6D" w:rsidRDefault="005A1F6D" w:rsidP="005A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F6D" w:rsidRDefault="005333CB" w:rsidP="005A1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19B3">
        <w:rPr>
          <w:rFonts w:ascii="Times New Roman" w:hAnsi="Times New Roman" w:cs="Times New Roman"/>
          <w:sz w:val="24"/>
          <w:szCs w:val="24"/>
        </w:rPr>
        <w:t xml:space="preserve">COSTA, Regina Helena. Imunidades tributárias: teoria e análise da jurisprudência do STF. 2. </w:t>
      </w:r>
      <w:proofErr w:type="gramStart"/>
      <w:r w:rsidRPr="000619B3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0619B3">
        <w:rPr>
          <w:rFonts w:ascii="Times New Roman" w:hAnsi="Times New Roman" w:cs="Times New Roman"/>
          <w:sz w:val="24"/>
          <w:szCs w:val="24"/>
        </w:rPr>
        <w:t xml:space="preserve"> São Paulo: Malheiros, 2006.</w:t>
      </w:r>
    </w:p>
    <w:p w:rsidR="005A1F6D" w:rsidRDefault="005A1F6D" w:rsidP="005A1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33CB" w:rsidRPr="00341552" w:rsidRDefault="005333CB" w:rsidP="005A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RIOS, José Luiz de Gouvêia. </w:t>
      </w:r>
      <w:r w:rsidRPr="003415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III Seminário Nacional de Fundações.</w:t>
      </w:r>
      <w:r w:rsidRPr="00341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Belo Horizonte, 01 a 03 de dezembro de 1998.</w:t>
      </w:r>
    </w:p>
    <w:p w:rsidR="005A1F6D" w:rsidRDefault="005A1F6D" w:rsidP="005A1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3CB" w:rsidRPr="000619B3" w:rsidRDefault="005333CB" w:rsidP="005A1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9B3">
        <w:rPr>
          <w:rFonts w:ascii="Times New Roman" w:hAnsi="Times New Roman" w:cs="Times New Roman"/>
          <w:color w:val="000000"/>
          <w:sz w:val="24"/>
          <w:szCs w:val="24"/>
        </w:rPr>
        <w:t>TORRES, Ricardo Lobo.</w:t>
      </w:r>
      <w:r w:rsidRPr="000619B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6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Normas de Interpretação e Integração do Direito Tributário</w:t>
      </w:r>
      <w:r w:rsidRPr="000619B3">
        <w:rPr>
          <w:rFonts w:ascii="Times New Roman" w:hAnsi="Times New Roman" w:cs="Times New Roman"/>
          <w:color w:val="000000"/>
          <w:sz w:val="24"/>
          <w:szCs w:val="24"/>
        </w:rPr>
        <w:t>. Rio de Janeiro: Renovar, 2006.</w:t>
      </w:r>
    </w:p>
    <w:sectPr w:rsidR="005333CB" w:rsidRPr="000619B3" w:rsidSect="00FC5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55" w:rsidRDefault="00C86555" w:rsidP="00A74FA3">
      <w:pPr>
        <w:spacing w:after="0" w:line="240" w:lineRule="auto"/>
      </w:pPr>
      <w:r>
        <w:separator/>
      </w:r>
    </w:p>
  </w:endnote>
  <w:endnote w:type="continuationSeparator" w:id="0">
    <w:p w:rsidR="00C86555" w:rsidRDefault="00C86555" w:rsidP="00A7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55" w:rsidRDefault="00C86555" w:rsidP="00A74FA3">
      <w:pPr>
        <w:spacing w:after="0" w:line="240" w:lineRule="auto"/>
      </w:pPr>
      <w:r>
        <w:separator/>
      </w:r>
    </w:p>
  </w:footnote>
  <w:footnote w:type="continuationSeparator" w:id="0">
    <w:p w:rsidR="00C86555" w:rsidRDefault="00C86555" w:rsidP="00A74FA3">
      <w:pPr>
        <w:spacing w:after="0" w:line="240" w:lineRule="auto"/>
      </w:pPr>
      <w:r>
        <w:continuationSeparator/>
      </w:r>
    </w:p>
  </w:footnote>
  <w:footnote w:id="1">
    <w:p w:rsidR="00F65CE9" w:rsidRPr="00945AE2" w:rsidRDefault="00F65CE9">
      <w:pPr>
        <w:pStyle w:val="Textodenotaderodap"/>
        <w:rPr>
          <w:rFonts w:ascii="Times New Roman" w:hAnsi="Times New Roman" w:cs="Times New Roman"/>
        </w:rPr>
      </w:pPr>
      <w:r w:rsidRPr="00945AE2">
        <w:rPr>
          <w:rStyle w:val="Refdenotaderodap"/>
          <w:rFonts w:ascii="Times New Roman" w:hAnsi="Times New Roman" w:cs="Times New Roman"/>
        </w:rPr>
        <w:footnoteRef/>
      </w:r>
      <w:r w:rsidRPr="00945AE2">
        <w:rPr>
          <w:rFonts w:ascii="Times New Roman" w:hAnsi="Times New Roman" w:cs="Times New Roman"/>
        </w:rPr>
        <w:t xml:space="preserve"> Case a</w:t>
      </w:r>
      <w:r w:rsidR="007A75F8">
        <w:rPr>
          <w:rFonts w:ascii="Times New Roman" w:hAnsi="Times New Roman" w:cs="Times New Roman"/>
        </w:rPr>
        <w:t xml:space="preserve">presentado à disciplina </w:t>
      </w:r>
      <w:r w:rsidR="00C85BC9">
        <w:rPr>
          <w:rFonts w:ascii="Times New Roman" w:hAnsi="Times New Roman" w:cs="Times New Roman"/>
        </w:rPr>
        <w:t>Direito Tributário I</w:t>
      </w:r>
      <w:r w:rsidRPr="00945AE2">
        <w:rPr>
          <w:rFonts w:ascii="Times New Roman" w:hAnsi="Times New Roman" w:cs="Times New Roman"/>
        </w:rPr>
        <w:t>, da Unidade de Ensino Superior Dom Bosco – UNDB.</w:t>
      </w:r>
    </w:p>
    <w:p w:rsidR="00F65CE9" w:rsidRPr="00945AE2" w:rsidRDefault="007A75F8">
      <w:pPr>
        <w:pStyle w:val="Textodenotaderodap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²</w:t>
      </w:r>
      <w:proofErr w:type="gramEnd"/>
      <w:r>
        <w:rPr>
          <w:rFonts w:ascii="Times New Roman" w:hAnsi="Times New Roman" w:cs="Times New Roman"/>
        </w:rPr>
        <w:t xml:space="preserve"> Aluna do 7</w:t>
      </w:r>
      <w:r w:rsidR="00F65CE9" w:rsidRPr="00945AE2">
        <w:rPr>
          <w:rFonts w:ascii="Times New Roman" w:hAnsi="Times New Roman" w:cs="Times New Roman"/>
        </w:rPr>
        <w:t xml:space="preserve">º Período, </w:t>
      </w:r>
      <w:r w:rsidR="00C85BC9">
        <w:rPr>
          <w:rFonts w:ascii="Times New Roman" w:hAnsi="Times New Roman" w:cs="Times New Roman"/>
        </w:rPr>
        <w:t>Noturno</w:t>
      </w:r>
      <w:r w:rsidR="00F65CE9" w:rsidRPr="00945AE2">
        <w:rPr>
          <w:rFonts w:ascii="Times New Roman" w:hAnsi="Times New Roman" w:cs="Times New Roman"/>
        </w:rPr>
        <w:t>, da UNDB.</w:t>
      </w:r>
    </w:p>
    <w:p w:rsidR="00F65CE9" w:rsidRDefault="007A75F8">
      <w:pPr>
        <w:pStyle w:val="Textodenotaderodap"/>
      </w:pPr>
      <w:proofErr w:type="gramStart"/>
      <w:r>
        <w:rPr>
          <w:rFonts w:ascii="Times New Roman" w:hAnsi="Times New Roman" w:cs="Times New Roman"/>
        </w:rPr>
        <w:t>³</w:t>
      </w:r>
      <w:proofErr w:type="gramEnd"/>
      <w:r>
        <w:rPr>
          <w:rFonts w:ascii="Times New Roman" w:hAnsi="Times New Roman" w:cs="Times New Roman"/>
        </w:rPr>
        <w:t xml:space="preserve"> Professor </w:t>
      </w:r>
      <w:r w:rsidR="00C85BC9">
        <w:rPr>
          <w:rFonts w:ascii="Times New Roman" w:hAnsi="Times New Roman" w:cs="Times New Roman"/>
        </w:rPr>
        <w:t>Esp.</w:t>
      </w:r>
      <w:r>
        <w:rPr>
          <w:rFonts w:ascii="Times New Roman" w:hAnsi="Times New Roman" w:cs="Times New Roman"/>
        </w:rPr>
        <w:t>, Orientador</w:t>
      </w:r>
      <w:r w:rsidR="00F65CE9" w:rsidRPr="00945AE2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A3"/>
    <w:rsid w:val="00043348"/>
    <w:rsid w:val="00094B29"/>
    <w:rsid w:val="00097CC5"/>
    <w:rsid w:val="000A5A85"/>
    <w:rsid w:val="000D4757"/>
    <w:rsid w:val="000D7AAF"/>
    <w:rsid w:val="000F19BC"/>
    <w:rsid w:val="000F27EB"/>
    <w:rsid w:val="00100853"/>
    <w:rsid w:val="0014052E"/>
    <w:rsid w:val="001435FB"/>
    <w:rsid w:val="00151ABD"/>
    <w:rsid w:val="0017285D"/>
    <w:rsid w:val="00177345"/>
    <w:rsid w:val="001D49F1"/>
    <w:rsid w:val="001E0858"/>
    <w:rsid w:val="001F2113"/>
    <w:rsid w:val="00204F66"/>
    <w:rsid w:val="002275BA"/>
    <w:rsid w:val="00242A3C"/>
    <w:rsid w:val="00255C82"/>
    <w:rsid w:val="00263AF0"/>
    <w:rsid w:val="00271CEA"/>
    <w:rsid w:val="0027252B"/>
    <w:rsid w:val="002E6CB3"/>
    <w:rsid w:val="0030014A"/>
    <w:rsid w:val="003325B7"/>
    <w:rsid w:val="003350CC"/>
    <w:rsid w:val="00341552"/>
    <w:rsid w:val="0034386B"/>
    <w:rsid w:val="00354560"/>
    <w:rsid w:val="0036097E"/>
    <w:rsid w:val="00361565"/>
    <w:rsid w:val="00370204"/>
    <w:rsid w:val="00373E10"/>
    <w:rsid w:val="00394E35"/>
    <w:rsid w:val="003A238D"/>
    <w:rsid w:val="003A5EB3"/>
    <w:rsid w:val="003B14DC"/>
    <w:rsid w:val="003B2679"/>
    <w:rsid w:val="0042783D"/>
    <w:rsid w:val="00434651"/>
    <w:rsid w:val="00442882"/>
    <w:rsid w:val="0045434F"/>
    <w:rsid w:val="0047468E"/>
    <w:rsid w:val="00481508"/>
    <w:rsid w:val="004820F5"/>
    <w:rsid w:val="004A087C"/>
    <w:rsid w:val="004A2C79"/>
    <w:rsid w:val="005333CB"/>
    <w:rsid w:val="00537360"/>
    <w:rsid w:val="00544299"/>
    <w:rsid w:val="00552A8A"/>
    <w:rsid w:val="00563F6E"/>
    <w:rsid w:val="00564CD5"/>
    <w:rsid w:val="00581E08"/>
    <w:rsid w:val="005A1F6D"/>
    <w:rsid w:val="005B6B6B"/>
    <w:rsid w:val="005E18B0"/>
    <w:rsid w:val="005F18AE"/>
    <w:rsid w:val="00646B36"/>
    <w:rsid w:val="00657037"/>
    <w:rsid w:val="00663AE1"/>
    <w:rsid w:val="006703F3"/>
    <w:rsid w:val="006A0244"/>
    <w:rsid w:val="006A52A0"/>
    <w:rsid w:val="006A6F8E"/>
    <w:rsid w:val="006B0E81"/>
    <w:rsid w:val="006B3718"/>
    <w:rsid w:val="00701291"/>
    <w:rsid w:val="00707423"/>
    <w:rsid w:val="00707E58"/>
    <w:rsid w:val="0074075A"/>
    <w:rsid w:val="0079143C"/>
    <w:rsid w:val="007A6BA2"/>
    <w:rsid w:val="007A75F8"/>
    <w:rsid w:val="007B10AD"/>
    <w:rsid w:val="007E4031"/>
    <w:rsid w:val="007E5D7E"/>
    <w:rsid w:val="00812064"/>
    <w:rsid w:val="00832495"/>
    <w:rsid w:val="008421EF"/>
    <w:rsid w:val="00855E4A"/>
    <w:rsid w:val="008649BB"/>
    <w:rsid w:val="00885A16"/>
    <w:rsid w:val="00895AF3"/>
    <w:rsid w:val="008B3C28"/>
    <w:rsid w:val="008C1E78"/>
    <w:rsid w:val="008D5503"/>
    <w:rsid w:val="00945AE2"/>
    <w:rsid w:val="00966A9B"/>
    <w:rsid w:val="00982818"/>
    <w:rsid w:val="009978E8"/>
    <w:rsid w:val="009D3466"/>
    <w:rsid w:val="00A02C60"/>
    <w:rsid w:val="00A21A14"/>
    <w:rsid w:val="00A25B1B"/>
    <w:rsid w:val="00A42E2A"/>
    <w:rsid w:val="00A74FA3"/>
    <w:rsid w:val="00AE5C8A"/>
    <w:rsid w:val="00AF6DCF"/>
    <w:rsid w:val="00B12D3A"/>
    <w:rsid w:val="00B159E7"/>
    <w:rsid w:val="00B26569"/>
    <w:rsid w:val="00B41E47"/>
    <w:rsid w:val="00B52735"/>
    <w:rsid w:val="00B57E74"/>
    <w:rsid w:val="00B75CA6"/>
    <w:rsid w:val="00B80551"/>
    <w:rsid w:val="00BA50BB"/>
    <w:rsid w:val="00BA68C2"/>
    <w:rsid w:val="00BB5E8F"/>
    <w:rsid w:val="00BC66E7"/>
    <w:rsid w:val="00BF135F"/>
    <w:rsid w:val="00C1177B"/>
    <w:rsid w:val="00C2766B"/>
    <w:rsid w:val="00C434F2"/>
    <w:rsid w:val="00C726F2"/>
    <w:rsid w:val="00C85BC9"/>
    <w:rsid w:val="00C86555"/>
    <w:rsid w:val="00C948BA"/>
    <w:rsid w:val="00CD095F"/>
    <w:rsid w:val="00CD236C"/>
    <w:rsid w:val="00CE2084"/>
    <w:rsid w:val="00CE4A78"/>
    <w:rsid w:val="00CF3C13"/>
    <w:rsid w:val="00CF7511"/>
    <w:rsid w:val="00D2167C"/>
    <w:rsid w:val="00D24451"/>
    <w:rsid w:val="00D27733"/>
    <w:rsid w:val="00D33940"/>
    <w:rsid w:val="00D7658E"/>
    <w:rsid w:val="00DA5841"/>
    <w:rsid w:val="00DC15E7"/>
    <w:rsid w:val="00DD7E0A"/>
    <w:rsid w:val="00DF6F21"/>
    <w:rsid w:val="00E04765"/>
    <w:rsid w:val="00E10D31"/>
    <w:rsid w:val="00E54BD8"/>
    <w:rsid w:val="00E80FBB"/>
    <w:rsid w:val="00EA76DD"/>
    <w:rsid w:val="00EB17F7"/>
    <w:rsid w:val="00EB367A"/>
    <w:rsid w:val="00EC3731"/>
    <w:rsid w:val="00EE1DD6"/>
    <w:rsid w:val="00EE46D6"/>
    <w:rsid w:val="00F65CE9"/>
    <w:rsid w:val="00F92217"/>
    <w:rsid w:val="00F92697"/>
    <w:rsid w:val="00F944AD"/>
    <w:rsid w:val="00FA5D20"/>
    <w:rsid w:val="00FC5C1C"/>
    <w:rsid w:val="00FC6D2E"/>
    <w:rsid w:val="00FD1D68"/>
    <w:rsid w:val="00FF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4F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4FA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4FA3"/>
    <w:rPr>
      <w:vertAlign w:val="superscript"/>
    </w:rPr>
  </w:style>
  <w:style w:type="paragraph" w:customStyle="1" w:styleId="Default">
    <w:name w:val="Default"/>
    <w:rsid w:val="003001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8B3C28"/>
  </w:style>
  <w:style w:type="character" w:styleId="Hyperlink">
    <w:name w:val="Hyperlink"/>
    <w:basedOn w:val="Fontepargpadro"/>
    <w:uiPriority w:val="99"/>
    <w:unhideWhenUsed/>
    <w:rsid w:val="00F65CE9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1435FB"/>
    <w:rPr>
      <w:i/>
      <w:iCs/>
    </w:rPr>
  </w:style>
  <w:style w:type="character" w:styleId="Forte">
    <w:name w:val="Strong"/>
    <w:basedOn w:val="Fontepargpadro"/>
    <w:uiPriority w:val="22"/>
    <w:qFormat/>
    <w:rsid w:val="00B159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1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2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4F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4FA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4FA3"/>
    <w:rPr>
      <w:vertAlign w:val="superscript"/>
    </w:rPr>
  </w:style>
  <w:style w:type="paragraph" w:customStyle="1" w:styleId="Default">
    <w:name w:val="Default"/>
    <w:rsid w:val="003001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8B3C28"/>
  </w:style>
  <w:style w:type="character" w:styleId="Hyperlink">
    <w:name w:val="Hyperlink"/>
    <w:basedOn w:val="Fontepargpadro"/>
    <w:uiPriority w:val="99"/>
    <w:unhideWhenUsed/>
    <w:rsid w:val="00F65CE9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1435FB"/>
    <w:rPr>
      <w:i/>
      <w:iCs/>
    </w:rPr>
  </w:style>
  <w:style w:type="character" w:styleId="Forte">
    <w:name w:val="Strong"/>
    <w:basedOn w:val="Fontepargpadro"/>
    <w:uiPriority w:val="22"/>
    <w:qFormat/>
    <w:rsid w:val="00B159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1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7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10E5-694D-42E7-AD30-60177577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2005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Userr</cp:lastModifiedBy>
  <cp:revision>17</cp:revision>
  <cp:lastPrinted>2014-10-01T15:23:00Z</cp:lastPrinted>
  <dcterms:created xsi:type="dcterms:W3CDTF">2015-03-24T18:35:00Z</dcterms:created>
  <dcterms:modified xsi:type="dcterms:W3CDTF">2015-03-24T19:36:00Z</dcterms:modified>
</cp:coreProperties>
</file>