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6D" w:rsidRPr="00341A46" w:rsidRDefault="0018666D" w:rsidP="0018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07EA" w:rsidRPr="00A36431" w:rsidRDefault="00C507EA" w:rsidP="00C507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6431">
        <w:rPr>
          <w:rFonts w:ascii="Times New Roman" w:eastAsia="Calibri" w:hAnsi="Times New Roman" w:cs="Times New Roman"/>
          <w:b/>
          <w:sz w:val="28"/>
          <w:szCs w:val="28"/>
        </w:rPr>
        <w:t>A EXECUÇÃO DE TÍTULOS EXTRAJUDICIAIS E A PENHORA ON-LINE: OS PERIGOS NA ATUAÇÃO DO BACENJUD</w:t>
      </w:r>
      <w:r w:rsidRPr="00A3643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 </w:t>
      </w:r>
      <w:r w:rsidRPr="00A3643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"/>
      </w:r>
    </w:p>
    <w:p w:rsidR="00C507EA" w:rsidRPr="00A36431" w:rsidRDefault="00C507EA" w:rsidP="00C507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07EA" w:rsidRPr="00A36431" w:rsidRDefault="00C507EA" w:rsidP="00C507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07EA" w:rsidRPr="00A36431" w:rsidRDefault="00C507EA" w:rsidP="00C507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A36431">
        <w:rPr>
          <w:rFonts w:ascii="Times New Roman" w:eastAsia="Calibri" w:hAnsi="Times New Roman" w:cs="Times New Roman"/>
          <w:i/>
          <w:sz w:val="20"/>
          <w:szCs w:val="20"/>
        </w:rPr>
        <w:t>José Orlando Soares Leite Neto</w:t>
      </w:r>
    </w:p>
    <w:p w:rsidR="00C507EA" w:rsidRPr="00A36431" w:rsidRDefault="00C507EA" w:rsidP="00C507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A36431">
        <w:rPr>
          <w:rFonts w:ascii="Times New Roman" w:eastAsia="Calibri" w:hAnsi="Times New Roman" w:cs="Times New Roman"/>
          <w:i/>
          <w:sz w:val="20"/>
          <w:szCs w:val="20"/>
        </w:rPr>
        <w:t>Samuel Jorge Arruda de Melo</w:t>
      </w:r>
      <w:r w:rsidRPr="00A36431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footnoteReference w:id="2"/>
      </w:r>
    </w:p>
    <w:p w:rsidR="00C507EA" w:rsidRPr="00A36431" w:rsidRDefault="00C507EA" w:rsidP="00C507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A36431">
        <w:rPr>
          <w:rFonts w:ascii="Times New Roman" w:eastAsia="Calibri" w:hAnsi="Times New Roman" w:cs="Times New Roman"/>
          <w:i/>
          <w:sz w:val="20"/>
          <w:szCs w:val="20"/>
        </w:rPr>
        <w:t>Prof. Humberto Gomes de Oliveira</w:t>
      </w:r>
      <w:r w:rsidRPr="00A36431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footnoteReference w:id="3"/>
      </w:r>
    </w:p>
    <w:p w:rsidR="00C507EA" w:rsidRPr="00A36431" w:rsidRDefault="00C507EA" w:rsidP="00C507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C507EA" w:rsidRPr="00A36431" w:rsidRDefault="00C507EA" w:rsidP="00C507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C507EA" w:rsidRPr="00A36431" w:rsidRDefault="00C507EA" w:rsidP="00C507EA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6431">
        <w:rPr>
          <w:rFonts w:ascii="Times New Roman" w:eastAsia="Calibri" w:hAnsi="Times New Roman" w:cs="Times New Roman"/>
          <w:b/>
          <w:sz w:val="20"/>
          <w:szCs w:val="20"/>
        </w:rPr>
        <w:t>SUMÁRIO:</w:t>
      </w:r>
      <w:r w:rsidR="00BA6EB4" w:rsidRPr="00A364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36431">
        <w:rPr>
          <w:rFonts w:ascii="Times New Roman" w:eastAsia="Calibri" w:hAnsi="Times New Roman" w:cs="Times New Roman"/>
          <w:sz w:val="20"/>
          <w:szCs w:val="20"/>
        </w:rPr>
        <w:t xml:space="preserve">Introdução; </w:t>
      </w:r>
      <w:proofErr w:type="gramStart"/>
      <w:r w:rsidRPr="00A36431">
        <w:rPr>
          <w:rFonts w:ascii="Times New Roman" w:eastAsia="Calibri" w:hAnsi="Times New Roman" w:cs="Times New Roman"/>
          <w:sz w:val="20"/>
          <w:szCs w:val="20"/>
        </w:rPr>
        <w:t>2</w:t>
      </w:r>
      <w:proofErr w:type="gramEnd"/>
      <w:r w:rsidRPr="00A364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A6EB4" w:rsidRPr="00A364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36431">
        <w:rPr>
          <w:rFonts w:ascii="Times New Roman" w:eastAsia="Calibri" w:hAnsi="Times New Roman" w:cs="Times New Roman"/>
          <w:sz w:val="20"/>
          <w:szCs w:val="20"/>
        </w:rPr>
        <w:t xml:space="preserve">A execução de títulos extrajudiciais e a aplicabilidade da penhora on-line no direito brasileiro; 3 O </w:t>
      </w:r>
      <w:proofErr w:type="spellStart"/>
      <w:r w:rsidRPr="00A36431">
        <w:rPr>
          <w:rFonts w:ascii="Times New Roman" w:eastAsia="Calibri" w:hAnsi="Times New Roman" w:cs="Times New Roman"/>
          <w:sz w:val="20"/>
          <w:szCs w:val="20"/>
        </w:rPr>
        <w:t>Bacenjud</w:t>
      </w:r>
      <w:proofErr w:type="spellEnd"/>
      <w:r w:rsidRPr="00A36431">
        <w:rPr>
          <w:rFonts w:ascii="Times New Roman" w:eastAsia="Calibri" w:hAnsi="Times New Roman" w:cs="Times New Roman"/>
          <w:sz w:val="20"/>
          <w:szCs w:val="20"/>
        </w:rPr>
        <w:t xml:space="preserve"> como uma ferramenta de garantia ao acesso à justiça; 4 </w:t>
      </w:r>
      <w:proofErr w:type="spellStart"/>
      <w:r w:rsidRPr="00A36431">
        <w:rPr>
          <w:rFonts w:ascii="Times New Roman" w:eastAsia="Calibri" w:hAnsi="Times New Roman" w:cs="Times New Roman"/>
          <w:sz w:val="20"/>
          <w:szCs w:val="20"/>
        </w:rPr>
        <w:t>Bacenjud</w:t>
      </w:r>
      <w:proofErr w:type="spellEnd"/>
      <w:r w:rsidRPr="00A36431">
        <w:rPr>
          <w:rFonts w:ascii="Times New Roman" w:eastAsia="Calibri" w:hAnsi="Times New Roman" w:cs="Times New Roman"/>
          <w:sz w:val="20"/>
          <w:szCs w:val="20"/>
        </w:rPr>
        <w:t>: quando a penhora on-line extrapola a tutela jurisdicional</w:t>
      </w:r>
      <w:r w:rsidR="00BA6EB4" w:rsidRPr="00A36431">
        <w:rPr>
          <w:rFonts w:ascii="Times New Roman" w:eastAsia="Calibri" w:hAnsi="Times New Roman" w:cs="Times New Roman"/>
          <w:sz w:val="20"/>
          <w:szCs w:val="20"/>
        </w:rPr>
        <w:t xml:space="preserve">; </w:t>
      </w:r>
      <w:r w:rsidRPr="00A36431">
        <w:rPr>
          <w:rFonts w:ascii="Times New Roman" w:eastAsia="Calibri" w:hAnsi="Times New Roman" w:cs="Times New Roman"/>
          <w:sz w:val="20"/>
          <w:szCs w:val="20"/>
        </w:rPr>
        <w:t>Con</w:t>
      </w:r>
      <w:r w:rsidR="00BA6EB4" w:rsidRPr="00A36431">
        <w:rPr>
          <w:rFonts w:ascii="Times New Roman" w:eastAsia="Calibri" w:hAnsi="Times New Roman" w:cs="Times New Roman"/>
          <w:sz w:val="20"/>
          <w:szCs w:val="20"/>
        </w:rPr>
        <w:t>siderações Finais</w:t>
      </w:r>
      <w:r w:rsidRPr="00A36431">
        <w:rPr>
          <w:rFonts w:ascii="Times New Roman" w:eastAsia="Calibri" w:hAnsi="Times New Roman" w:cs="Times New Roman"/>
          <w:sz w:val="20"/>
          <w:szCs w:val="20"/>
        </w:rPr>
        <w:t>.</w:t>
      </w:r>
    </w:p>
    <w:p w:rsidR="00C507EA" w:rsidRPr="00A36431" w:rsidRDefault="00C507EA" w:rsidP="00C507EA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507EA" w:rsidRPr="00A36431" w:rsidRDefault="00C507EA" w:rsidP="00C507EA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B4D06" w:rsidRPr="00A36431" w:rsidRDefault="003B4D06" w:rsidP="003B4D06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43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B4D06" w:rsidRPr="00A36431" w:rsidRDefault="003B4D06" w:rsidP="003B4D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D06" w:rsidRPr="00A36431" w:rsidRDefault="003B4D06" w:rsidP="003B4D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>RESUMO</w:t>
      </w:r>
    </w:p>
    <w:p w:rsidR="00357DF4" w:rsidRPr="00357DF4" w:rsidRDefault="00357DF4" w:rsidP="00357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DF4">
        <w:rPr>
          <w:rFonts w:ascii="Times New Roman" w:hAnsi="Times New Roman" w:cs="Times New Roman"/>
          <w:sz w:val="24"/>
          <w:szCs w:val="24"/>
        </w:rPr>
        <w:t xml:space="preserve">           São recorrentes os questionamentos acerca da penhora online, sobretudo no concernente</w:t>
      </w:r>
      <w:r>
        <w:rPr>
          <w:rFonts w:ascii="Times New Roman" w:hAnsi="Times New Roman" w:cs="Times New Roman"/>
          <w:sz w:val="24"/>
          <w:szCs w:val="24"/>
        </w:rPr>
        <w:t xml:space="preserve"> a maneira como se dá</w:t>
      </w:r>
      <w:r w:rsidRPr="0035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execução de títulos extrajudiciais via internet</w:t>
      </w:r>
      <w:r w:rsidRPr="00357DF4">
        <w:rPr>
          <w:rFonts w:ascii="Times New Roman" w:hAnsi="Times New Roman" w:cs="Times New Roman"/>
          <w:sz w:val="24"/>
          <w:szCs w:val="24"/>
        </w:rPr>
        <w:t xml:space="preserve">. Dessa maneira, levando-se em consideração a dinâmica social e a revolução tecnológica que se apresenta constante na sociedade vigente, surgem situações que propiciam e requerem inovação no direito. E é justamente isso o que o </w:t>
      </w:r>
      <w:proofErr w:type="spellStart"/>
      <w:r w:rsidRPr="00357DF4">
        <w:rPr>
          <w:rFonts w:ascii="Times New Roman" w:hAnsi="Times New Roman" w:cs="Times New Roman"/>
          <w:sz w:val="24"/>
          <w:szCs w:val="24"/>
        </w:rPr>
        <w:t>Bacenjud</w:t>
      </w:r>
      <w:proofErr w:type="spellEnd"/>
      <w:r w:rsidRPr="00357DF4">
        <w:rPr>
          <w:rFonts w:ascii="Times New Roman" w:hAnsi="Times New Roman" w:cs="Times New Roman"/>
          <w:sz w:val="24"/>
          <w:szCs w:val="24"/>
        </w:rPr>
        <w:t xml:space="preserve"> representa: novidade e praticidade. Essa praticidade, todavia, está aliada a uma prática corriqueira dos magistrados, que é a de penhorar patrimônio nos processos de execução. O ponto chave do presente artigo é este: os limites de atuação do inovador sistema de penhora online trazido </w:t>
      </w:r>
      <w:proofErr w:type="gramStart"/>
      <w:r w:rsidRPr="00357DF4">
        <w:rPr>
          <w:rFonts w:ascii="Times New Roman" w:hAnsi="Times New Roman" w:cs="Times New Roman"/>
          <w:sz w:val="24"/>
          <w:szCs w:val="24"/>
        </w:rPr>
        <w:t>pela Banco</w:t>
      </w:r>
      <w:proofErr w:type="gramEnd"/>
      <w:r w:rsidRPr="00357DF4">
        <w:rPr>
          <w:rFonts w:ascii="Times New Roman" w:hAnsi="Times New Roman" w:cs="Times New Roman"/>
          <w:sz w:val="24"/>
          <w:szCs w:val="24"/>
        </w:rPr>
        <w:t xml:space="preserve"> Central do Brasil em parceria com os tribunais em todo o país. </w:t>
      </w:r>
    </w:p>
    <w:p w:rsidR="00317E92" w:rsidRPr="00A36431" w:rsidRDefault="00317E92" w:rsidP="004B14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D06" w:rsidRPr="00A36431" w:rsidRDefault="003B4D06" w:rsidP="004B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8C3692" w:rsidRPr="00A36431">
        <w:rPr>
          <w:rFonts w:ascii="Times New Roman" w:hAnsi="Times New Roman" w:cs="Times New Roman"/>
          <w:sz w:val="24"/>
          <w:szCs w:val="24"/>
        </w:rPr>
        <w:t xml:space="preserve"> </w:t>
      </w:r>
      <w:r w:rsidR="00D70A63">
        <w:rPr>
          <w:rFonts w:ascii="Times New Roman" w:hAnsi="Times New Roman" w:cs="Times New Roman"/>
          <w:sz w:val="24"/>
          <w:szCs w:val="24"/>
        </w:rPr>
        <w:t>Execução</w:t>
      </w:r>
      <w:r w:rsidR="00712B28" w:rsidRPr="00A36431">
        <w:rPr>
          <w:rFonts w:ascii="Times New Roman" w:hAnsi="Times New Roman" w:cs="Times New Roman"/>
          <w:sz w:val="24"/>
          <w:szCs w:val="24"/>
        </w:rPr>
        <w:t xml:space="preserve">. </w:t>
      </w:r>
      <w:r w:rsidR="00D70A63">
        <w:rPr>
          <w:rFonts w:ascii="Times New Roman" w:hAnsi="Times New Roman" w:cs="Times New Roman"/>
          <w:sz w:val="24"/>
          <w:szCs w:val="24"/>
        </w:rPr>
        <w:t>Títulos extrajudiciais</w:t>
      </w:r>
      <w:r w:rsidR="0018666D" w:rsidRPr="00A36431">
        <w:rPr>
          <w:rFonts w:ascii="Times New Roman" w:hAnsi="Times New Roman" w:cs="Times New Roman"/>
          <w:sz w:val="24"/>
          <w:szCs w:val="24"/>
        </w:rPr>
        <w:t>.</w:t>
      </w:r>
      <w:r w:rsidR="008C3692" w:rsidRPr="00A36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A63">
        <w:rPr>
          <w:rFonts w:ascii="Times New Roman" w:hAnsi="Times New Roman" w:cs="Times New Roman"/>
          <w:sz w:val="24"/>
          <w:szCs w:val="24"/>
        </w:rPr>
        <w:t>Bacenjud</w:t>
      </w:r>
      <w:proofErr w:type="spellEnd"/>
      <w:r w:rsidR="0018666D" w:rsidRPr="00A36431">
        <w:rPr>
          <w:rFonts w:ascii="Times New Roman" w:hAnsi="Times New Roman" w:cs="Times New Roman"/>
          <w:sz w:val="24"/>
          <w:szCs w:val="24"/>
        </w:rPr>
        <w:t xml:space="preserve">. </w:t>
      </w:r>
      <w:r w:rsidR="00D70A63">
        <w:rPr>
          <w:rFonts w:ascii="Times New Roman" w:hAnsi="Times New Roman" w:cs="Times New Roman"/>
          <w:sz w:val="24"/>
          <w:szCs w:val="24"/>
        </w:rPr>
        <w:t>Revolução tecnológica</w:t>
      </w:r>
      <w:r w:rsidRPr="00A36431">
        <w:rPr>
          <w:rFonts w:ascii="Times New Roman" w:hAnsi="Times New Roman" w:cs="Times New Roman"/>
          <w:sz w:val="24"/>
          <w:szCs w:val="24"/>
        </w:rPr>
        <w:t>.</w:t>
      </w:r>
      <w:r w:rsidR="008C3692" w:rsidRPr="00A36431">
        <w:rPr>
          <w:rFonts w:ascii="Times New Roman" w:hAnsi="Times New Roman" w:cs="Times New Roman"/>
          <w:sz w:val="24"/>
          <w:szCs w:val="24"/>
        </w:rPr>
        <w:t xml:space="preserve"> </w:t>
      </w:r>
      <w:r w:rsidR="00D70A63">
        <w:rPr>
          <w:rFonts w:ascii="Times New Roman" w:hAnsi="Times New Roman" w:cs="Times New Roman"/>
          <w:sz w:val="24"/>
          <w:szCs w:val="24"/>
        </w:rPr>
        <w:t>Praticidade</w:t>
      </w:r>
      <w:r w:rsidRPr="00A36431">
        <w:rPr>
          <w:rFonts w:ascii="Times New Roman" w:hAnsi="Times New Roman" w:cs="Times New Roman"/>
          <w:sz w:val="24"/>
          <w:szCs w:val="24"/>
        </w:rPr>
        <w:t>.</w:t>
      </w:r>
      <w:r w:rsidR="00CD5F79" w:rsidRPr="00A36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D06" w:rsidRPr="00A36431" w:rsidRDefault="003B4D06" w:rsidP="003B4D06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9D8" w:rsidRPr="00A36431" w:rsidRDefault="00366139" w:rsidP="005507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431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F61B38" w:rsidRPr="00A36431" w:rsidRDefault="00F61B38" w:rsidP="005507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26B" w:rsidRPr="00A36431" w:rsidRDefault="0099426B" w:rsidP="00F61B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 xml:space="preserve">O sistema jurídico brasileiro é pautado, sobretudo, nas grandes transformações sociais. O direito é dinâmico por assim dizer. Dessa maneira, acompanhando a revolução tecnologia vivida nos últimos anos, o Banco Central do Brasil firmou convênios com os </w:t>
      </w:r>
      <w:r w:rsidRPr="00A36431">
        <w:rPr>
          <w:rFonts w:ascii="Times New Roman" w:hAnsi="Times New Roman" w:cs="Times New Roman"/>
          <w:sz w:val="24"/>
          <w:szCs w:val="24"/>
        </w:rPr>
        <w:lastRenderedPageBreak/>
        <w:t xml:space="preserve">tribunais do país, incluindo a Suprema Corte no sentindo de </w:t>
      </w:r>
      <w:proofErr w:type="gramStart"/>
      <w:r w:rsidRPr="00A36431">
        <w:rPr>
          <w:rFonts w:ascii="Times New Roman" w:hAnsi="Times New Roman" w:cs="Times New Roman"/>
          <w:sz w:val="24"/>
          <w:szCs w:val="24"/>
        </w:rPr>
        <w:t>otimizar</w:t>
      </w:r>
      <w:proofErr w:type="gramEnd"/>
      <w:r w:rsidRPr="00A36431">
        <w:rPr>
          <w:rFonts w:ascii="Times New Roman" w:hAnsi="Times New Roman" w:cs="Times New Roman"/>
          <w:sz w:val="24"/>
          <w:szCs w:val="24"/>
        </w:rPr>
        <w:t xml:space="preserve"> os processos judiciais, sobretudo os de execução, que pleiteiam o cumprimento de sentenças. </w:t>
      </w:r>
    </w:p>
    <w:p w:rsidR="0099426B" w:rsidRPr="00A36431" w:rsidRDefault="0099426B" w:rsidP="00F61B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 xml:space="preserve">Levando em consideração o dito no parágrafo acima, foram criados, por meio de leis específicas, sistemas que possibilitam a realização da penhora online, que nada mais é do que a constrição de valores deduzidos em juízo. Do ano de 2001 para cá, quando foram promulgadas leis que inovaram no sentido de trazer a tecnologia para o processo, a efetividade dos processos judiciais é real. E isso se deve, em grande parte, à agilidade, comodidade e praticidade que proporciona o Sistema 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Bacenjud</w:t>
      </w:r>
      <w:proofErr w:type="spellEnd"/>
      <w:r w:rsidRPr="00A36431">
        <w:rPr>
          <w:rFonts w:ascii="Times New Roman" w:hAnsi="Times New Roman" w:cs="Times New Roman"/>
          <w:sz w:val="24"/>
          <w:szCs w:val="24"/>
        </w:rPr>
        <w:t xml:space="preserve"> (OLIVEIRA, 2014</w:t>
      </w:r>
      <w:proofErr w:type="gramStart"/>
      <w:r w:rsidRPr="00A3643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9426B" w:rsidRPr="00A36431" w:rsidRDefault="0099426B" w:rsidP="00F61B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 xml:space="preserve">É importante ressaltar, ainda, a necessidade que havia de inovação nos procedimentos de realização de penhoras. Antigamente, demandava-se em demasia tempo e recursos a fim de realizar uma penhora com um simples e claro objetivo: reter valores deduzidos em juízo. Além da não agilidade, havia ainda riscos de o credor de má-fé retirar de suas correntes bancárias os valores deduzidos, vez que, quando da citação do processo de execução, poderia sacar os valores questionados e assim prejudicar a efetividade do processo. </w:t>
      </w:r>
    </w:p>
    <w:p w:rsidR="0099426B" w:rsidRPr="00A36431" w:rsidRDefault="0099426B" w:rsidP="00F61B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 xml:space="preserve">Seguindo essa linha de raciocínio, Demócrito Reinaldo Filho (2006) é notório que o 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Bacenjud</w:t>
      </w:r>
      <w:proofErr w:type="spellEnd"/>
      <w:r w:rsidRPr="00A36431">
        <w:rPr>
          <w:rFonts w:ascii="Times New Roman" w:hAnsi="Times New Roman" w:cs="Times New Roman"/>
          <w:sz w:val="24"/>
          <w:szCs w:val="24"/>
        </w:rPr>
        <w:t xml:space="preserve">, quando da penhora online, inovou em quase todos os aspectos. A segurança das transações, inclusive, é destaque em relação às anteriores. Todavia, quando se trata do mundo virtual, é difícil garantir segurança plena, afinal é um terreno em que não se conhece a todos quantos o povoam. E é justamente por conta disso que o 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Bacenjud</w:t>
      </w:r>
      <w:proofErr w:type="spellEnd"/>
      <w:r w:rsidRPr="00A36431">
        <w:rPr>
          <w:rFonts w:ascii="Times New Roman" w:hAnsi="Times New Roman" w:cs="Times New Roman"/>
          <w:sz w:val="24"/>
          <w:szCs w:val="24"/>
        </w:rPr>
        <w:t xml:space="preserve">, apesar de inovar na segurança das transações, ainda pode sofrer riscos no que diz respeito à segurança jurídica, também. </w:t>
      </w:r>
      <w:proofErr w:type="gramStart"/>
      <w:r w:rsidRPr="00A36431">
        <w:rPr>
          <w:rFonts w:ascii="Times New Roman" w:hAnsi="Times New Roman" w:cs="Times New Roman"/>
          <w:sz w:val="24"/>
          <w:szCs w:val="24"/>
        </w:rPr>
        <w:t>Há,</w:t>
      </w:r>
      <w:proofErr w:type="gramEnd"/>
      <w:r w:rsidRPr="00A36431">
        <w:rPr>
          <w:rFonts w:ascii="Times New Roman" w:hAnsi="Times New Roman" w:cs="Times New Roman"/>
          <w:sz w:val="24"/>
          <w:szCs w:val="24"/>
        </w:rPr>
        <w:t xml:space="preserve"> como demonstrado no decorrer do presente artigo, possibilidades de excessos por parte do Poder Judiciário. </w:t>
      </w:r>
    </w:p>
    <w:p w:rsidR="0099426B" w:rsidRPr="00A36431" w:rsidRDefault="0099426B" w:rsidP="00F61B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 xml:space="preserve">Quando ocorre o bloqueio de valores por meio da penhora online, eventualmente, o Poder Judiciário bloqueia além do que deveria. Pode ocorrer de serem bloqueadas todas as contas do demandado, de modo que a este último sejam eximidos todos os seus recursos. E essa prática é bem recorrente, o que afeta, sem dúvidas, a segurança jurídica e plena aceitação do sistema 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Bacenjud</w:t>
      </w:r>
      <w:proofErr w:type="spellEnd"/>
      <w:r w:rsidRPr="00A364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1B38" w:rsidRPr="00A36431" w:rsidRDefault="00F61B38" w:rsidP="00F61B38">
      <w:pPr>
        <w:tabs>
          <w:tab w:val="left" w:pos="5055"/>
        </w:tabs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A8F" w:rsidRPr="00A36431" w:rsidRDefault="007B388F" w:rsidP="005507AF">
      <w:pPr>
        <w:tabs>
          <w:tab w:val="left" w:pos="505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3643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36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A8F" w:rsidRPr="00A36431">
        <w:rPr>
          <w:rFonts w:ascii="Times New Roman" w:eastAsia="Calibri" w:hAnsi="Times New Roman" w:cs="Times New Roman"/>
          <w:b/>
          <w:sz w:val="24"/>
          <w:szCs w:val="24"/>
        </w:rPr>
        <w:t>A execução de títulos extrajudiciais e a aplicabilidade da penhora on-line no direito brasileiro</w:t>
      </w:r>
    </w:p>
    <w:p w:rsidR="00F61B38" w:rsidRPr="00A36431" w:rsidRDefault="00F61B38" w:rsidP="005507AF">
      <w:pPr>
        <w:tabs>
          <w:tab w:val="left" w:pos="505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3524" w:rsidRPr="00A36431" w:rsidRDefault="00CB3524" w:rsidP="00F61B38">
      <w:pPr>
        <w:tabs>
          <w:tab w:val="left" w:pos="5055"/>
        </w:tabs>
        <w:spacing w:after="0" w:line="36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643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Para o melhor entendimento do que vem a ser a execução de títulos extrajudiciais e no que ela se relaciona a penhora on-line é imprescindível, primeiramente, definir o que é o título de crédito. Segundo Fábio </w:t>
      </w:r>
      <w:proofErr w:type="spellStart"/>
      <w:r w:rsidRPr="00A3643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Ulhoa</w:t>
      </w:r>
      <w:proofErr w:type="spellEnd"/>
      <w:r w:rsidRPr="00A3643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Coelho (2012), o título </w:t>
      </w:r>
      <w:r w:rsidR="00A36431" w:rsidRPr="00A3643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Pr="00A3643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crédito é um</w:t>
      </w:r>
      <w:r w:rsidR="00FD5C9D" w:rsidRPr="00A3643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documento</w:t>
      </w:r>
      <w:r w:rsidRPr="00A3643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, o </w:t>
      </w:r>
      <w:r w:rsidRPr="00A3643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qual serve </w:t>
      </w:r>
      <w:r w:rsidR="00FD5C9D" w:rsidRPr="00A3643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para o exercício do direito, </w:t>
      </w:r>
      <w:r w:rsidRPr="00A3643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ou seja, é um documento que atesta a existência de algo, que reporta um fato. </w:t>
      </w:r>
    </w:p>
    <w:p w:rsidR="00CB3524" w:rsidRPr="00A36431" w:rsidRDefault="00CB3524" w:rsidP="00F61B38">
      <w:pPr>
        <w:tabs>
          <w:tab w:val="left" w:pos="5055"/>
        </w:tabs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431">
        <w:rPr>
          <w:rFonts w:ascii="Times New Roman" w:eastAsia="Calibri" w:hAnsi="Times New Roman" w:cs="Times New Roman"/>
          <w:sz w:val="24"/>
          <w:szCs w:val="24"/>
        </w:rPr>
        <w:t>Entre os títulos de crédito existentes, deve-se dar grande atenção aos títulos extrajudiciais, os quais são aqueles previstos no artigo 585 do Código de Processo Civil brasileiro:</w:t>
      </w:r>
    </w:p>
    <w:p w:rsidR="00CB3524" w:rsidRPr="00A36431" w:rsidRDefault="00CB3524" w:rsidP="005507AF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364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Art. 585. São títulos executivos extrajudiciais: (Redação dada pela Lei nº 5.925, de </w:t>
      </w:r>
      <w:proofErr w:type="gramStart"/>
      <w:r w:rsidRPr="00A36431">
        <w:rPr>
          <w:rFonts w:ascii="Times New Roman" w:eastAsia="Times New Roman" w:hAnsi="Times New Roman" w:cs="Times New Roman"/>
          <w:sz w:val="20"/>
          <w:szCs w:val="20"/>
          <w:lang w:eastAsia="pt-BR"/>
        </w:rPr>
        <w:t>1º.</w:t>
      </w:r>
      <w:proofErr w:type="gramEnd"/>
      <w:r w:rsidRPr="00A36431">
        <w:rPr>
          <w:rFonts w:ascii="Times New Roman" w:eastAsia="Times New Roman" w:hAnsi="Times New Roman" w:cs="Times New Roman"/>
          <w:sz w:val="20"/>
          <w:szCs w:val="20"/>
          <w:lang w:eastAsia="pt-BR"/>
        </w:rPr>
        <w:t>10.1973)</w:t>
      </w:r>
    </w:p>
    <w:p w:rsidR="00CB3524" w:rsidRPr="00A36431" w:rsidRDefault="00CB3524" w:rsidP="005507AF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364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I - a letra de câmbio, a nota promissória, a duplicata, a debênture e o cheque; </w:t>
      </w:r>
    </w:p>
    <w:p w:rsidR="00A36431" w:rsidRPr="00A36431" w:rsidRDefault="00CB3524" w:rsidP="005507AF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36431">
        <w:rPr>
          <w:rFonts w:ascii="Times New Roman" w:eastAsia="Times New Roman" w:hAnsi="Times New Roman" w:cs="Times New Roman"/>
          <w:sz w:val="20"/>
          <w:szCs w:val="20"/>
          <w:lang w:eastAsia="pt-BR"/>
        </w:rPr>
        <w:t>II - a escritura pública ou outro documento público assinado pelo devedor; o documento particular assinado pelo devedor e por duas testemunhas; o instrumento de transação referendado pelo Ministério Público, pela Defensoria Pública ou pelos advogados dos transatores</w:t>
      </w:r>
      <w:r w:rsidR="00A36431" w:rsidRPr="00A36431">
        <w:rPr>
          <w:rFonts w:ascii="Times New Roman" w:eastAsia="Times New Roman" w:hAnsi="Times New Roman" w:cs="Times New Roman"/>
          <w:sz w:val="20"/>
          <w:szCs w:val="20"/>
          <w:lang w:eastAsia="pt-BR"/>
        </w:rPr>
        <w:t>;</w:t>
      </w:r>
    </w:p>
    <w:p w:rsidR="00A36431" w:rsidRPr="00A36431" w:rsidRDefault="00CB3524" w:rsidP="005507AF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364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III - os contratos garantidos por hipoteca, penhor, anticrese e caução, </w:t>
      </w:r>
      <w:r w:rsidR="00A36431" w:rsidRPr="00A364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bem como os de seguro de vida; </w:t>
      </w:r>
    </w:p>
    <w:p w:rsidR="00A36431" w:rsidRPr="00A36431" w:rsidRDefault="00CB3524" w:rsidP="005507AF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36431">
        <w:rPr>
          <w:rFonts w:ascii="Times New Roman" w:eastAsia="Times New Roman" w:hAnsi="Times New Roman" w:cs="Times New Roman"/>
          <w:sz w:val="20"/>
          <w:szCs w:val="20"/>
          <w:lang w:eastAsia="pt-BR"/>
        </w:rPr>
        <w:t>IV - o crédito decorrente de foro e laudêmio</w:t>
      </w:r>
      <w:r w:rsidR="00A36431" w:rsidRPr="00A36431">
        <w:rPr>
          <w:rFonts w:ascii="Times New Roman" w:eastAsia="Times New Roman" w:hAnsi="Times New Roman" w:cs="Times New Roman"/>
          <w:sz w:val="20"/>
          <w:szCs w:val="20"/>
          <w:lang w:eastAsia="pt-BR"/>
        </w:rPr>
        <w:t>;</w:t>
      </w:r>
    </w:p>
    <w:p w:rsidR="00A36431" w:rsidRPr="00A36431" w:rsidRDefault="00CB3524" w:rsidP="005507AF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36431">
        <w:rPr>
          <w:rFonts w:ascii="Times New Roman" w:eastAsia="Times New Roman" w:hAnsi="Times New Roman" w:cs="Times New Roman"/>
          <w:sz w:val="20"/>
          <w:szCs w:val="20"/>
          <w:lang w:eastAsia="pt-BR"/>
        </w:rPr>
        <w:t>V - o crédito, documentalmente comprovado, decorrente de aluguel de imóvel, bem como de encargos acessórios, tais como t</w:t>
      </w:r>
      <w:r w:rsidR="00A36431" w:rsidRPr="00A364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axas e despesas de condomínio; </w:t>
      </w:r>
    </w:p>
    <w:p w:rsidR="00CB3524" w:rsidRPr="00A36431" w:rsidRDefault="00CB3524" w:rsidP="005507AF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364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VI - o crédito de serventuário de justiça, de perito, de intérprete, ou de tradutor, quando </w:t>
      </w:r>
      <w:proofErr w:type="gramStart"/>
      <w:r w:rsidRPr="00A36431">
        <w:rPr>
          <w:rFonts w:ascii="Times New Roman" w:eastAsia="Times New Roman" w:hAnsi="Times New Roman" w:cs="Times New Roman"/>
          <w:sz w:val="20"/>
          <w:szCs w:val="20"/>
          <w:lang w:eastAsia="pt-BR"/>
        </w:rPr>
        <w:t>as custas</w:t>
      </w:r>
      <w:proofErr w:type="gramEnd"/>
      <w:r w:rsidRPr="00A364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emolumentos ou honorários forem aprovados por decisão judicial; </w:t>
      </w:r>
    </w:p>
    <w:p w:rsidR="00CB3524" w:rsidRPr="00A36431" w:rsidRDefault="00CB3524" w:rsidP="005507AF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36431">
        <w:rPr>
          <w:rFonts w:ascii="Times New Roman" w:eastAsia="Times New Roman" w:hAnsi="Times New Roman" w:cs="Times New Roman"/>
          <w:sz w:val="20"/>
          <w:szCs w:val="20"/>
          <w:lang w:eastAsia="pt-BR"/>
        </w:rPr>
        <w:t>VII - a certidão de dívida ativa da Fazenda Pública da União, dos Estados, do Distrito Federal, dos Territórios e dos Municípios, correspondente aos crédi</w:t>
      </w:r>
      <w:r w:rsidR="00A36431" w:rsidRPr="00A364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tos inscritos na forma da lei; </w:t>
      </w:r>
    </w:p>
    <w:p w:rsidR="00CB3524" w:rsidRPr="00A36431" w:rsidRDefault="00CB3524" w:rsidP="005507AF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364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VIII - todos os demais títulos a que, por disposição expressa, a lei atribuir força executiva. </w:t>
      </w:r>
    </w:p>
    <w:p w:rsidR="00CB3524" w:rsidRPr="00A36431" w:rsidRDefault="00CB3524" w:rsidP="005507AF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364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§ 1o A propositura de qualquer ação relativa ao débito constante do título executivo não inibe o credor de promover-lhe a execução. </w:t>
      </w:r>
    </w:p>
    <w:p w:rsidR="00E60F42" w:rsidRPr="00A36431" w:rsidRDefault="00CB3524" w:rsidP="00A36431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364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§ 2o Não dependem de homologação pelo Supremo Tribunal Federal, para serem executados, os títulos executivos extrajudiciais, oriundos de país estrangeiro. O título, para ter eficácia executiva, há de satisfazer aos requisitos de formação exigidos pela lei do lugar de sua celebração e indicar o Brasil como o lugar de cumprimento da obrigação. </w:t>
      </w:r>
    </w:p>
    <w:p w:rsidR="00A36431" w:rsidRDefault="00A36431" w:rsidP="00A36431">
      <w:pPr>
        <w:shd w:val="clear" w:color="auto" w:fill="FFFFFF"/>
        <w:spacing w:after="0" w:line="240" w:lineRule="auto"/>
        <w:ind w:left="2268"/>
        <w:jc w:val="both"/>
        <w:rPr>
          <w:rFonts w:eastAsia="Calibri"/>
          <w:b/>
        </w:rPr>
      </w:pPr>
    </w:p>
    <w:p w:rsidR="00A36431" w:rsidRPr="00A36431" w:rsidRDefault="00A36431" w:rsidP="00A36431">
      <w:pPr>
        <w:shd w:val="clear" w:color="auto" w:fill="FFFFFF"/>
        <w:spacing w:after="0" w:line="240" w:lineRule="auto"/>
        <w:ind w:left="2268"/>
        <w:jc w:val="both"/>
        <w:rPr>
          <w:rFonts w:eastAsia="Calibri"/>
          <w:b/>
        </w:rPr>
      </w:pPr>
    </w:p>
    <w:p w:rsidR="00CA45C2" w:rsidRPr="00A36431" w:rsidRDefault="00CB3524" w:rsidP="00F61B38">
      <w:pPr>
        <w:pStyle w:val="massa-de-texto"/>
        <w:spacing w:before="0" w:beforeAutospacing="0" w:after="0" w:afterAutospacing="0" w:line="360" w:lineRule="auto"/>
        <w:ind w:firstLine="1134"/>
        <w:jc w:val="both"/>
        <w:rPr>
          <w:shd w:val="clear" w:color="auto" w:fill="FFFFFF"/>
        </w:rPr>
      </w:pPr>
      <w:r w:rsidRPr="00A36431">
        <w:rPr>
          <w:rFonts w:eastAsia="Calibri"/>
        </w:rPr>
        <w:t>Os exemplos de títulos de crédito supracitados são importantes para a realização do processo de execução, o qual é realizado pelo Poder Judiciário (no intuito de resolver conflitos de interesses)</w:t>
      </w:r>
      <w:r w:rsidR="00CA45C2" w:rsidRPr="00A36431">
        <w:rPr>
          <w:shd w:val="clear" w:color="auto" w:fill="FFFFFF"/>
        </w:rPr>
        <w:t xml:space="preserve"> quando há uma ação ou omissão, por parte do réu, que </w:t>
      </w:r>
      <w:proofErr w:type="gramStart"/>
      <w:r w:rsidR="00CA45C2" w:rsidRPr="00A36431">
        <w:rPr>
          <w:shd w:val="clear" w:color="auto" w:fill="FFFFFF"/>
        </w:rPr>
        <w:t>acabará</w:t>
      </w:r>
      <w:proofErr w:type="gramEnd"/>
      <w:r w:rsidR="00CA45C2" w:rsidRPr="00A36431">
        <w:rPr>
          <w:shd w:val="clear" w:color="auto" w:fill="FFFFFF"/>
        </w:rPr>
        <w:t xml:space="preserve"> </w:t>
      </w:r>
      <w:proofErr w:type="gramStart"/>
      <w:r w:rsidR="00CA45C2" w:rsidRPr="00A36431">
        <w:rPr>
          <w:shd w:val="clear" w:color="auto" w:fill="FFFFFF"/>
        </w:rPr>
        <w:t>impedindo</w:t>
      </w:r>
      <w:proofErr w:type="gramEnd"/>
      <w:r w:rsidR="00CA45C2" w:rsidRPr="00A36431">
        <w:rPr>
          <w:shd w:val="clear" w:color="auto" w:fill="FFFFFF"/>
        </w:rPr>
        <w:t xml:space="preserve"> a satisfação do postulante da ação. Sendo assim, fica claro que o titular da obrigação (postula a ação) exige, em juízo, que o réu cumpra a obrigação (GONÇALVES, 2013).</w:t>
      </w:r>
    </w:p>
    <w:p w:rsidR="00CA45C2" w:rsidRPr="00A36431" w:rsidRDefault="00CA45C2" w:rsidP="00F61B38">
      <w:pPr>
        <w:pStyle w:val="massa-de-texto"/>
        <w:spacing w:before="0" w:beforeAutospacing="0" w:after="0" w:afterAutospacing="0" w:line="360" w:lineRule="auto"/>
        <w:ind w:firstLine="1134"/>
        <w:jc w:val="both"/>
        <w:rPr>
          <w:shd w:val="clear" w:color="auto" w:fill="FFFFFF"/>
        </w:rPr>
      </w:pPr>
      <w:r w:rsidRPr="00A36431">
        <w:rPr>
          <w:shd w:val="clear" w:color="auto" w:fill="FFFFFF"/>
        </w:rPr>
        <w:t>Eis que, em algumas situações, o devedor deixa de cumprir a sua obrigação. Nesses casos, o Poder Judiciário servi</w:t>
      </w:r>
      <w:r w:rsidR="00AD37FA" w:rsidRPr="00A36431">
        <w:rPr>
          <w:shd w:val="clear" w:color="auto" w:fill="FFFFFF"/>
        </w:rPr>
        <w:t>rá como um “meio” de impor ao réu que este cumpra a obrigação, mesmo que contra sua vontade, para que os direitos do credor sejam garantidos</w:t>
      </w:r>
      <w:r w:rsidR="00084CC7" w:rsidRPr="00A36431">
        <w:rPr>
          <w:shd w:val="clear" w:color="auto" w:fill="FFFFFF"/>
        </w:rPr>
        <w:t xml:space="preserve">. Logo, para que ocorra essa sanção executiva, é necessário que haja determinado grau de certeza, já que o Poder Judiciário, ao realizar a execução, toma medidas extremamente danosas contra o devedor, como </w:t>
      </w:r>
      <w:proofErr w:type="gramStart"/>
      <w:r w:rsidR="00084CC7" w:rsidRPr="00A36431">
        <w:rPr>
          <w:shd w:val="clear" w:color="auto" w:fill="FFFFFF"/>
        </w:rPr>
        <w:t>por exemplo</w:t>
      </w:r>
      <w:proofErr w:type="gramEnd"/>
      <w:r w:rsidR="00084CC7" w:rsidRPr="00A36431">
        <w:rPr>
          <w:shd w:val="clear" w:color="auto" w:fill="FFFFFF"/>
        </w:rPr>
        <w:t xml:space="preserve"> o congelamento de seu patrimônio (GONÇALVES, 2013).</w:t>
      </w:r>
    </w:p>
    <w:p w:rsidR="00E60F42" w:rsidRPr="00A36431" w:rsidRDefault="00084CC7" w:rsidP="00F61B38">
      <w:pPr>
        <w:pStyle w:val="massa-de-texto"/>
        <w:spacing w:before="0" w:beforeAutospacing="0" w:after="0" w:afterAutospacing="0" w:line="360" w:lineRule="auto"/>
        <w:ind w:firstLine="1134"/>
        <w:jc w:val="both"/>
        <w:rPr>
          <w:rStyle w:val="azul-bold"/>
          <w:bCs/>
          <w:shd w:val="clear" w:color="auto" w:fill="FFFFFF"/>
        </w:rPr>
      </w:pPr>
      <w:r w:rsidRPr="00A36431">
        <w:rPr>
          <w:rStyle w:val="apple-style-span"/>
          <w:bCs/>
          <w:shd w:val="clear" w:color="auto" w:fill="FFFFFF"/>
        </w:rPr>
        <w:lastRenderedPageBreak/>
        <w:t xml:space="preserve">Como então essa “certeza” pode ser alcançada para que o Estado-juiz possa realizar a sanção executiva? O meio mais adequado para avaliar isso advém de títulos executivos, </w:t>
      </w:r>
      <w:r w:rsidR="00DC334B" w:rsidRPr="00A36431">
        <w:rPr>
          <w:rStyle w:val="apple-style-span"/>
          <w:bCs/>
          <w:shd w:val="clear" w:color="auto" w:fill="FFFFFF"/>
        </w:rPr>
        <w:t xml:space="preserve">encaixando-se nesses os títulos extrajudiciais. O que se pode aferir, então é que, no processo de execução, o que se busca é </w:t>
      </w:r>
      <w:r w:rsidR="00DC334B" w:rsidRPr="00A36431">
        <w:rPr>
          <w:rStyle w:val="apple-style-span"/>
          <w:shd w:val="clear" w:color="auto" w:fill="FFFFFF"/>
        </w:rPr>
        <w:t xml:space="preserve">que </w:t>
      </w:r>
      <w:r w:rsidR="00DC334B" w:rsidRPr="00A36431">
        <w:rPr>
          <w:rStyle w:val="azul-bold"/>
          <w:bCs/>
          <w:shd w:val="clear" w:color="auto" w:fill="FFFFFF"/>
        </w:rPr>
        <w:t xml:space="preserve">juiz tome providências sirvam para satisfazer </w:t>
      </w:r>
      <w:r w:rsidR="005B7DBF" w:rsidRPr="00A36431">
        <w:rPr>
          <w:rStyle w:val="azul-bold"/>
          <w:bCs/>
          <w:shd w:val="clear" w:color="auto" w:fill="FFFFFF"/>
        </w:rPr>
        <w:t xml:space="preserve">o titular do direito, sendo este processo sempre fundado com base em um título executivo (GONÇALVES, 2013). </w:t>
      </w:r>
    </w:p>
    <w:p w:rsidR="00E60F42" w:rsidRPr="00A36431" w:rsidRDefault="008764F6" w:rsidP="00F61B38">
      <w:pPr>
        <w:pStyle w:val="massa-de-texto"/>
        <w:spacing w:before="0" w:beforeAutospacing="0" w:after="0" w:afterAutospacing="0" w:line="360" w:lineRule="auto"/>
        <w:ind w:firstLine="1134"/>
        <w:jc w:val="both"/>
      </w:pPr>
      <w:r w:rsidRPr="00A36431">
        <w:rPr>
          <w:rStyle w:val="azul-bold"/>
          <w:bCs/>
          <w:shd w:val="clear" w:color="auto" w:fill="FFFFFF"/>
        </w:rPr>
        <w:t>Tendo sido feita esta breve introdução acerca do processo de execução, é necessário tr</w:t>
      </w:r>
      <w:r w:rsidR="00A47B2D" w:rsidRPr="00A36431">
        <w:rPr>
          <w:rStyle w:val="azul-bold"/>
          <w:bCs/>
          <w:shd w:val="clear" w:color="auto" w:fill="FFFFFF"/>
        </w:rPr>
        <w:t>atar da penhora on-line. No intuito de dar maior celeridade à tramitação de processos, surgem mudanças concernentes ao processo de execução do título extrajudicial, mais exatamente, surgem</w:t>
      </w:r>
      <w:r w:rsidR="00A47B2D" w:rsidRPr="00A36431">
        <w:rPr>
          <w:rStyle w:val="azul-bold"/>
          <w:b/>
          <w:bCs/>
          <w:shd w:val="clear" w:color="auto" w:fill="FFFFFF"/>
        </w:rPr>
        <w:t xml:space="preserve"> </w:t>
      </w:r>
      <w:r w:rsidR="00A47B2D" w:rsidRPr="00A36431">
        <w:t xml:space="preserve">capazes de tornar célere o processo e de garantir sua satisfação, dentre os quais está </w:t>
      </w:r>
      <w:proofErr w:type="gramStart"/>
      <w:r w:rsidR="00A47B2D" w:rsidRPr="00A36431">
        <w:t>a</w:t>
      </w:r>
      <w:proofErr w:type="gramEnd"/>
      <w:r w:rsidR="00A47B2D" w:rsidRPr="00A36431">
        <w:t xml:space="preserve"> penhora online. (FREITAS, 2010).</w:t>
      </w:r>
    </w:p>
    <w:p w:rsidR="005507AF" w:rsidRPr="00A36431" w:rsidRDefault="00A47B2D" w:rsidP="00F61B38">
      <w:pPr>
        <w:pStyle w:val="massa-de-texto"/>
        <w:spacing w:before="0" w:beforeAutospacing="0" w:after="0" w:afterAutospacing="0" w:line="360" w:lineRule="auto"/>
        <w:ind w:firstLine="1134"/>
        <w:jc w:val="both"/>
      </w:pPr>
      <w:r w:rsidRPr="00A36431">
        <w:t>O instituto supracitado é definido pelo artigo 655-A do CPC:</w:t>
      </w:r>
    </w:p>
    <w:p w:rsidR="00DE26F9" w:rsidRPr="00A36431" w:rsidRDefault="00DE26F9" w:rsidP="005507AF">
      <w:pPr>
        <w:pStyle w:val="massa-de-texto"/>
        <w:spacing w:before="0" w:beforeAutospacing="0" w:after="0" w:afterAutospacing="0" w:line="360" w:lineRule="auto"/>
        <w:jc w:val="both"/>
      </w:pPr>
    </w:p>
    <w:p w:rsidR="00A47B2D" w:rsidRPr="00A36431" w:rsidRDefault="00A47B2D" w:rsidP="005507AF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3643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“Art. 655-A.</w:t>
      </w:r>
      <w:proofErr w:type="gramEnd"/>
      <w:r w:rsidRPr="00A3643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 Para possibilitar a penhora de dinheiro em depósito ou aplicação financeira o Juiz, a requerimento do </w:t>
      </w:r>
      <w:proofErr w:type="spellStart"/>
      <w:r w:rsidRPr="00A3643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exeqüente</w:t>
      </w:r>
      <w:proofErr w:type="spellEnd"/>
      <w:r w:rsidRPr="00A3643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, requisitará à autoridade supervisora do sistema bancário, preferencialmente por meio eletrônico, informações sobre a existência de ativos em nome do executado, podendo no mesmo ato determinar sua indisponibilidade até o valor indicado na execução.</w:t>
      </w:r>
    </w:p>
    <w:p w:rsidR="00A47B2D" w:rsidRPr="00A36431" w:rsidRDefault="00A47B2D" w:rsidP="005507AF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3643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§ 1º As informações limitar-se-ão à existência ou não de depósito ou aplicação até o valor indicado na execução.</w:t>
      </w:r>
    </w:p>
    <w:p w:rsidR="00A47B2D" w:rsidRPr="00A36431" w:rsidRDefault="00A47B2D" w:rsidP="005507AF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3643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§ 2º Compete ao executado comprovar que as quantias depositadas em conta corrente referem-se do inciso IV do caput do art. 649 desta Lei ou que estão revestidas de outra forma de impenhorabilidade.</w:t>
      </w:r>
    </w:p>
    <w:p w:rsidR="005507AF" w:rsidRDefault="00A47B2D" w:rsidP="005507AF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</w:pPr>
      <w:r w:rsidRPr="00A3643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§ 3º Na penhora de percentual do faturamento da empresa executada, será nomeado depositário, com a atribuição de submeter à aprovação judicial a forma de efetivação da constrição, bem como de prestar contas mensalmente, entregando ao </w:t>
      </w:r>
      <w:proofErr w:type="spellStart"/>
      <w:r w:rsidRPr="00A3643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exeqüente</w:t>
      </w:r>
      <w:proofErr w:type="spellEnd"/>
      <w:r w:rsidRPr="00A3643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 </w:t>
      </w:r>
      <w:proofErr w:type="gramStart"/>
      <w:r w:rsidRPr="00A3643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as</w:t>
      </w:r>
      <w:proofErr w:type="gramEnd"/>
      <w:r w:rsidRPr="00A3643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 quantias recebidas, a fim de serem imputadas no pagamento da dívida.”</w:t>
      </w:r>
    </w:p>
    <w:p w:rsidR="00A36431" w:rsidRPr="00A36431" w:rsidRDefault="00A36431" w:rsidP="005507AF">
      <w:pPr>
        <w:shd w:val="clear" w:color="auto" w:fill="FFFFFF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E60F42" w:rsidRPr="00A36431" w:rsidRDefault="005507AF" w:rsidP="005507AF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t-BR"/>
        </w:rPr>
      </w:pPr>
      <w:r w:rsidRPr="00A3643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t-BR"/>
        </w:rPr>
        <w:t xml:space="preserve"> </w:t>
      </w:r>
    </w:p>
    <w:p w:rsidR="008B5855" w:rsidRPr="00A36431" w:rsidRDefault="00A47B2D" w:rsidP="00F61B38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  <w:shd w:val="clear" w:color="auto" w:fill="FFFFFF"/>
        </w:rPr>
        <w:t>Sendo assim, pode-se aferir que a penhora on-line é um sistema, utilizado pelo Poder Judiciário, que permite efetuar a penhora em dinheiro de forma eletrônica, mediante envio das ordens judiciais aos bancos pela rede Internet. (FILHO, 2006,).</w:t>
      </w:r>
      <w:r w:rsidRPr="00A36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855" w:rsidRPr="00A36431" w:rsidRDefault="00A47B2D" w:rsidP="00F61B38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>Ou seja, a penhora on-line possibilita que o credor</w:t>
      </w:r>
      <w:r w:rsidR="005670E1" w:rsidRPr="00A36431">
        <w:rPr>
          <w:rFonts w:ascii="Times New Roman" w:hAnsi="Times New Roman" w:cs="Times New Roman"/>
          <w:sz w:val="24"/>
          <w:szCs w:val="24"/>
        </w:rPr>
        <w:t xml:space="preserve"> (autor)</w:t>
      </w:r>
      <w:r w:rsidRPr="00A36431">
        <w:rPr>
          <w:rFonts w:ascii="Times New Roman" w:hAnsi="Times New Roman" w:cs="Times New Roman"/>
          <w:sz w:val="24"/>
          <w:szCs w:val="24"/>
        </w:rPr>
        <w:t xml:space="preserve"> requeira ao magistrado que solicite, via internet, informações sobre </w:t>
      </w:r>
      <w:r w:rsidR="005670E1" w:rsidRPr="00A36431">
        <w:rPr>
          <w:rFonts w:ascii="Times New Roman" w:hAnsi="Times New Roman" w:cs="Times New Roman"/>
          <w:sz w:val="24"/>
          <w:szCs w:val="24"/>
        </w:rPr>
        <w:t xml:space="preserve">valores disponíveis </w:t>
      </w:r>
      <w:r w:rsidRPr="00A36431">
        <w:rPr>
          <w:rFonts w:ascii="Times New Roman" w:hAnsi="Times New Roman" w:cs="Times New Roman"/>
          <w:sz w:val="24"/>
          <w:szCs w:val="24"/>
        </w:rPr>
        <w:t>contas bancárias do devedor</w:t>
      </w:r>
      <w:r w:rsidR="005670E1" w:rsidRPr="00A36431">
        <w:rPr>
          <w:rFonts w:ascii="Times New Roman" w:hAnsi="Times New Roman" w:cs="Times New Roman"/>
          <w:sz w:val="24"/>
          <w:szCs w:val="24"/>
        </w:rPr>
        <w:t xml:space="preserve"> (réu)</w:t>
      </w:r>
      <w:r w:rsidRPr="00A36431">
        <w:rPr>
          <w:rFonts w:ascii="Times New Roman" w:hAnsi="Times New Roman" w:cs="Times New Roman"/>
          <w:sz w:val="24"/>
          <w:szCs w:val="24"/>
        </w:rPr>
        <w:t xml:space="preserve"> e, consequentemente, </w:t>
      </w:r>
      <w:r w:rsidR="005670E1" w:rsidRPr="00A36431">
        <w:rPr>
          <w:rFonts w:ascii="Times New Roman" w:hAnsi="Times New Roman" w:cs="Times New Roman"/>
          <w:sz w:val="24"/>
          <w:szCs w:val="24"/>
        </w:rPr>
        <w:t xml:space="preserve">que seja realizado o bloqueio </w:t>
      </w:r>
      <w:r w:rsidRPr="00A36431">
        <w:rPr>
          <w:rFonts w:ascii="Times New Roman" w:hAnsi="Times New Roman" w:cs="Times New Roman"/>
          <w:sz w:val="24"/>
          <w:szCs w:val="24"/>
        </w:rPr>
        <w:t xml:space="preserve">desses valores, </w:t>
      </w:r>
      <w:r w:rsidR="005670E1" w:rsidRPr="00A36431">
        <w:rPr>
          <w:rFonts w:ascii="Times New Roman" w:hAnsi="Times New Roman" w:cs="Times New Roman"/>
          <w:sz w:val="24"/>
          <w:szCs w:val="24"/>
        </w:rPr>
        <w:t xml:space="preserve">no intuito de realizar a execução e, assim, satisfazer a pretensão do autor em face do réu </w:t>
      </w:r>
      <w:r w:rsidRPr="00A36431">
        <w:rPr>
          <w:rFonts w:ascii="Times New Roman" w:hAnsi="Times New Roman" w:cs="Times New Roman"/>
          <w:sz w:val="24"/>
          <w:szCs w:val="24"/>
        </w:rPr>
        <w:t>(FREITAS, 2010).</w:t>
      </w:r>
      <w:r w:rsidR="008B5855" w:rsidRPr="00A36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4AC" w:rsidRPr="00A36431" w:rsidRDefault="008B5855" w:rsidP="00F61B38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Logo, segundo </w:t>
      </w:r>
      <w:r w:rsidR="005670E1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preceitua </w:t>
      </w:r>
      <w:proofErr w:type="spellStart"/>
      <w:r w:rsidR="00AF3502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Luis</w:t>
      </w:r>
      <w:proofErr w:type="spellEnd"/>
      <w:r w:rsidR="00AF3502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Guilherme </w:t>
      </w:r>
      <w:proofErr w:type="spellStart"/>
      <w:r w:rsidR="00AF3502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Marinoni</w:t>
      </w:r>
      <w:proofErr w:type="spellEnd"/>
      <w:r w:rsidR="00AF3502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5670E1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2010), a</w:t>
      </w:r>
      <w:r w:rsidR="00A47B2D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penhora on</w:t>
      </w:r>
      <w:r w:rsidR="005670E1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-line surgiu no intuito de dar maior agilidade e e</w:t>
      </w: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ficácia ao processo de execução, </w:t>
      </w:r>
      <w:r w:rsidR="005670E1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alguns casos. </w:t>
      </w:r>
      <w:r w:rsidR="00AF3502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Tendo em vista que o </w:t>
      </w:r>
      <w:proofErr w:type="spellStart"/>
      <w:r w:rsidR="00AF3502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exeqüente</w:t>
      </w:r>
      <w:proofErr w:type="spellEnd"/>
      <w:r w:rsidR="00AF3502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penhorar dinheiro, necessita saber se o executado possui dinheiro depositado em instituição financeira, ele deve ter ao seu dispor uma ferramenta que lhe garanta esta verificação. Essa ferramenta</w:t>
      </w:r>
      <w:r w:rsidR="005670E1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fruto </w:t>
      </w:r>
      <w:r w:rsidR="00A47B2D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um convênio de </w:t>
      </w:r>
      <w:r w:rsidR="00A47B2D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firmado entre o Banco Central do Brasil, o Superior Tribunal de Justiça (STJ) e o Conselho de Justiça Federal, </w:t>
      </w:r>
      <w:r w:rsidR="005670E1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fez surgir o </w:t>
      </w:r>
      <w:r w:rsidR="00A47B2D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sistema BACEN JUD</w:t>
      </w:r>
      <w:r w:rsidR="005670E1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, o qual é o meio para realizar a penhora on-line</w:t>
      </w:r>
      <w:r w:rsidR="00A47B2D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60F42" w:rsidRPr="00A36431" w:rsidRDefault="00E60F42" w:rsidP="005507A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18"/>
          <w:szCs w:val="18"/>
        </w:rPr>
      </w:pPr>
    </w:p>
    <w:p w:rsidR="002B6B8B" w:rsidRPr="00A36431" w:rsidRDefault="008819D8" w:rsidP="005507A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eastAsia="Calibri"/>
          <w:b/>
        </w:rPr>
      </w:pPr>
      <w:proofErr w:type="gramStart"/>
      <w:r w:rsidRPr="00A36431">
        <w:rPr>
          <w:b/>
        </w:rPr>
        <w:t>2</w:t>
      </w:r>
      <w:proofErr w:type="gramEnd"/>
      <w:r w:rsidR="008C08F5" w:rsidRPr="00A36431">
        <w:t xml:space="preserve"> </w:t>
      </w:r>
      <w:r w:rsidR="00BD7A8F" w:rsidRPr="00A36431">
        <w:rPr>
          <w:rFonts w:eastAsia="Calibri"/>
          <w:b/>
        </w:rPr>
        <w:t xml:space="preserve">O </w:t>
      </w:r>
      <w:proofErr w:type="spellStart"/>
      <w:r w:rsidR="00BD7A8F" w:rsidRPr="00A36431">
        <w:rPr>
          <w:rFonts w:eastAsia="Calibri"/>
          <w:b/>
        </w:rPr>
        <w:t>Bacenjud</w:t>
      </w:r>
      <w:proofErr w:type="spellEnd"/>
      <w:r w:rsidR="00BD7A8F" w:rsidRPr="00A36431">
        <w:rPr>
          <w:rFonts w:eastAsia="Calibri"/>
          <w:b/>
        </w:rPr>
        <w:t xml:space="preserve"> como uma ferramenta de garantia ao acesso à justiça</w:t>
      </w:r>
    </w:p>
    <w:p w:rsidR="008B5855" w:rsidRPr="00A36431" w:rsidRDefault="008B5855" w:rsidP="005507A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eastAsia="Calibri"/>
          <w:b/>
        </w:rPr>
      </w:pPr>
    </w:p>
    <w:p w:rsidR="00AF3502" w:rsidRPr="00A36431" w:rsidRDefault="00AF3502" w:rsidP="00F61B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Bacenjud</w:t>
      </w:r>
      <w:proofErr w:type="spellEnd"/>
      <w:r w:rsidRPr="00A36431">
        <w:rPr>
          <w:rFonts w:ascii="Times New Roman" w:hAnsi="Times New Roman" w:cs="Times New Roman"/>
          <w:sz w:val="24"/>
          <w:szCs w:val="24"/>
        </w:rPr>
        <w:t xml:space="preserve">, sistema adotado pelo Banco Central do Brasil, visa basicamente à penhora online de recursos. Na maioria das vezes, a penhora realizada - e que corresponde à atividade jurisdicional- tem como objetivo garantir o pagamento de dívidas ou simplesmente apreender recursos que possam estar em desconformidade com a Lei. Esse sistema foi criado por meio de um convênio entre o Banco Central e os tribunais por meio da Lei 11.382/2006. </w:t>
      </w:r>
    </w:p>
    <w:p w:rsidR="00AF3502" w:rsidRPr="00A36431" w:rsidRDefault="00AF3502" w:rsidP="00F61B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 xml:space="preserve">Para Gabriela Oliveira </w:t>
      </w:r>
      <w:r w:rsidR="008C2B43" w:rsidRPr="00A36431">
        <w:rPr>
          <w:rFonts w:ascii="Times New Roman" w:hAnsi="Times New Roman" w:cs="Times New Roman"/>
          <w:sz w:val="24"/>
          <w:szCs w:val="24"/>
        </w:rPr>
        <w:t>Freitas (2010</w:t>
      </w:r>
      <w:r w:rsidRPr="00A36431">
        <w:rPr>
          <w:rFonts w:ascii="Times New Roman" w:hAnsi="Times New Roman" w:cs="Times New Roman"/>
          <w:sz w:val="24"/>
          <w:szCs w:val="24"/>
        </w:rPr>
        <w:t xml:space="preserve">), a penhora online consiste na constrição de numerário disponível em conta corrente do devedor, por meio eletrônico, permitindo o uso da rede mundial de computadores (internet) para requisitar informações ao Banco Central e solicitar o mencionado bloqueio. Desta maneira, percebe-se que o entendimento ora citado corrobora o dito acima: o bloqueio de recursos é o ponto chave do 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Bacenjud</w:t>
      </w:r>
      <w:proofErr w:type="spellEnd"/>
      <w:r w:rsidRPr="00A36431">
        <w:rPr>
          <w:rFonts w:ascii="Times New Roman" w:hAnsi="Times New Roman" w:cs="Times New Roman"/>
          <w:sz w:val="24"/>
          <w:szCs w:val="24"/>
        </w:rPr>
        <w:t xml:space="preserve">. A penhora online, por sua vez, é executada por meio deste. </w:t>
      </w:r>
    </w:p>
    <w:p w:rsidR="00E60F42" w:rsidRPr="00A36431" w:rsidRDefault="00AF3502" w:rsidP="00F61B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 xml:space="preserve">É de curial relevância frisar, aqui, que o 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Bacenjud</w:t>
      </w:r>
      <w:proofErr w:type="spellEnd"/>
      <w:r w:rsidRPr="00A36431">
        <w:rPr>
          <w:rFonts w:ascii="Times New Roman" w:hAnsi="Times New Roman" w:cs="Times New Roman"/>
          <w:sz w:val="24"/>
          <w:szCs w:val="24"/>
        </w:rPr>
        <w:t xml:space="preserve"> propôs não pioneirismo quando das penhoras, mas inovação. A inovação a que se faz referência se deve ao fato de hoje haver procedimentos via rede mundial de computadores, o que </w:t>
      </w:r>
      <w:proofErr w:type="gramStart"/>
      <w:r w:rsidRPr="00A36431">
        <w:rPr>
          <w:rFonts w:ascii="Times New Roman" w:hAnsi="Times New Roman" w:cs="Times New Roman"/>
          <w:sz w:val="24"/>
          <w:szCs w:val="24"/>
        </w:rPr>
        <w:t>agiliza</w:t>
      </w:r>
      <w:proofErr w:type="gramEnd"/>
      <w:r w:rsidRPr="00A36431">
        <w:rPr>
          <w:rFonts w:ascii="Times New Roman" w:hAnsi="Times New Roman" w:cs="Times New Roman"/>
          <w:sz w:val="24"/>
          <w:szCs w:val="24"/>
        </w:rPr>
        <w:t xml:space="preserve"> em demasia os processos judiciais. No período em que não havia penhora online, para promover a penhora de recursos era necessário enviar ofícios ao Banco Central, tudo isso fisicamente. Essa prática impossibilitava a efetividade da penhora, vez que o correntista retirava todos os valores de suas contas nos bancos. </w:t>
      </w:r>
    </w:p>
    <w:p w:rsidR="00AF3502" w:rsidRPr="00A36431" w:rsidRDefault="00AF3502" w:rsidP="00F61B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 xml:space="preserve">Demócrito Reinaldo Filho disciplina acerca do procedimento eficaz do 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Bacenjud</w:t>
      </w:r>
      <w:proofErr w:type="spellEnd"/>
      <w:r w:rsidRPr="00A36431">
        <w:rPr>
          <w:rFonts w:ascii="Times New Roman" w:hAnsi="Times New Roman" w:cs="Times New Roman"/>
          <w:sz w:val="24"/>
          <w:szCs w:val="24"/>
        </w:rPr>
        <w:t>:</w:t>
      </w:r>
    </w:p>
    <w:p w:rsidR="00DE26F9" w:rsidRPr="00A36431" w:rsidRDefault="00DE26F9" w:rsidP="005507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F42" w:rsidRPr="00A36431" w:rsidRDefault="00B51B06" w:rsidP="00DE26F9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36431">
        <w:rPr>
          <w:rFonts w:ascii="Times New Roman" w:hAnsi="Times New Roman" w:cs="Times New Roman"/>
          <w:sz w:val="20"/>
          <w:szCs w:val="20"/>
        </w:rPr>
        <w:t>“</w:t>
      </w:r>
      <w:r w:rsidR="00AF3502" w:rsidRPr="00A36431">
        <w:rPr>
          <w:rFonts w:ascii="Times New Roman" w:hAnsi="Times New Roman" w:cs="Times New Roman"/>
          <w:sz w:val="20"/>
          <w:szCs w:val="20"/>
        </w:rPr>
        <w:t xml:space="preserve">A realização de ordens de bloqueio pela via do sistema </w:t>
      </w:r>
      <w:proofErr w:type="gramStart"/>
      <w:r w:rsidR="00AF3502" w:rsidRPr="00A36431">
        <w:rPr>
          <w:rFonts w:ascii="Times New Roman" w:hAnsi="Times New Roman" w:cs="Times New Roman"/>
          <w:sz w:val="20"/>
          <w:szCs w:val="20"/>
        </w:rPr>
        <w:t>Bacen</w:t>
      </w:r>
      <w:proofErr w:type="gramEnd"/>
      <w:r w:rsidR="00AF3502" w:rsidRPr="00A36431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AF3502" w:rsidRPr="00A36431">
        <w:rPr>
          <w:rFonts w:ascii="Times New Roman" w:hAnsi="Times New Roman" w:cs="Times New Roman"/>
          <w:sz w:val="20"/>
          <w:szCs w:val="20"/>
        </w:rPr>
        <w:t>Jud</w:t>
      </w:r>
      <w:proofErr w:type="spellEnd"/>
      <w:r w:rsidR="00AF3502" w:rsidRPr="00A36431">
        <w:rPr>
          <w:rFonts w:ascii="Times New Roman" w:hAnsi="Times New Roman" w:cs="Times New Roman"/>
          <w:sz w:val="20"/>
          <w:szCs w:val="20"/>
        </w:rPr>
        <w:t xml:space="preserve"> não somente elimina o uso de papel e do correio tradicional, gerando economia de tempo e racionalização dos serviços de comunicação entre o Judiciário e as entidades integrantes do sistema Financeiro Nacional. Ele confere mais eficácia às ordens judiciais de bloqueio de contas bancárias, na medida em que fica mais difícil de o devedor prever quando terá sua conta bloqueada. Pelo sistema de envio das requisições via correio, a ordem (o ofício) circula por várias repartições, desde a saída do cartório, passando por departamentos do Banco Central, até a chegada nas mãos do gerente da agência bancária.” (FILHO, 2006, p.1)</w:t>
      </w:r>
    </w:p>
    <w:p w:rsidR="00DE26F9" w:rsidRPr="00A36431" w:rsidRDefault="00DE26F9" w:rsidP="005507AF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AF3502" w:rsidRPr="00A36431" w:rsidRDefault="00AF3502" w:rsidP="00F61B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A36431">
        <w:rPr>
          <w:rFonts w:ascii="Times New Roman" w:hAnsi="Times New Roman" w:cs="Times New Roman"/>
          <w:sz w:val="24"/>
          <w:szCs w:val="24"/>
        </w:rPr>
        <w:t xml:space="preserve">O efeito prático da realização da penhora online é o seguinte: o devedor de má-fé até pode saber que vai ter o seu valor penhorado em razão da citação do processo. No entanto, </w:t>
      </w:r>
      <w:r w:rsidRPr="00A36431">
        <w:rPr>
          <w:rFonts w:ascii="Times New Roman" w:hAnsi="Times New Roman" w:cs="Times New Roman"/>
          <w:sz w:val="24"/>
          <w:szCs w:val="24"/>
        </w:rPr>
        <w:lastRenderedPageBreak/>
        <w:t xml:space="preserve">nem sempre saberá em que momento se dará o bloqueio dos recursos para que possa, dessa maneira, fazer a retirada do </w:t>
      </w:r>
      <w:r w:rsidRPr="00A36431">
        <w:rPr>
          <w:rFonts w:ascii="Times New Roman" w:hAnsi="Times New Roman" w:cs="Times New Roman"/>
          <w:i/>
          <w:sz w:val="24"/>
          <w:szCs w:val="24"/>
        </w:rPr>
        <w:t xml:space="preserve">quantum, </w:t>
      </w:r>
      <w:r w:rsidRPr="00A36431">
        <w:rPr>
          <w:rFonts w:ascii="Times New Roman" w:hAnsi="Times New Roman" w:cs="Times New Roman"/>
          <w:sz w:val="24"/>
          <w:szCs w:val="24"/>
        </w:rPr>
        <w:t>até porque nem os gerentes dos bancos tomam conhecimento dos procedimentos que serão realizados.</w:t>
      </w:r>
      <w:r w:rsidRPr="00A364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6431">
        <w:rPr>
          <w:rFonts w:ascii="Times New Roman" w:hAnsi="Times New Roman" w:cs="Times New Roman"/>
          <w:sz w:val="24"/>
          <w:szCs w:val="24"/>
        </w:rPr>
        <w:t xml:space="preserve">Assim, a efetividade do 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Bacenjud</w:t>
      </w:r>
      <w:proofErr w:type="spellEnd"/>
      <w:r w:rsidRPr="00A36431">
        <w:rPr>
          <w:rFonts w:ascii="Times New Roman" w:hAnsi="Times New Roman" w:cs="Times New Roman"/>
          <w:sz w:val="24"/>
          <w:szCs w:val="24"/>
        </w:rPr>
        <w:t xml:space="preserve"> quando da realização da penhora online é quase certa de maneira a garantir segurança jurídica a quem dela precisar. </w:t>
      </w:r>
    </w:p>
    <w:p w:rsidR="00AF3502" w:rsidRPr="00A36431" w:rsidRDefault="00AF3502" w:rsidP="00F61B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 xml:space="preserve">Há que se relatar que hoje o 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Bacenjud</w:t>
      </w:r>
      <w:proofErr w:type="spellEnd"/>
      <w:r w:rsidRPr="00A36431">
        <w:rPr>
          <w:rFonts w:ascii="Times New Roman" w:hAnsi="Times New Roman" w:cs="Times New Roman"/>
          <w:sz w:val="24"/>
          <w:szCs w:val="24"/>
        </w:rPr>
        <w:t xml:space="preserve"> tem plena execução. Todavia, no ano de 2005, quando o sistema utilizado era o da versão 1.0, houve problemas quanto à sua efetividade. Isto porque, via de exemplo, um magistrado só saberia do cumprimento de uma ordem judicial caso fosse notificado pelo banco (FILHO, 2006). Assim, perdia-se bastante tempo, mesmo com a informatização vigente à época. Hoje, vige no Brasil a versão 2.0 do 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Bacenjud</w:t>
      </w:r>
      <w:proofErr w:type="spellEnd"/>
      <w:r w:rsidRPr="00A36431">
        <w:rPr>
          <w:rFonts w:ascii="Times New Roman" w:hAnsi="Times New Roman" w:cs="Times New Roman"/>
          <w:sz w:val="24"/>
          <w:szCs w:val="24"/>
        </w:rPr>
        <w:t>. Essa versão basicamente sanou pequenos vícios da versão anterior, como o mencionado, além de efetivar com mais facilidade e transparência algumas transações de caráter judicial.</w:t>
      </w:r>
    </w:p>
    <w:p w:rsidR="00E60F42" w:rsidRPr="00A36431" w:rsidRDefault="00AF3502" w:rsidP="00F61B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 xml:space="preserve">Dentre algumas das melhorias avindas da versão 2.0 do 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Bacenjud</w:t>
      </w:r>
      <w:proofErr w:type="spellEnd"/>
      <w:r w:rsidRPr="00A36431">
        <w:rPr>
          <w:rFonts w:ascii="Times New Roman" w:hAnsi="Times New Roman" w:cs="Times New Roman"/>
          <w:sz w:val="24"/>
          <w:szCs w:val="24"/>
        </w:rPr>
        <w:t xml:space="preserve">, pode-se mencionar o fato de que as respostas das instituições financeiras são incluídas automaticamente no sistema, para consulta pelo Juiz. Isso garante rapidez e ajuda a celeridade processual. Além disso, é fundamental mencionar que, com essa nova versão do sistema 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Bacenjud</w:t>
      </w:r>
      <w:proofErr w:type="spellEnd"/>
      <w:r w:rsidRPr="00A36431">
        <w:rPr>
          <w:rFonts w:ascii="Times New Roman" w:hAnsi="Times New Roman" w:cs="Times New Roman"/>
          <w:sz w:val="24"/>
          <w:szCs w:val="24"/>
        </w:rPr>
        <w:t xml:space="preserve">, em virtude da redução de ofícios enviados aos bancos, etc., houve considerável diminuição de custos com material por parte do Poder Judiciário. Fatos como esse apenas atestam o princípio da economia processual e o desenvolvimento sustentável. Como fator que corrobora o dito acima, há ainda o fato de que, havendo eventuais falhas quando da penhora, o desbloqueio das contas é bem mais rápido (FILHO, 2006). </w:t>
      </w:r>
    </w:p>
    <w:p w:rsidR="00AF3502" w:rsidRPr="00A36431" w:rsidRDefault="00AF3502" w:rsidP="00F61B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 xml:space="preserve">É sabido </w:t>
      </w:r>
      <w:r w:rsidR="008C2B43" w:rsidRPr="00A36431">
        <w:rPr>
          <w:rFonts w:ascii="Times New Roman" w:hAnsi="Times New Roman" w:cs="Times New Roman"/>
          <w:sz w:val="24"/>
          <w:szCs w:val="24"/>
        </w:rPr>
        <w:t xml:space="preserve">que </w:t>
      </w:r>
      <w:proofErr w:type="gramStart"/>
      <w:r w:rsidR="008B5855" w:rsidRPr="00A36431">
        <w:rPr>
          <w:rFonts w:ascii="Times New Roman" w:hAnsi="Times New Roman" w:cs="Times New Roman"/>
          <w:sz w:val="24"/>
          <w:szCs w:val="24"/>
        </w:rPr>
        <w:t xml:space="preserve">o </w:t>
      </w:r>
      <w:r w:rsidRPr="00A36431">
        <w:rPr>
          <w:rFonts w:ascii="Times New Roman" w:hAnsi="Times New Roman" w:cs="Times New Roman"/>
          <w:sz w:val="24"/>
          <w:szCs w:val="24"/>
        </w:rPr>
        <w:t>magistrado</w:t>
      </w:r>
      <w:r w:rsidR="008C2B43" w:rsidRPr="00A36431">
        <w:rPr>
          <w:rFonts w:ascii="Times New Roman" w:hAnsi="Times New Roman" w:cs="Times New Roman"/>
          <w:sz w:val="24"/>
          <w:szCs w:val="24"/>
        </w:rPr>
        <w:t xml:space="preserve"> </w:t>
      </w:r>
      <w:r w:rsidRPr="00A36431">
        <w:rPr>
          <w:rFonts w:ascii="Times New Roman" w:hAnsi="Times New Roman" w:cs="Times New Roman"/>
          <w:sz w:val="24"/>
          <w:szCs w:val="24"/>
        </w:rPr>
        <w:t>têm</w:t>
      </w:r>
      <w:proofErr w:type="gramEnd"/>
      <w:r w:rsidRPr="00A36431">
        <w:rPr>
          <w:rFonts w:ascii="Times New Roman" w:hAnsi="Times New Roman" w:cs="Times New Roman"/>
          <w:sz w:val="24"/>
          <w:szCs w:val="24"/>
        </w:rPr>
        <w:t xml:space="preserve"> receio em utilizar a penhora online em virtude de acreditarem que a Lei que garante tal procedimento seria inconstitucional. A explicação para tanto seria uma possível violação ao sigilo bancário, que é um direito garantido pela Constituição da República Fede</w:t>
      </w:r>
      <w:r w:rsidR="008C2B43" w:rsidRPr="00A36431">
        <w:rPr>
          <w:rFonts w:ascii="Times New Roman" w:hAnsi="Times New Roman" w:cs="Times New Roman"/>
          <w:sz w:val="24"/>
          <w:szCs w:val="24"/>
        </w:rPr>
        <w:t>rativa do Brasil (OLIVEIRA, 2010</w:t>
      </w:r>
      <w:r w:rsidRPr="00A36431">
        <w:rPr>
          <w:rFonts w:ascii="Times New Roman" w:hAnsi="Times New Roman" w:cs="Times New Roman"/>
          <w:sz w:val="24"/>
          <w:szCs w:val="24"/>
        </w:rPr>
        <w:t>). Esse entendimento é, no entanto, rebatido pela Lei Complementar nº 105/2001, que está em consonância com a Constituição e garante a aplicação da penhora online (OLIVEIRA,</w:t>
      </w:r>
      <w:r w:rsidR="008C2B43" w:rsidRPr="00A36431">
        <w:rPr>
          <w:rFonts w:ascii="Times New Roman" w:hAnsi="Times New Roman" w:cs="Times New Roman"/>
          <w:sz w:val="24"/>
          <w:szCs w:val="24"/>
        </w:rPr>
        <w:t xml:space="preserve"> 2010</w:t>
      </w:r>
      <w:r w:rsidRPr="00A36431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DE26F9" w:rsidRPr="00A36431" w:rsidRDefault="00DE26F9" w:rsidP="005507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502" w:rsidRPr="00A36431" w:rsidRDefault="00AF3502" w:rsidP="00DE26F9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36431">
        <w:rPr>
          <w:rFonts w:ascii="Times New Roman" w:hAnsi="Times New Roman" w:cs="Times New Roman"/>
          <w:sz w:val="20"/>
          <w:szCs w:val="20"/>
        </w:rPr>
        <w:t xml:space="preserve">"Art. 1o: As instituições financeiras conservarão sigilo em suas operações ativas e passivas e serviços </w:t>
      </w:r>
      <w:proofErr w:type="gramStart"/>
      <w:r w:rsidRPr="00A36431">
        <w:rPr>
          <w:rFonts w:ascii="Times New Roman" w:hAnsi="Times New Roman" w:cs="Times New Roman"/>
          <w:sz w:val="20"/>
          <w:szCs w:val="20"/>
        </w:rPr>
        <w:t>prestados.</w:t>
      </w:r>
      <w:proofErr w:type="gramEnd"/>
      <w:r w:rsidRPr="00A36431">
        <w:rPr>
          <w:rFonts w:ascii="Times New Roman" w:hAnsi="Times New Roman" w:cs="Times New Roman"/>
          <w:sz w:val="20"/>
          <w:szCs w:val="20"/>
        </w:rPr>
        <w:t>(...)</w:t>
      </w:r>
    </w:p>
    <w:p w:rsidR="00AF3502" w:rsidRPr="00A36431" w:rsidRDefault="00AF3502" w:rsidP="00DE26F9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36431">
        <w:rPr>
          <w:rFonts w:ascii="Times New Roman" w:hAnsi="Times New Roman" w:cs="Times New Roman"/>
          <w:sz w:val="20"/>
          <w:szCs w:val="20"/>
        </w:rPr>
        <w:t xml:space="preserve">§ 3o Não constitui violação do dever de </w:t>
      </w:r>
      <w:proofErr w:type="gramStart"/>
      <w:r w:rsidRPr="00A36431">
        <w:rPr>
          <w:rFonts w:ascii="Times New Roman" w:hAnsi="Times New Roman" w:cs="Times New Roman"/>
          <w:sz w:val="20"/>
          <w:szCs w:val="20"/>
        </w:rPr>
        <w:t>sigilo:</w:t>
      </w:r>
      <w:proofErr w:type="gramEnd"/>
      <w:r w:rsidRPr="00A36431">
        <w:rPr>
          <w:rFonts w:ascii="Times New Roman" w:hAnsi="Times New Roman" w:cs="Times New Roman"/>
          <w:sz w:val="20"/>
          <w:szCs w:val="20"/>
        </w:rPr>
        <w:t>(...)</w:t>
      </w:r>
    </w:p>
    <w:p w:rsidR="00E60F42" w:rsidRPr="00A36431" w:rsidRDefault="00AF3502" w:rsidP="00DE26F9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36431">
        <w:rPr>
          <w:rFonts w:ascii="Times New Roman" w:hAnsi="Times New Roman" w:cs="Times New Roman"/>
          <w:sz w:val="20"/>
          <w:szCs w:val="20"/>
        </w:rPr>
        <w:t xml:space="preserve">VI - a prestação de informações nos termos e condições estabelecidos nos artigos 2o, 3o, 4o, 5o, 6o, 7o e </w:t>
      </w:r>
      <w:proofErr w:type="gramStart"/>
      <w:r w:rsidRPr="00A36431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Pr="00A36431">
        <w:rPr>
          <w:rFonts w:ascii="Times New Roman" w:hAnsi="Times New Roman" w:cs="Times New Roman"/>
          <w:sz w:val="20"/>
          <w:szCs w:val="20"/>
        </w:rPr>
        <w:t xml:space="preserve"> desta Lei Complementar.(...)</w:t>
      </w:r>
    </w:p>
    <w:p w:rsidR="00DE26F9" w:rsidRPr="00A36431" w:rsidRDefault="00DE26F9" w:rsidP="00DE26F9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AF3502" w:rsidRPr="00A36431" w:rsidRDefault="00AF3502" w:rsidP="00F61B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A36431">
        <w:rPr>
          <w:rFonts w:ascii="Times New Roman" w:hAnsi="Times New Roman" w:cs="Times New Roman"/>
          <w:sz w:val="24"/>
          <w:szCs w:val="24"/>
        </w:rPr>
        <w:lastRenderedPageBreak/>
        <w:t xml:space="preserve">Cabe salientar que o principal objeto da penhora online são quantias em dinheiro. Por óbvio, não havendo dinheiro, penhoram-se os bens, conforme determinam os artigos 655 e 656 do Código de Processo Civil que vige hoje no Brasil. No entanto, a opção é feita, quase sempre, pelo dinheiro conta em razão da praticidade que há em fazê-lo. Ora, penhorando-se dinheiro, ali está à ‘pronta entrega’. No entanto, para que se penhore um bem, deve haver avaliação do bem, conversão em valores monetários atualizados, etc., o que gera mais custos ao judiciário (FILHO, 2006). </w:t>
      </w:r>
    </w:p>
    <w:p w:rsidR="00AF3502" w:rsidRPr="00A36431" w:rsidRDefault="00AF3502" w:rsidP="00F61B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 xml:space="preserve">Acerca do parágrafo anterior, a jurisprudência tem decidido pelo não oferecimento de bens quando o devedor tiver dinheiro em conta. A fundamentação para tanto está nos artigos 656 e 657 do CPC: </w:t>
      </w:r>
      <w:r w:rsidR="008B5855" w:rsidRPr="00A3643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A36431">
        <w:rPr>
          <w:rFonts w:ascii="Times New Roman" w:hAnsi="Times New Roman" w:cs="Times New Roman"/>
          <w:sz w:val="24"/>
          <w:szCs w:val="24"/>
        </w:rPr>
        <w:t xml:space="preserve"> 657: Ouvida em </w:t>
      </w:r>
      <w:proofErr w:type="gramStart"/>
      <w:r w:rsidRPr="00A3643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A36431">
        <w:rPr>
          <w:rFonts w:ascii="Times New Roman" w:hAnsi="Times New Roman" w:cs="Times New Roman"/>
          <w:sz w:val="24"/>
          <w:szCs w:val="24"/>
        </w:rPr>
        <w:t xml:space="preserve"> (três) dias a parte contrária, se os bens inicialmente penhorados (art.652) forem substituídos por outros, lavrar-se-á o respectivo termo.</w:t>
      </w:r>
      <w:r w:rsidR="008B5855" w:rsidRPr="00A36431">
        <w:rPr>
          <w:rFonts w:ascii="Times New Roman" w:hAnsi="Times New Roman" w:cs="Times New Roman"/>
          <w:sz w:val="24"/>
          <w:szCs w:val="24"/>
        </w:rPr>
        <w:t>”</w:t>
      </w:r>
    </w:p>
    <w:p w:rsidR="00346151" w:rsidRPr="00A36431" w:rsidRDefault="00AF3502" w:rsidP="00F61B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>O dispositivo supracitado não leva em conta o princípio da economicidade, mas o princípio</w:t>
      </w:r>
      <w:r w:rsidR="00346151" w:rsidRPr="00A36431">
        <w:rPr>
          <w:rFonts w:ascii="Times New Roman" w:hAnsi="Times New Roman" w:cs="Times New Roman"/>
          <w:sz w:val="24"/>
          <w:szCs w:val="24"/>
        </w:rPr>
        <w:t xml:space="preserve"> da maior utilidade da </w:t>
      </w:r>
      <w:r w:rsidR="00971684" w:rsidRPr="00A36431">
        <w:rPr>
          <w:rFonts w:ascii="Times New Roman" w:hAnsi="Times New Roman" w:cs="Times New Roman"/>
          <w:sz w:val="24"/>
          <w:szCs w:val="24"/>
        </w:rPr>
        <w:t>execu</w:t>
      </w:r>
      <w:bookmarkStart w:id="0" w:name="_GoBack"/>
      <w:bookmarkEnd w:id="0"/>
      <w:r w:rsidR="00971684" w:rsidRPr="00A36431">
        <w:rPr>
          <w:rFonts w:ascii="Times New Roman" w:hAnsi="Times New Roman" w:cs="Times New Roman"/>
          <w:sz w:val="24"/>
          <w:szCs w:val="24"/>
        </w:rPr>
        <w:t>ção. Isto</w:t>
      </w:r>
      <w:r w:rsidRPr="00A36431">
        <w:rPr>
          <w:rFonts w:ascii="Times New Roman" w:hAnsi="Times New Roman" w:cs="Times New Roman"/>
          <w:sz w:val="24"/>
          <w:szCs w:val="24"/>
        </w:rPr>
        <w:t xml:space="preserve"> porque </w:t>
      </w:r>
      <w:r w:rsidR="00346151" w:rsidRPr="00A36431">
        <w:rPr>
          <w:rFonts w:ascii="Times New Roman" w:hAnsi="Times New Roman" w:cs="Times New Roman"/>
          <w:sz w:val="24"/>
          <w:szCs w:val="24"/>
        </w:rPr>
        <w:t>se deve</w:t>
      </w:r>
      <w:r w:rsidRPr="00A36431">
        <w:rPr>
          <w:rFonts w:ascii="Times New Roman" w:hAnsi="Times New Roman" w:cs="Times New Roman"/>
          <w:sz w:val="24"/>
          <w:szCs w:val="24"/>
        </w:rPr>
        <w:t xml:space="preserve"> dar prioridade ao credor que precisa ser ressarcido nas conformidades de suas demandas. </w:t>
      </w:r>
      <w:r w:rsidR="00346151" w:rsidRPr="00A36431">
        <w:rPr>
          <w:rFonts w:ascii="Times New Roman" w:hAnsi="Times New Roman" w:cs="Times New Roman"/>
          <w:sz w:val="24"/>
          <w:szCs w:val="24"/>
        </w:rPr>
        <w:t>(FILHO, 2006).</w:t>
      </w:r>
    </w:p>
    <w:p w:rsidR="00551321" w:rsidRPr="00A36431" w:rsidRDefault="00AF3502" w:rsidP="00A3643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>Assim tão logo, receba o dinheiro, haverá maior segu</w:t>
      </w:r>
      <w:r w:rsidR="008C2B43" w:rsidRPr="00A36431">
        <w:rPr>
          <w:rFonts w:ascii="Times New Roman" w:hAnsi="Times New Roman" w:cs="Times New Roman"/>
          <w:sz w:val="24"/>
          <w:szCs w:val="24"/>
        </w:rPr>
        <w:t>rança jurídica e satisfação</w:t>
      </w:r>
      <w:r w:rsidRPr="00A36431">
        <w:rPr>
          <w:rFonts w:ascii="Times New Roman" w:hAnsi="Times New Roman" w:cs="Times New Roman"/>
          <w:sz w:val="24"/>
          <w:szCs w:val="24"/>
        </w:rPr>
        <w:t xml:space="preserve"> do processo de execução. A penhora online é, na verdade, uma garantia de que o credor não terá custos para obter seu dinheiro. Além disso, ainda colabora com o devedor, que não terá de arcar com custos de leilões e demais maneiras de angariar fundos para sanar suas dívidas</w:t>
      </w:r>
      <w:r w:rsidR="008C2B43" w:rsidRPr="00A36431">
        <w:rPr>
          <w:rFonts w:ascii="Times New Roman" w:hAnsi="Times New Roman" w:cs="Times New Roman"/>
          <w:sz w:val="24"/>
          <w:szCs w:val="24"/>
        </w:rPr>
        <w:t xml:space="preserve"> junto ao credor (OLIVEIRA, 2010</w:t>
      </w:r>
      <w:r w:rsidR="00551321" w:rsidRPr="00A36431">
        <w:rPr>
          <w:rFonts w:ascii="Times New Roman" w:hAnsi="Times New Roman" w:cs="Times New Roman"/>
          <w:sz w:val="24"/>
          <w:szCs w:val="24"/>
        </w:rPr>
        <w:t>).</w:t>
      </w:r>
    </w:p>
    <w:p w:rsidR="00551321" w:rsidRPr="00A36431" w:rsidRDefault="00551321" w:rsidP="005507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A8F" w:rsidRPr="00A36431" w:rsidRDefault="004B14B5" w:rsidP="005507A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36431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Pr="00A364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7A8F" w:rsidRPr="00A36431">
        <w:rPr>
          <w:rFonts w:ascii="Times New Roman" w:eastAsia="Calibri" w:hAnsi="Times New Roman" w:cs="Times New Roman"/>
          <w:b/>
          <w:sz w:val="24"/>
          <w:szCs w:val="24"/>
        </w:rPr>
        <w:t>Bacenjud</w:t>
      </w:r>
      <w:proofErr w:type="spellEnd"/>
      <w:r w:rsidR="00BD7A8F" w:rsidRPr="00A36431">
        <w:rPr>
          <w:rFonts w:ascii="Times New Roman" w:eastAsia="Calibri" w:hAnsi="Times New Roman" w:cs="Times New Roman"/>
          <w:b/>
          <w:sz w:val="24"/>
          <w:szCs w:val="24"/>
        </w:rPr>
        <w:t>: quando a penhora on-line extrapola a tutela jurisdicional</w:t>
      </w:r>
    </w:p>
    <w:p w:rsidR="008B5855" w:rsidRPr="00A36431" w:rsidRDefault="008B5855" w:rsidP="005507A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B9D" w:rsidRPr="00A36431" w:rsidRDefault="00183B9D" w:rsidP="00F61B38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penhora on-line, apesar de possuir todas as vantagens já explicitadas no outro capítulo, é um instituto bastante contestado por parte da doutrina, vez que possui certos problemas quanto ao seu procedimento como </w:t>
      </w:r>
      <w:r w:rsidR="00702553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os excessos na execução</w:t>
      </w: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702553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a a</w:t>
      </w: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tuação arbitrária do magistrado,</w:t>
      </w:r>
      <w:r w:rsidR="00702553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constrangimento </w:t>
      </w: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ilegal do executado; </w:t>
      </w:r>
      <w:proofErr w:type="spellStart"/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irrazoabili</w:t>
      </w:r>
      <w:r w:rsidR="00702553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dade</w:t>
      </w:r>
      <w:proofErr w:type="spellEnd"/>
      <w:r w:rsidR="00702553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sua aplicação; extremado desvio dos li</w:t>
      </w:r>
      <w:r w:rsidR="00041F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mites impostos pela norma legal, violando o princípio da onerosidade mínima; </w:t>
      </w: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efetivação da penhora é </w:t>
      </w:r>
      <w:proofErr w:type="gramStart"/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muito </w:t>
      </w:r>
      <w:hyperlink r:id="rId8" w:history="1">
        <w:r w:rsidRPr="00041FA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pt-BR"/>
          </w:rPr>
          <w:t>rápida</w:t>
        </w:r>
        <w:proofErr w:type="gramEnd"/>
      </w:hyperlink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, porém o seu desbloqueio, não o é;</w:t>
      </w:r>
      <w:r w:rsidR="00D25DFC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o devedor, geralmente, somente fica sabendo da penhora após a sua efetivação;</w:t>
      </w:r>
      <w:r w:rsidR="00D25DFC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frequentemente, existe excesso na penhora, pois a ordem de bloqueio é emitida simultaneamente para todas as contas e aplicações do executado. (MATOS, 2005).</w:t>
      </w:r>
    </w:p>
    <w:p w:rsidR="001633B9" w:rsidRPr="00A36431" w:rsidRDefault="00183B9D" w:rsidP="00F61B3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Destarte, é evidente que penhora on-line pode ser extremamente gravosa para os executados, principalmente quando concedida de forma errônea e equivocada, incorrendo em algum dos erros supracitados. </w:t>
      </w:r>
      <w:r w:rsidR="001633B9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Tendo como exemplo os valores d</w:t>
      </w:r>
      <w:r w:rsidR="00D25DFC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as ordens que são (geralmente sã</w:t>
      </w:r>
      <w:r w:rsidR="001633B9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o muito superiores ao valor da dívida em si), alé</w:t>
      </w: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1633B9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demora no desbloqueio dos valores retidos indevidamente. </w:t>
      </w:r>
      <w:r w:rsidR="001633B9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(MATOS, 2005)</w:t>
      </w:r>
    </w:p>
    <w:p w:rsidR="00711C9F" w:rsidRPr="00A36431" w:rsidRDefault="00C07D81" w:rsidP="00F61B38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Outro problema também relacionado </w:t>
      </w:r>
      <w:r w:rsidR="00711C9F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 de atuação do </w:t>
      </w:r>
      <w:proofErr w:type="spellStart"/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Bacenjud</w:t>
      </w:r>
      <w:proofErr w:type="spellEnd"/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está relacionado </w:t>
      </w:r>
      <w:r w:rsidR="00702553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o bloqueio das</w:t>
      </w: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contas de uma empresa executada</w:t>
      </w:r>
      <w:r w:rsidR="00702553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bloqueio acaba por provocar danos gravíssimos à empresa, como </w:t>
      </w:r>
      <w:r w:rsidR="00702553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a impossibilidade de movimentação d</w:t>
      </w: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seu capital de giro e o bloqueio do seu faturamento, o que acaba por impossibilitar </w:t>
      </w:r>
      <w:r w:rsidR="00702553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pagamento de folha salarial e o investimento na </w:t>
      </w:r>
      <w:proofErr w:type="gramStart"/>
      <w:r w:rsidR="00702553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produção</w:t>
      </w: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="00711C9F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(TABOSA, 2009). </w:t>
      </w:r>
    </w:p>
    <w:p w:rsidR="00711C9F" w:rsidRPr="00A36431" w:rsidRDefault="00C07D81" w:rsidP="00F61B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64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Há, também, problema concernente </w:t>
      </w:r>
      <w:r w:rsidR="00711C9F" w:rsidRPr="00A36431">
        <w:rPr>
          <w:rFonts w:ascii="Times New Roman" w:hAnsi="Times New Roman" w:cs="Times New Roman"/>
          <w:sz w:val="24"/>
          <w:szCs w:val="24"/>
          <w:shd w:val="clear" w:color="auto" w:fill="FFFFFF"/>
        </w:rPr>
        <w:t>ao desrespeito ao princípio da menor onerosidade, representado pelo artigo 620 do Código de Processo Civil,</w:t>
      </w:r>
      <w:r w:rsidR="00041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quando da atuação do </w:t>
      </w:r>
      <w:proofErr w:type="spellStart"/>
      <w:r w:rsidR="00041FA0">
        <w:rPr>
          <w:rFonts w:ascii="Times New Roman" w:hAnsi="Times New Roman" w:cs="Times New Roman"/>
          <w:sz w:val="24"/>
          <w:szCs w:val="24"/>
          <w:shd w:val="clear" w:color="auto" w:fill="FFFFFF"/>
        </w:rPr>
        <w:t>Bacenjud</w:t>
      </w:r>
      <w:proofErr w:type="spellEnd"/>
      <w:r w:rsidR="00041FA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711C9F" w:rsidRPr="00A364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r w:rsidR="00711C9F" w:rsidRPr="00A36431">
        <w:rPr>
          <w:rFonts w:ascii="Times New Roman" w:hAnsi="Times New Roman" w:cs="Times New Roman"/>
          <w:sz w:val="24"/>
          <w:szCs w:val="24"/>
        </w:rPr>
        <w:t>Art. 620. Quando por vários meios o credor puder promover a execução, o juiz mandará que se faça pelo modo menos gravoso para o devedor.</w:t>
      </w:r>
      <w:proofErr w:type="gramStart"/>
      <w:r w:rsidR="00711C9F" w:rsidRPr="00A36431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711C9F" w:rsidRPr="00A36431" w:rsidRDefault="00711C9F" w:rsidP="00F61B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6431">
        <w:rPr>
          <w:rFonts w:ascii="Times New Roman" w:hAnsi="Times New Roman" w:cs="Times New Roman"/>
          <w:sz w:val="24"/>
          <w:szCs w:val="24"/>
          <w:shd w:val="clear" w:color="auto" w:fill="FFFFFF"/>
        </w:rPr>
        <w:t>O fundamento é que a utilização do </w:t>
      </w:r>
      <w:proofErr w:type="gramStart"/>
      <w:r w:rsidRPr="00A36431">
        <w:rPr>
          <w:rFonts w:ascii="Times New Roman" w:hAnsi="Times New Roman" w:cs="Times New Roman"/>
          <w:i/>
          <w:iCs/>
          <w:sz w:val="24"/>
          <w:szCs w:val="24"/>
        </w:rPr>
        <w:t>Bacen</w:t>
      </w:r>
      <w:proofErr w:type="gramEnd"/>
      <w:r w:rsidRPr="00A36431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A36431">
        <w:rPr>
          <w:rFonts w:ascii="Times New Roman" w:hAnsi="Times New Roman" w:cs="Times New Roman"/>
          <w:i/>
          <w:iCs/>
          <w:sz w:val="24"/>
          <w:szCs w:val="24"/>
        </w:rPr>
        <w:t>Jud</w:t>
      </w:r>
      <w:proofErr w:type="spellEnd"/>
      <w:r w:rsidRPr="00A364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possibilita um bloqueio indiscriminado e amplo de contas bancárias, acarretando ônus excessivo ao devedor. Argumenta-se, também, que o bloqueio eletrônico pode alcançar contas e depósitos destinados a pagamentos de obrigações do devedor ou até mesmo sobre verbas de natureza impenhorável, como aquelas de natureza alimentar ou que representem exclusivamente ganhos salariais. (FILHO, 2006). </w:t>
      </w:r>
    </w:p>
    <w:p w:rsidR="00C07D81" w:rsidRPr="00A36431" w:rsidRDefault="00C07D81" w:rsidP="00F61B38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Como procedimento acima citado, não só a renda do executado é bloqueada, tornando insustentável seu sustento, como também é desrespeitado o seu direito de apresentação de bens suficientes à penhora, o que acaba representando uma violação a princípios constitucionais (TABOSA, 2009).</w:t>
      </w:r>
    </w:p>
    <w:p w:rsidR="00702553" w:rsidRPr="00A36431" w:rsidRDefault="00C07D81" w:rsidP="00F61B38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Dentre esses princípios desrespeitados têm-se </w:t>
      </w:r>
      <w:proofErr w:type="gramStart"/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02553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702553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proofErr w:type="spellEnd"/>
      <w:proofErr w:type="gramEnd"/>
      <w:r w:rsidR="00702553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art. </w:t>
      </w:r>
      <w:hyperlink r:id="rId9" w:tooltip="Artigo 5 da Constituição Federal de 1988" w:history="1">
        <w:r w:rsidR="00702553" w:rsidRPr="00A3643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pt-BR"/>
          </w:rPr>
          <w:t>5º</w:t>
        </w:r>
      </w:hyperlink>
      <w:r w:rsidR="00702553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 , incisos </w:t>
      </w:r>
      <w:hyperlink r:id="rId10" w:tooltip="Inciso LIV do Artigo 5 da Constituição Federal de 1988" w:history="1">
        <w:r w:rsidR="00702553" w:rsidRPr="00A3643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pt-BR"/>
          </w:rPr>
          <w:t>LIV</w:t>
        </w:r>
      </w:hyperlink>
      <w:r w:rsidR="00702553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 e </w:t>
      </w:r>
      <w:hyperlink r:id="rId11" w:tooltip="Inciso LV do Artigo 5 da Constituição Federal de 1988" w:history="1">
        <w:r w:rsidR="00702553" w:rsidRPr="00A3643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pt-BR"/>
          </w:rPr>
          <w:t>LV</w:t>
        </w:r>
      </w:hyperlink>
      <w:r w:rsidR="00E60F42" w:rsidRPr="00A364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r w:rsidR="00702553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da </w:t>
      </w:r>
      <w:hyperlink r:id="rId12" w:tooltip="Constituição da República Federativa do Brasil de 1988" w:history="1">
        <w:r w:rsidR="00702553" w:rsidRPr="00A3643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pt-BR"/>
          </w:rPr>
          <w:t xml:space="preserve">Constituição </w:t>
        </w:r>
        <w:r w:rsidRPr="00A3643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pt-BR"/>
          </w:rPr>
          <w:t xml:space="preserve"> da República Federativa do Brasil</w:t>
        </w:r>
      </w:hyperlink>
      <w:r w:rsidR="00702553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8B5855" w:rsidRPr="00A36431" w:rsidRDefault="008B5855" w:rsidP="005507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2553" w:rsidRPr="00A36431" w:rsidRDefault="00702553" w:rsidP="008B5855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36431">
        <w:rPr>
          <w:rFonts w:ascii="Times New Roman" w:eastAsia="Times New Roman" w:hAnsi="Times New Roman" w:cs="Times New Roman"/>
          <w:sz w:val="20"/>
          <w:szCs w:val="20"/>
          <w:lang w:eastAsia="pt-BR"/>
        </w:rPr>
        <w:t>"</w:t>
      </w:r>
      <w:r w:rsidRPr="00A3643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Art.</w:t>
      </w:r>
      <w:proofErr w:type="gramEnd"/>
      <w:r w:rsidRPr="00A3643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 xml:space="preserve"> 5º Todos são iguais perante a lei, sem distinção de qualquer natureza, garantindo-se aos brasileiros e aos estrangeiros residentes no País a inviolabilidade do direito à vida, à liberdade, à igualdade, à segurança e à propriedade, nos termos seguintes:</w:t>
      </w:r>
    </w:p>
    <w:p w:rsidR="00702553" w:rsidRPr="00A36431" w:rsidRDefault="00702553" w:rsidP="008B5855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</w:pPr>
      <w:r w:rsidRPr="00A3643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>(...) LIV - ninguém será privado da liberdade ou de seus bens sem o devido processo legal;</w:t>
      </w:r>
    </w:p>
    <w:p w:rsidR="00702553" w:rsidRPr="00A36431" w:rsidRDefault="00702553" w:rsidP="008B5855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A36431">
        <w:rPr>
          <w:rFonts w:ascii="Times New Roman" w:eastAsia="Times New Roman" w:hAnsi="Times New Roman" w:cs="Times New Roman"/>
          <w:iCs/>
          <w:sz w:val="20"/>
          <w:szCs w:val="20"/>
          <w:lang w:eastAsia="pt-BR"/>
        </w:rPr>
        <w:t>LV - aos litigantes, em processo judicial ou administrativo, e aos acusados em geral são assegurados o contraditório e ampla defesa, com os meios e recursos a ela inerentes </w:t>
      </w:r>
      <w:r w:rsidRPr="00A36431">
        <w:rPr>
          <w:rFonts w:ascii="Times New Roman" w:eastAsia="Times New Roman" w:hAnsi="Times New Roman" w:cs="Times New Roman"/>
          <w:sz w:val="20"/>
          <w:szCs w:val="20"/>
          <w:lang w:eastAsia="pt-BR"/>
        </w:rPr>
        <w:t>"</w:t>
      </w:r>
      <w:proofErr w:type="gramEnd"/>
      <w:r w:rsidRPr="00A36431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:rsidR="008B5855" w:rsidRPr="00A36431" w:rsidRDefault="008B5855" w:rsidP="008B5855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02553" w:rsidRPr="00A36431" w:rsidRDefault="00AC5C39" w:rsidP="00F61B38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Pode-se aferir, então, que o devido processo legal é desrespeitado pela atuação do </w:t>
      </w:r>
      <w:proofErr w:type="spellStart"/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Bacenjud</w:t>
      </w:r>
      <w:proofErr w:type="spellEnd"/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além de que é juntamente ferido o </w:t>
      </w:r>
      <w:r w:rsidR="00702553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disposto no inciso LV do</w:t>
      </w: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5º da Constituição da República Federativa do Brasil pelo fato de não ser concedido</w:t>
      </w:r>
      <w:r w:rsidR="00702553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às partes integrantes da lide o direito ao</w:t>
      </w:r>
      <w:r w:rsidR="008B5855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contraditório e à ampla defesa </w:t>
      </w:r>
      <w:r w:rsidR="00702553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(TABOSA, 2009). </w:t>
      </w:r>
    </w:p>
    <w:p w:rsidR="002A267F" w:rsidRPr="00A36431" w:rsidRDefault="00E60F42" w:rsidP="00F61B38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AC5C39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mportante ressaltar que, </w:t>
      </w: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ao mesmo tempo em que</w:t>
      </w:r>
      <w:r w:rsidR="00AC5C39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</w:t>
      </w:r>
      <w:proofErr w:type="spellStart"/>
      <w:r w:rsidR="00AC5C39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Bacenjud</w:t>
      </w:r>
      <w:proofErr w:type="spellEnd"/>
      <w:r w:rsidR="00AC5C39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 instrumento de fundamental importância para o direito brasileiro, representando grandes inovações concernentes ao proces</w:t>
      </w:r>
      <w:r w:rsidR="002A267F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so de execução, não está imune a</w:t>
      </w:r>
      <w:r w:rsidR="00AC5C39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“defeitos”, nem </w:t>
      </w:r>
      <w:proofErr w:type="gramStart"/>
      <w:r w:rsidR="00AC5C39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gramEnd"/>
      <w:r w:rsidR="00AC5C39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críticas, baseadas principalmente no argumentos supracitados.</w:t>
      </w:r>
    </w:p>
    <w:p w:rsidR="008B5855" w:rsidRPr="00A36431" w:rsidRDefault="002A267F" w:rsidP="00F61B38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Porém, é facilmente perceptível que a penhora online tem o intuito de facilitar a satisfação da execução, assim como evitar a morosidade existente no direito processual brasileiro. Pode-se aferir, então, diante das inovações trazidas pela Lei 11.382/2006, que o direito processual privilegia o credor, no momento </w:t>
      </w:r>
      <w:r w:rsidR="00041F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que </w:t>
      </w:r>
      <w:proofErr w:type="gramStart"/>
      <w:r w:rsidR="00041FA0">
        <w:rPr>
          <w:rFonts w:ascii="Times New Roman" w:eastAsia="Times New Roman" w:hAnsi="Times New Roman" w:cs="Times New Roman"/>
          <w:sz w:val="24"/>
          <w:szCs w:val="24"/>
          <w:lang w:eastAsia="pt-BR"/>
        </w:rPr>
        <w:t>retira</w:t>
      </w:r>
      <w:proofErr w:type="gramEnd"/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legislação as possibilidades </w:t>
      </w:r>
      <w:r w:rsidR="008B5855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de o devedor evitar o pagamento (FREITAS, 2010).</w:t>
      </w:r>
    </w:p>
    <w:p w:rsidR="002A267F" w:rsidRPr="00A36431" w:rsidRDefault="008B5855" w:rsidP="00F61B38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Ainda segundo Gabriela Freitas (2010), d</w:t>
      </w:r>
      <w:r w:rsidR="002A267F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evido a grande importância dada </w:t>
      </w: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="002A267F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penhora on-line pelo direito processual brasileiro, é fato que esse é um instrumento capaz de fornecer à parte e ao magistrado meio eficaz e legítimo de acelerar e garantir a satisfação da </w:t>
      </w:r>
      <w:proofErr w:type="gramStart"/>
      <w:r w:rsidR="002A267F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execução</w:t>
      </w:r>
      <w:proofErr w:type="gramEnd"/>
    </w:p>
    <w:p w:rsidR="002A267F" w:rsidRPr="00A36431" w:rsidRDefault="002A267F" w:rsidP="00F61B38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Isso demonstra que o processo civil, como um todo, vem adotando medidas que deem efetividade a prestação jurisdicional, dentre as quais </w:t>
      </w:r>
      <w:proofErr w:type="gramStart"/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destaca-se</w:t>
      </w:r>
      <w:proofErr w:type="gramEnd"/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penhora on-line. O modo como se dá a execução por esse instrumento (com o bloqueio de valores em contas, pelo uso da web), simplifica o procedimento judicial, além de torná-lo menos oneroso para os entes públicos devido a sua desburocratização</w:t>
      </w:r>
      <w:r w:rsidR="008B5855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(FREITAS, 2010).</w:t>
      </w:r>
    </w:p>
    <w:p w:rsidR="002A267F" w:rsidRPr="00A36431" w:rsidRDefault="00E60F42" w:rsidP="00F61B38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</w:t>
      </w:r>
      <w:r w:rsidR="002A267F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sabido</w:t>
      </w:r>
      <w:r w:rsidR="00AC5C39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A267F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a penhora online revela-se um mecanismo eficiente e seguro para satisfazer a execução judicial, as inovações trazidas por esta ferramenta deixam claro que não mais </w:t>
      </w:r>
      <w:r w:rsidR="001452E5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o devedor</w:t>
      </w:r>
      <w:r w:rsidR="002A267F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beneficiado</w:t>
      </w:r>
      <w:r w:rsidR="001452E5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A267F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mas sim o credor, por meio da facilitação d</w:t>
      </w:r>
      <w:r w:rsidR="001452E5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o cumprimento da obrigação</w:t>
      </w:r>
      <w:r w:rsidR="00AC5C39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(FREITAS, 2010). </w:t>
      </w:r>
    </w:p>
    <w:p w:rsidR="00DE4B41" w:rsidRPr="000E5525" w:rsidRDefault="00AC5C39" w:rsidP="000E5525">
      <w:pPr>
        <w:shd w:val="clear" w:color="auto" w:fill="FFFFFF"/>
        <w:spacing w:after="0" w:line="360" w:lineRule="auto"/>
        <w:ind w:firstLine="1134"/>
        <w:jc w:val="both"/>
        <w:rPr>
          <w:rFonts w:ascii="Trebuchet MS" w:eastAsia="Times New Roman" w:hAnsi="Trebuchet MS" w:cs="Times New Roman"/>
          <w:sz w:val="18"/>
          <w:szCs w:val="18"/>
          <w:lang w:eastAsia="pt-BR"/>
        </w:rPr>
      </w:pP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Entretanto </w:t>
      </w:r>
      <w:r w:rsidR="001633B9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 existir um equilíbrio entre o direito do credor </w:t>
      </w: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(de </w:t>
      </w:r>
      <w:r w:rsidR="001633B9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receber o que lhe é devido</w:t>
      </w: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1633B9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dever do devedor </w:t>
      </w: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1633B9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pagar o que deve</w:t>
      </w:r>
      <w:r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) (MATOS, 2005). Evitando, assim, que problemas como os já apresentados venham a ocorrer q</w:t>
      </w:r>
      <w:r w:rsidR="00DE4B41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uando da utilização do </w:t>
      </w:r>
      <w:proofErr w:type="spellStart"/>
      <w:r w:rsidR="00DE4B41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Bacenjud</w:t>
      </w:r>
      <w:proofErr w:type="spellEnd"/>
      <w:r w:rsidR="00DE4B41" w:rsidRPr="00A3643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36431" w:rsidRPr="00A36431" w:rsidRDefault="00A36431" w:rsidP="005507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D87" w:rsidRPr="00A36431" w:rsidRDefault="00A50F34" w:rsidP="005507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431">
        <w:rPr>
          <w:rFonts w:ascii="Times New Roman" w:hAnsi="Times New Roman" w:cs="Times New Roman"/>
          <w:b/>
          <w:sz w:val="24"/>
          <w:szCs w:val="24"/>
        </w:rPr>
        <w:t>C</w:t>
      </w:r>
      <w:r w:rsidR="005F58FA" w:rsidRPr="00A36431">
        <w:rPr>
          <w:rFonts w:ascii="Times New Roman" w:hAnsi="Times New Roman" w:cs="Times New Roman"/>
          <w:b/>
          <w:sz w:val="24"/>
          <w:szCs w:val="24"/>
        </w:rPr>
        <w:t>onsiderações Finais</w:t>
      </w:r>
      <w:r w:rsidR="00630905" w:rsidRPr="00A364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5855" w:rsidRPr="00A36431" w:rsidRDefault="008B5855" w:rsidP="005507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F1C" w:rsidRPr="00A36431" w:rsidRDefault="00A86F1C" w:rsidP="00F61B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 xml:space="preserve">A penhora online foi instituída, inicialmente na Justiça do Trabalho com intuito de conter patrimônio de alguém. Depois disso, sua expansão pelo judiciário se tornou realidade e </w:t>
      </w:r>
      <w:r w:rsidRPr="00A36431">
        <w:rPr>
          <w:rFonts w:ascii="Times New Roman" w:hAnsi="Times New Roman" w:cs="Times New Roman"/>
          <w:sz w:val="24"/>
          <w:szCs w:val="24"/>
        </w:rPr>
        <w:lastRenderedPageBreak/>
        <w:t xml:space="preserve">hoje praticamente todas as áreas de atuação do Poder Judiciário estão munidas com essa ferramenta, que se materializa através do sistema 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Bacenjud</w:t>
      </w:r>
      <w:proofErr w:type="spellEnd"/>
      <w:r w:rsidRPr="00A36431">
        <w:rPr>
          <w:rFonts w:ascii="Times New Roman" w:hAnsi="Times New Roman" w:cs="Times New Roman"/>
          <w:sz w:val="24"/>
          <w:szCs w:val="24"/>
        </w:rPr>
        <w:t>. Como explanado aqui, no presente artigo, a constrição dos valores realizada de maneira eletrônica foi um marco para efetividade do processo judicial, sobretudo do processo de execução.</w:t>
      </w:r>
    </w:p>
    <w:p w:rsidR="00A86F1C" w:rsidRPr="00A36431" w:rsidRDefault="00A86F1C" w:rsidP="00F61B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 xml:space="preserve">Há que se mencionar, todavia, que atuação do 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Bacenjud</w:t>
      </w:r>
      <w:proofErr w:type="spellEnd"/>
      <w:r w:rsidRPr="00A36431">
        <w:rPr>
          <w:rFonts w:ascii="Times New Roman" w:hAnsi="Times New Roman" w:cs="Times New Roman"/>
          <w:sz w:val="24"/>
          <w:szCs w:val="24"/>
        </w:rPr>
        <w:t xml:space="preserve">, apesar de todos os benefícios que traz – </w:t>
      </w:r>
      <w:proofErr w:type="gramStart"/>
      <w:r w:rsidRPr="00A36431">
        <w:rPr>
          <w:rFonts w:ascii="Times New Roman" w:hAnsi="Times New Roman" w:cs="Times New Roman"/>
          <w:sz w:val="24"/>
          <w:szCs w:val="24"/>
        </w:rPr>
        <w:t>quais seja</w:t>
      </w:r>
      <w:proofErr w:type="gramEnd"/>
      <w:r w:rsidRPr="00A36431">
        <w:rPr>
          <w:rFonts w:ascii="Times New Roman" w:hAnsi="Times New Roman" w:cs="Times New Roman"/>
          <w:sz w:val="24"/>
          <w:szCs w:val="24"/>
        </w:rPr>
        <w:t xml:space="preserve">: agilidade, celeridade, praticidade, segurança e rapidez-, pode trazer também perigos, conforme demonstrado no bojo deste escrito. Como dito anteriormente, o 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Bacenjud</w:t>
      </w:r>
      <w:proofErr w:type="spellEnd"/>
      <w:r w:rsidRPr="00A36431">
        <w:rPr>
          <w:rFonts w:ascii="Times New Roman" w:hAnsi="Times New Roman" w:cs="Times New Roman"/>
          <w:sz w:val="24"/>
          <w:szCs w:val="24"/>
        </w:rPr>
        <w:t xml:space="preserve">, em sua versão 1.0, trouxe alguns imbróglios para a promoção de penhora online no sistema jurídico brasileiro. </w:t>
      </w:r>
    </w:p>
    <w:p w:rsidR="00A86F1C" w:rsidRPr="00A36431" w:rsidRDefault="00A86F1C" w:rsidP="00F61B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 xml:space="preserve">Como prática recorrente, bloqueavam-se todas as contas de uma parte a ser executada e, dessa forma, havia constrição de valores além dos deduzidos judicialmente. Wolf 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Ejzenberg</w:t>
      </w:r>
      <w:proofErr w:type="spellEnd"/>
      <w:r w:rsidRPr="00A36431">
        <w:rPr>
          <w:rFonts w:ascii="Times New Roman" w:hAnsi="Times New Roman" w:cs="Times New Roman"/>
          <w:sz w:val="24"/>
          <w:szCs w:val="24"/>
        </w:rPr>
        <w:t xml:space="preserve"> (2008) lembra que houve notícia de uma companhia que, além de ser vítima de abuso ao ter bloqueado valor dezenas de </w:t>
      </w:r>
      <w:proofErr w:type="gramStart"/>
      <w:r w:rsidRPr="00A36431">
        <w:rPr>
          <w:rFonts w:ascii="Times New Roman" w:hAnsi="Times New Roman" w:cs="Times New Roman"/>
          <w:sz w:val="24"/>
          <w:szCs w:val="24"/>
        </w:rPr>
        <w:t>vezes mais elevado</w:t>
      </w:r>
      <w:proofErr w:type="gramEnd"/>
      <w:r w:rsidRPr="00A36431">
        <w:rPr>
          <w:rFonts w:ascii="Times New Roman" w:hAnsi="Times New Roman" w:cs="Times New Roman"/>
          <w:sz w:val="24"/>
          <w:szCs w:val="24"/>
        </w:rPr>
        <w:t xml:space="preserve"> do que o devido, não pôde quitar os salários de seus empregados no dia previsto, causa de perdas ainda maiores. Assim, está evidenciado</w:t>
      </w:r>
      <w:proofErr w:type="gramStart"/>
      <w:r w:rsidRPr="00A364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36431">
        <w:rPr>
          <w:rFonts w:ascii="Times New Roman" w:hAnsi="Times New Roman" w:cs="Times New Roman"/>
          <w:sz w:val="24"/>
          <w:szCs w:val="24"/>
        </w:rPr>
        <w:t xml:space="preserve">que o atuação do 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Bacenjud</w:t>
      </w:r>
      <w:proofErr w:type="spellEnd"/>
      <w:r w:rsidRPr="00A36431">
        <w:rPr>
          <w:rFonts w:ascii="Times New Roman" w:hAnsi="Times New Roman" w:cs="Times New Roman"/>
          <w:sz w:val="24"/>
          <w:szCs w:val="24"/>
        </w:rPr>
        <w:t xml:space="preserve">, quando provoca excessos, é prejudicial ao devido processo legal e à segurança jurídica. </w:t>
      </w:r>
    </w:p>
    <w:p w:rsidR="00A86F1C" w:rsidRPr="00A36431" w:rsidRDefault="00A86F1C" w:rsidP="00F61B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 xml:space="preserve">Outra crítica feita à atuação do 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Bacenjud</w:t>
      </w:r>
      <w:proofErr w:type="spellEnd"/>
      <w:r w:rsidRPr="00A36431">
        <w:rPr>
          <w:rFonts w:ascii="Times New Roman" w:hAnsi="Times New Roman" w:cs="Times New Roman"/>
          <w:sz w:val="24"/>
          <w:szCs w:val="24"/>
        </w:rPr>
        <w:t xml:space="preserve"> se deve ao fato de que é invasivo em demasia, de modo a violar, inclusive, direitos e garantias constitucionais. Exemplo disso é a violação que ocorre ao princípio do contraditório e da ampla defesa e garantia ao sigilo de dados pessoais. Quem garante que o juiz, ao consultar os dados bancários da parte supostamente devedora, se aterá ao escopo do 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Bacenjud</w:t>
      </w:r>
      <w:proofErr w:type="spellEnd"/>
      <w:r w:rsidRPr="00A36431">
        <w:rPr>
          <w:rFonts w:ascii="Times New Roman" w:hAnsi="Times New Roman" w:cs="Times New Roman"/>
          <w:sz w:val="24"/>
          <w:szCs w:val="24"/>
        </w:rPr>
        <w:t xml:space="preserve"> e não a demais questões financeiras (EJZENBERG, 2008)</w:t>
      </w:r>
      <w:r w:rsidR="00F61B38" w:rsidRPr="00A36431">
        <w:rPr>
          <w:rFonts w:ascii="Times New Roman" w:hAnsi="Times New Roman" w:cs="Times New Roman"/>
          <w:sz w:val="24"/>
          <w:szCs w:val="24"/>
        </w:rPr>
        <w:t>.</w:t>
      </w:r>
      <w:r w:rsidRPr="00A36431">
        <w:rPr>
          <w:rFonts w:ascii="Times New Roman" w:hAnsi="Times New Roman" w:cs="Times New Roman"/>
          <w:sz w:val="24"/>
          <w:szCs w:val="24"/>
        </w:rPr>
        <w:t xml:space="preserve"> Viola-se o contraditório e a ampla defesa ao passo que, evidentemente, a parte executada tem seus meios de defesa reduzidos, vez que passam a ter suas demandas financeiras monitoradas pelo magistrado (</w:t>
      </w:r>
      <w:r w:rsidR="008B5855" w:rsidRPr="00A36431">
        <w:rPr>
          <w:rFonts w:ascii="Times New Roman" w:hAnsi="Times New Roman" w:cs="Times New Roman"/>
          <w:sz w:val="24"/>
          <w:szCs w:val="24"/>
        </w:rPr>
        <w:t>EI</w:t>
      </w:r>
      <w:r w:rsidRPr="00A36431">
        <w:rPr>
          <w:rFonts w:ascii="Times New Roman" w:hAnsi="Times New Roman" w:cs="Times New Roman"/>
          <w:sz w:val="24"/>
          <w:szCs w:val="24"/>
        </w:rPr>
        <w:t xml:space="preserve">ZENBERG, 2008). </w:t>
      </w:r>
    </w:p>
    <w:p w:rsidR="00A36431" w:rsidRDefault="00A86F1C" w:rsidP="00A3643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 xml:space="preserve">Assim, é palpável é compreensível </w:t>
      </w:r>
      <w:proofErr w:type="gramStart"/>
      <w:r w:rsidRPr="00A364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36431">
        <w:rPr>
          <w:rFonts w:ascii="Times New Roman" w:hAnsi="Times New Roman" w:cs="Times New Roman"/>
          <w:sz w:val="24"/>
          <w:szCs w:val="24"/>
        </w:rPr>
        <w:t xml:space="preserve"> utilização do 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Bacenjud</w:t>
      </w:r>
      <w:proofErr w:type="spellEnd"/>
      <w:r w:rsidRPr="00A36431">
        <w:rPr>
          <w:rFonts w:ascii="Times New Roman" w:hAnsi="Times New Roman" w:cs="Times New Roman"/>
          <w:sz w:val="24"/>
          <w:szCs w:val="24"/>
        </w:rPr>
        <w:t>, vez que sua eficácia é comprovada. No entanto, necessita-se de meios</w:t>
      </w:r>
      <w:proofErr w:type="gramStart"/>
      <w:r w:rsidRPr="00A364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36431">
        <w:rPr>
          <w:rFonts w:ascii="Times New Roman" w:hAnsi="Times New Roman" w:cs="Times New Roman"/>
          <w:sz w:val="24"/>
          <w:szCs w:val="24"/>
        </w:rPr>
        <w:t xml:space="preserve">que garantam segurança jurídica às partes, como um todo, e não somente à parte supostamente devedora. É preciso continuar investindo na tecnologia do 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Bacenjud</w:t>
      </w:r>
      <w:proofErr w:type="spellEnd"/>
      <w:r w:rsidRPr="00A36431">
        <w:rPr>
          <w:rFonts w:ascii="Times New Roman" w:hAnsi="Times New Roman" w:cs="Times New Roman"/>
          <w:sz w:val="24"/>
          <w:szCs w:val="24"/>
        </w:rPr>
        <w:t xml:space="preserve"> para alcançar tais melhoras. Quando se trata de efetividade process</w:t>
      </w:r>
      <w:r w:rsidR="00A36431">
        <w:rPr>
          <w:rFonts w:ascii="Times New Roman" w:hAnsi="Times New Roman" w:cs="Times New Roman"/>
          <w:sz w:val="24"/>
          <w:szCs w:val="24"/>
        </w:rPr>
        <w:t>ual, tudo o que contribua, é bem-</w:t>
      </w:r>
      <w:r w:rsidRPr="00A36431">
        <w:rPr>
          <w:rFonts w:ascii="Times New Roman" w:hAnsi="Times New Roman" w:cs="Times New Roman"/>
          <w:sz w:val="24"/>
          <w:szCs w:val="24"/>
        </w:rPr>
        <w:t xml:space="preserve">vindo. No entanto, é preciso que haja proteção às garantias constitucionais mais básicas.  </w:t>
      </w:r>
    </w:p>
    <w:p w:rsidR="00A36431" w:rsidRDefault="00A36431" w:rsidP="00A364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431" w:rsidRDefault="00A36431" w:rsidP="00A364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431" w:rsidRDefault="00A36431" w:rsidP="00A364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B66" w:rsidRDefault="00F15B66" w:rsidP="00A364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431" w:rsidRPr="00A36431" w:rsidRDefault="002D7555" w:rsidP="00A364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431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A36431" w:rsidRDefault="00C244AC" w:rsidP="00A364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 xml:space="preserve">BRASIL. Código de Processo Civil. 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Vade</w:t>
      </w:r>
      <w:proofErr w:type="spellEnd"/>
      <w:r w:rsidRPr="00A36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Mecum</w:t>
      </w:r>
      <w:proofErr w:type="spellEnd"/>
      <w:r w:rsidRPr="00A36431">
        <w:rPr>
          <w:rFonts w:ascii="Times New Roman" w:hAnsi="Times New Roman" w:cs="Times New Roman"/>
          <w:sz w:val="24"/>
          <w:szCs w:val="24"/>
        </w:rPr>
        <w:t xml:space="preserve"> Saraiva. Ed. Saraiva, 2012.</w:t>
      </w:r>
    </w:p>
    <w:p w:rsidR="00A36431" w:rsidRDefault="00E7214D" w:rsidP="00A364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 xml:space="preserve">BRASIL. Lei 11.382, de 07 de dezembro 2006. </w:t>
      </w:r>
      <w:proofErr w:type="gramStart"/>
      <w:r w:rsidRPr="00A36431">
        <w:rPr>
          <w:rFonts w:ascii="Times New Roman" w:hAnsi="Times New Roman" w:cs="Times New Roman"/>
          <w:sz w:val="24"/>
          <w:szCs w:val="24"/>
        </w:rPr>
        <w:t>Altera</w:t>
      </w:r>
      <w:proofErr w:type="gramEnd"/>
      <w:r w:rsidRPr="00A36431">
        <w:rPr>
          <w:rFonts w:ascii="Times New Roman" w:hAnsi="Times New Roman" w:cs="Times New Roman"/>
          <w:sz w:val="24"/>
          <w:szCs w:val="24"/>
        </w:rPr>
        <w:t xml:space="preserve"> dispositivos da Lei nº 5.869, de 11 de janeiro de 1973 – Código de Processo Civil, relativos ao processo de execução e a outros assuntos. </w:t>
      </w:r>
      <w:r w:rsidRPr="00A36431">
        <w:rPr>
          <w:rFonts w:ascii="Times New Roman" w:hAnsi="Times New Roman" w:cs="Times New Roman"/>
          <w:b/>
          <w:bCs/>
          <w:sz w:val="24"/>
          <w:szCs w:val="24"/>
        </w:rPr>
        <w:t>Diário Oficial</w:t>
      </w:r>
      <w:r w:rsidRPr="00A36431">
        <w:rPr>
          <w:rFonts w:ascii="Times New Roman" w:hAnsi="Times New Roman" w:cs="Times New Roman"/>
          <w:sz w:val="24"/>
          <w:szCs w:val="24"/>
        </w:rPr>
        <w:t>, Brasília, 08 dez. 2006</w:t>
      </w:r>
      <w:r w:rsidR="004416F0" w:rsidRPr="00A36431">
        <w:rPr>
          <w:rFonts w:ascii="Times New Roman" w:hAnsi="Times New Roman" w:cs="Times New Roman"/>
          <w:sz w:val="24"/>
          <w:szCs w:val="24"/>
        </w:rPr>
        <w:t>.</w:t>
      </w:r>
    </w:p>
    <w:p w:rsidR="00E7214D" w:rsidRPr="00A36431" w:rsidRDefault="00E7214D" w:rsidP="00A364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>BRASIL. Lei 12.016, de 07 de agosto de 2009. Disciplina o mandado de segurança individual e coletivo e dá outras providências. </w:t>
      </w:r>
      <w:r w:rsidRPr="00A36431">
        <w:rPr>
          <w:rFonts w:ascii="Times New Roman" w:hAnsi="Times New Roman" w:cs="Times New Roman"/>
          <w:b/>
          <w:bCs/>
          <w:sz w:val="24"/>
          <w:szCs w:val="24"/>
        </w:rPr>
        <w:t>Diário Oficial</w:t>
      </w:r>
      <w:r w:rsidR="004416F0" w:rsidRPr="00A36431">
        <w:rPr>
          <w:rFonts w:ascii="Times New Roman" w:hAnsi="Times New Roman" w:cs="Times New Roman"/>
          <w:sz w:val="24"/>
          <w:szCs w:val="24"/>
        </w:rPr>
        <w:t>, Brasília, 07 ago. 2009.</w:t>
      </w:r>
    </w:p>
    <w:p w:rsidR="00A86F1C" w:rsidRPr="00A36431" w:rsidRDefault="00E53961" w:rsidP="00A364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 xml:space="preserve">COELHO, Fábio 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Ulhoa</w:t>
      </w:r>
      <w:proofErr w:type="spellEnd"/>
      <w:r w:rsidRPr="00A36431">
        <w:rPr>
          <w:rFonts w:ascii="Times New Roman" w:hAnsi="Times New Roman" w:cs="Times New Roman"/>
          <w:sz w:val="24"/>
          <w:szCs w:val="24"/>
        </w:rPr>
        <w:t xml:space="preserve">. </w:t>
      </w:r>
      <w:r w:rsidRPr="00A36431">
        <w:rPr>
          <w:rFonts w:ascii="Times New Roman" w:hAnsi="Times New Roman" w:cs="Times New Roman"/>
          <w:b/>
          <w:sz w:val="24"/>
          <w:szCs w:val="24"/>
        </w:rPr>
        <w:t>Curso de direito comercial.</w:t>
      </w:r>
      <w:r w:rsidRPr="00A36431">
        <w:rPr>
          <w:rFonts w:ascii="Times New Roman" w:hAnsi="Times New Roman" w:cs="Times New Roman"/>
          <w:sz w:val="24"/>
          <w:szCs w:val="24"/>
        </w:rPr>
        <w:t xml:space="preserve"> 16 ª ed. v. 1. São Paulo: </w:t>
      </w:r>
      <w:proofErr w:type="gramStart"/>
      <w:r w:rsidRPr="00A36431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Pr="00A36431">
        <w:rPr>
          <w:rFonts w:ascii="Times New Roman" w:hAnsi="Times New Roman" w:cs="Times New Roman"/>
          <w:sz w:val="24"/>
          <w:szCs w:val="24"/>
        </w:rPr>
        <w:t xml:space="preserve"> 2012.</w:t>
      </w:r>
    </w:p>
    <w:p w:rsidR="00A86F1C" w:rsidRPr="00A36431" w:rsidRDefault="00A86F1C" w:rsidP="00A364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 xml:space="preserve">EJZENBERG, Wolf. </w:t>
      </w:r>
      <w:r w:rsidRPr="00A36431">
        <w:rPr>
          <w:rFonts w:ascii="Times New Roman" w:hAnsi="Times New Roman" w:cs="Times New Roman"/>
          <w:b/>
          <w:sz w:val="24"/>
          <w:szCs w:val="24"/>
        </w:rPr>
        <w:t xml:space="preserve">Penhora online – vantagens e perigos. </w:t>
      </w:r>
      <w:r w:rsidRPr="00A36431">
        <w:rPr>
          <w:rFonts w:ascii="Times New Roman" w:hAnsi="Times New Roman" w:cs="Times New Roman"/>
          <w:sz w:val="24"/>
          <w:szCs w:val="24"/>
        </w:rPr>
        <w:t>Disponível em: http://www.original123.com.br/assessoria/2008/05/03/penhora-online-vantagens-e-perigos/ &gt;</w:t>
      </w:r>
      <w:proofErr w:type="gramStart"/>
      <w:r w:rsidRPr="00A364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36431">
        <w:rPr>
          <w:rFonts w:ascii="Times New Roman" w:hAnsi="Times New Roman" w:cs="Times New Roman"/>
          <w:sz w:val="24"/>
          <w:szCs w:val="24"/>
        </w:rPr>
        <w:t xml:space="preserve">Acesso em 23 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abr</w:t>
      </w:r>
      <w:proofErr w:type="spellEnd"/>
      <w:r w:rsidRPr="00A36431">
        <w:rPr>
          <w:rFonts w:ascii="Times New Roman" w:hAnsi="Times New Roman" w:cs="Times New Roman"/>
          <w:sz w:val="24"/>
          <w:szCs w:val="24"/>
        </w:rPr>
        <w:t>, 2014.</w:t>
      </w:r>
    </w:p>
    <w:p w:rsidR="00C244AC" w:rsidRPr="00A36431" w:rsidRDefault="00702553" w:rsidP="00A364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  <w:shd w:val="clear" w:color="auto" w:fill="FFFFFF"/>
        </w:rPr>
        <w:t>FILHO, Demócrito</w:t>
      </w:r>
      <w:r w:rsidR="004B7253" w:rsidRPr="00A364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Reinaldo</w:t>
      </w:r>
      <w:r w:rsidRPr="00A36431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hyperlink r:id="rId13" w:history="1">
        <w:r w:rsidRPr="00A36431">
          <w:rPr>
            <w:rFonts w:ascii="Times New Roman" w:hAnsi="Times New Roman" w:cs="Times New Roman"/>
            <w:sz w:val="24"/>
            <w:szCs w:val="24"/>
          </w:rPr>
          <w:t>A penhora on line: a utilização do sistema BacenJud para constrição judicial de contas bancárias e sua legalidade</w:t>
        </w:r>
      </w:hyperlink>
      <w:r w:rsidRPr="00A36431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A36431">
        <w:rPr>
          <w:rFonts w:ascii="Times New Roman" w:hAnsi="Times New Roman" w:cs="Times New Roman"/>
          <w:b/>
          <w:bCs/>
          <w:sz w:val="24"/>
          <w:szCs w:val="24"/>
        </w:rPr>
        <w:t xml:space="preserve">Jus </w:t>
      </w:r>
      <w:proofErr w:type="spellStart"/>
      <w:r w:rsidRPr="00A36431">
        <w:rPr>
          <w:rFonts w:ascii="Times New Roman" w:hAnsi="Times New Roman" w:cs="Times New Roman"/>
          <w:b/>
          <w:bCs/>
          <w:sz w:val="24"/>
          <w:szCs w:val="24"/>
        </w:rPr>
        <w:t>Navigandi</w:t>
      </w:r>
      <w:proofErr w:type="spellEnd"/>
      <w:r w:rsidRPr="00A36431">
        <w:rPr>
          <w:rFonts w:ascii="Times New Roman" w:hAnsi="Times New Roman" w:cs="Times New Roman"/>
          <w:sz w:val="24"/>
          <w:szCs w:val="24"/>
          <w:shd w:val="clear" w:color="auto" w:fill="FFFFFF"/>
        </w:rPr>
        <w:t>, Teresina, </w:t>
      </w:r>
      <w:hyperlink r:id="rId14" w:history="1">
        <w:r w:rsidRPr="00A36431">
          <w:rPr>
            <w:rFonts w:ascii="Times New Roman" w:hAnsi="Times New Roman" w:cs="Times New Roman"/>
            <w:sz w:val="24"/>
            <w:szCs w:val="24"/>
          </w:rPr>
          <w:t>ano 11</w:t>
        </w:r>
      </w:hyperlink>
      <w:r w:rsidRPr="00A3643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history="1">
        <w:r w:rsidRPr="00A36431">
          <w:rPr>
            <w:rFonts w:ascii="Times New Roman" w:hAnsi="Times New Roman" w:cs="Times New Roman"/>
            <w:sz w:val="24"/>
            <w:szCs w:val="24"/>
          </w:rPr>
          <w:t>n. 1066</w:t>
        </w:r>
      </w:hyperlink>
      <w:r w:rsidRPr="00A3643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history="1">
        <w:r w:rsidRPr="00A3643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A3643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7" w:history="1">
        <w:r w:rsidRPr="00A36431">
          <w:rPr>
            <w:rFonts w:ascii="Times New Roman" w:hAnsi="Times New Roman" w:cs="Times New Roman"/>
            <w:sz w:val="24"/>
            <w:szCs w:val="24"/>
          </w:rPr>
          <w:t>jun.</w:t>
        </w:r>
      </w:hyperlink>
      <w:r w:rsidRPr="00A3643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8" w:history="1">
        <w:r w:rsidRPr="00A36431">
          <w:rPr>
            <w:rFonts w:ascii="Times New Roman" w:hAnsi="Times New Roman" w:cs="Times New Roman"/>
            <w:sz w:val="24"/>
            <w:szCs w:val="24"/>
          </w:rPr>
          <w:t>2006</w:t>
        </w:r>
      </w:hyperlink>
      <w:r w:rsidRPr="00A36431">
        <w:rPr>
          <w:rFonts w:ascii="Times New Roman" w:hAnsi="Times New Roman" w:cs="Times New Roman"/>
          <w:sz w:val="24"/>
          <w:szCs w:val="24"/>
          <w:shd w:val="clear" w:color="auto" w:fill="FFFFFF"/>
        </w:rPr>
        <w:t>. Disponível em: </w:t>
      </w:r>
      <w:r w:rsidRPr="00A36431">
        <w:rPr>
          <w:rFonts w:ascii="Times New Roman" w:hAnsi="Times New Roman" w:cs="Times New Roman"/>
          <w:sz w:val="24"/>
          <w:szCs w:val="24"/>
        </w:rPr>
        <w:t>&lt;http://jus.com.br/artigos/8459&gt;</w:t>
      </w:r>
      <w:r w:rsidRPr="00A36431">
        <w:rPr>
          <w:rFonts w:ascii="Times New Roman" w:hAnsi="Times New Roman" w:cs="Times New Roman"/>
          <w:sz w:val="24"/>
          <w:szCs w:val="24"/>
          <w:shd w:val="clear" w:color="auto" w:fill="FFFFFF"/>
        </w:rPr>
        <w:t>. Acesso em: </w:t>
      </w:r>
      <w:proofErr w:type="gramStart"/>
      <w:r w:rsidRPr="00A36431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A36431">
        <w:rPr>
          <w:rFonts w:ascii="Times New Roman" w:hAnsi="Times New Roman" w:cs="Times New Roman"/>
          <w:sz w:val="24"/>
          <w:szCs w:val="24"/>
        </w:rPr>
        <w:t xml:space="preserve"> maio 2014</w:t>
      </w:r>
      <w:r w:rsidRPr="00A3643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57668" w:rsidRPr="00A36431">
        <w:rPr>
          <w:rFonts w:ascii="Times New Roman" w:hAnsi="Times New Roman" w:cs="Times New Roman"/>
          <w:sz w:val="24"/>
          <w:szCs w:val="24"/>
        </w:rPr>
        <w:br/>
      </w:r>
      <w:r w:rsidR="00C244AC" w:rsidRPr="00A36431">
        <w:rPr>
          <w:rFonts w:ascii="Times New Roman" w:hAnsi="Times New Roman" w:cs="Times New Roman"/>
          <w:sz w:val="24"/>
          <w:szCs w:val="24"/>
        </w:rPr>
        <w:t xml:space="preserve">Oliveira. </w:t>
      </w:r>
      <w:r w:rsidR="00C244AC" w:rsidRPr="00A36431">
        <w:rPr>
          <w:rFonts w:ascii="Times New Roman" w:hAnsi="Times New Roman" w:cs="Times New Roman"/>
          <w:b/>
          <w:sz w:val="24"/>
          <w:szCs w:val="24"/>
        </w:rPr>
        <w:t xml:space="preserve">Aplicabilidade da penhora online no direito processual civil brasileiro. </w:t>
      </w:r>
      <w:r w:rsidR="00C244AC" w:rsidRPr="00A36431">
        <w:rPr>
          <w:rFonts w:ascii="Times New Roman" w:hAnsi="Times New Roman" w:cs="Times New Roman"/>
          <w:sz w:val="24"/>
          <w:szCs w:val="24"/>
        </w:rPr>
        <w:t xml:space="preserve">Disponível em: </w:t>
      </w:r>
      <w:proofErr w:type="gramStart"/>
      <w:r w:rsidR="00C244AC" w:rsidRPr="00A36431">
        <w:rPr>
          <w:rFonts w:ascii="Times New Roman" w:hAnsi="Times New Roman" w:cs="Times New Roman"/>
          <w:sz w:val="24"/>
          <w:szCs w:val="24"/>
        </w:rPr>
        <w:t>http://www.ambito-juridico.com.br/site/index.</w:t>
      </w:r>
      <w:proofErr w:type="gramEnd"/>
      <w:r w:rsidR="00C244AC" w:rsidRPr="00A36431">
        <w:rPr>
          <w:rFonts w:ascii="Times New Roman" w:hAnsi="Times New Roman" w:cs="Times New Roman"/>
          <w:sz w:val="24"/>
          <w:szCs w:val="24"/>
        </w:rPr>
        <w:t>php?</w:t>
      </w:r>
      <w:proofErr w:type="gramStart"/>
      <w:r w:rsidR="00C244AC" w:rsidRPr="00A36431">
        <w:rPr>
          <w:rFonts w:ascii="Times New Roman" w:hAnsi="Times New Roman" w:cs="Times New Roman"/>
          <w:sz w:val="24"/>
          <w:szCs w:val="24"/>
        </w:rPr>
        <w:t>n_link</w:t>
      </w:r>
      <w:proofErr w:type="gramEnd"/>
      <w:r w:rsidR="00C244AC" w:rsidRPr="00A36431">
        <w:rPr>
          <w:rFonts w:ascii="Times New Roman" w:hAnsi="Times New Roman" w:cs="Times New Roman"/>
          <w:sz w:val="24"/>
          <w:szCs w:val="24"/>
        </w:rPr>
        <w:t xml:space="preserve">=revista_artigos_leitura&amp;artigo_id=5979. Acesso em: </w:t>
      </w:r>
      <w:proofErr w:type="gramStart"/>
      <w:r w:rsidR="00C244AC" w:rsidRPr="00A36431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="00C244AC" w:rsidRPr="00A36431">
        <w:rPr>
          <w:rFonts w:ascii="Times New Roman" w:hAnsi="Times New Roman" w:cs="Times New Roman"/>
          <w:sz w:val="24"/>
          <w:szCs w:val="24"/>
        </w:rPr>
        <w:t>fev</w:t>
      </w:r>
      <w:proofErr w:type="spellEnd"/>
      <w:proofErr w:type="gramEnd"/>
      <w:r w:rsidR="00C244AC" w:rsidRPr="00A36431">
        <w:rPr>
          <w:rFonts w:ascii="Times New Roman" w:hAnsi="Times New Roman" w:cs="Times New Roman"/>
          <w:sz w:val="24"/>
          <w:szCs w:val="24"/>
        </w:rPr>
        <w:t>, 2014.</w:t>
      </w:r>
    </w:p>
    <w:p w:rsidR="00C244AC" w:rsidRPr="00A36431" w:rsidRDefault="00C244AC" w:rsidP="00A364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 xml:space="preserve">GONÇALVES, Marcus Vinicius Rios. </w:t>
      </w:r>
      <w:r w:rsidRPr="00A36431">
        <w:rPr>
          <w:rFonts w:ascii="Times New Roman" w:hAnsi="Times New Roman" w:cs="Times New Roman"/>
          <w:b/>
          <w:sz w:val="24"/>
          <w:szCs w:val="24"/>
        </w:rPr>
        <w:t>Direito processual civil esquematizado.</w:t>
      </w:r>
      <w:r w:rsidRPr="00A36431">
        <w:rPr>
          <w:rFonts w:ascii="Times New Roman" w:hAnsi="Times New Roman" w:cs="Times New Roman"/>
          <w:sz w:val="24"/>
          <w:szCs w:val="24"/>
        </w:rPr>
        <w:t xml:space="preserve"> 3ª ed. São Paulo: </w:t>
      </w:r>
      <w:proofErr w:type="gramStart"/>
      <w:r w:rsidRPr="00A36431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Pr="00A36431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A4560B" w:rsidRPr="00A36431" w:rsidRDefault="00702553" w:rsidP="00A3643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431">
        <w:rPr>
          <w:rFonts w:ascii="Times New Roman" w:hAnsi="Times New Roman" w:cs="Times New Roman"/>
          <w:bCs/>
          <w:sz w:val="24"/>
          <w:szCs w:val="24"/>
        </w:rPr>
        <w:t xml:space="preserve">Matos, Robson </w:t>
      </w:r>
      <w:proofErr w:type="spellStart"/>
      <w:r w:rsidRPr="00A36431">
        <w:rPr>
          <w:rFonts w:ascii="Times New Roman" w:hAnsi="Times New Roman" w:cs="Times New Roman"/>
          <w:bCs/>
          <w:sz w:val="24"/>
          <w:szCs w:val="24"/>
        </w:rPr>
        <w:t>Pedron</w:t>
      </w:r>
      <w:proofErr w:type="spellEnd"/>
      <w:r w:rsidRPr="00A36431">
        <w:rPr>
          <w:rFonts w:ascii="Times New Roman" w:hAnsi="Times New Roman" w:cs="Times New Roman"/>
          <w:bCs/>
          <w:sz w:val="24"/>
          <w:szCs w:val="24"/>
        </w:rPr>
        <w:t>. </w:t>
      </w:r>
      <w:r w:rsidRPr="00A36431">
        <w:rPr>
          <w:rFonts w:ascii="Times New Roman" w:hAnsi="Times New Roman" w:cs="Times New Roman"/>
          <w:bCs/>
          <w:i/>
          <w:iCs/>
          <w:sz w:val="24"/>
          <w:szCs w:val="24"/>
        </w:rPr>
        <w:t>Penhora on-line: solução ou problema</w:t>
      </w:r>
      <w:proofErr w:type="gramStart"/>
      <w:r w:rsidRPr="00A36431">
        <w:rPr>
          <w:rFonts w:ascii="Times New Roman" w:hAnsi="Times New Roman" w:cs="Times New Roman"/>
          <w:bCs/>
          <w:i/>
          <w:iCs/>
          <w:sz w:val="24"/>
          <w:szCs w:val="24"/>
        </w:rPr>
        <w:t>?</w:t>
      </w:r>
      <w:r w:rsidRPr="00A3643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A36431">
        <w:rPr>
          <w:rFonts w:ascii="Times New Roman" w:hAnsi="Times New Roman" w:cs="Times New Roman"/>
          <w:bCs/>
          <w:sz w:val="24"/>
          <w:szCs w:val="24"/>
        </w:rPr>
        <w:t> </w:t>
      </w:r>
      <w:r w:rsidRPr="00A36431">
        <w:rPr>
          <w:rFonts w:ascii="Times New Roman" w:hAnsi="Times New Roman" w:cs="Times New Roman"/>
          <w:b/>
          <w:bCs/>
          <w:sz w:val="24"/>
          <w:szCs w:val="24"/>
        </w:rPr>
        <w:t>Boletim Jurídico</w:t>
      </w:r>
      <w:r w:rsidRPr="00A36431">
        <w:rPr>
          <w:rFonts w:ascii="Times New Roman" w:hAnsi="Times New Roman" w:cs="Times New Roman"/>
          <w:bCs/>
          <w:sz w:val="24"/>
          <w:szCs w:val="24"/>
        </w:rPr>
        <w:t xml:space="preserve">, Uberaba/MG, </w:t>
      </w:r>
      <w:r w:rsidR="008329EA" w:rsidRPr="00A36431">
        <w:rPr>
          <w:rFonts w:ascii="Times New Roman" w:hAnsi="Times New Roman" w:cs="Times New Roman"/>
          <w:bCs/>
          <w:sz w:val="24"/>
          <w:szCs w:val="24"/>
        </w:rPr>
        <w:t xml:space="preserve">2005 </w:t>
      </w:r>
      <w:r w:rsidRPr="00A36431">
        <w:rPr>
          <w:rFonts w:ascii="Times New Roman" w:hAnsi="Times New Roman" w:cs="Times New Roman"/>
          <w:bCs/>
          <w:sz w:val="24"/>
          <w:szCs w:val="24"/>
        </w:rPr>
        <w:t xml:space="preserve">a. 3, </w:t>
      </w:r>
      <w:proofErr w:type="gramStart"/>
      <w:r w:rsidRPr="00A36431">
        <w:rPr>
          <w:rFonts w:ascii="Times New Roman" w:hAnsi="Times New Roman" w:cs="Times New Roman"/>
          <w:bCs/>
          <w:sz w:val="24"/>
          <w:szCs w:val="24"/>
        </w:rPr>
        <w:t>no 142</w:t>
      </w:r>
      <w:proofErr w:type="gramEnd"/>
      <w:r w:rsidRPr="00A36431">
        <w:rPr>
          <w:rFonts w:ascii="Times New Roman" w:hAnsi="Times New Roman" w:cs="Times New Roman"/>
          <w:bCs/>
          <w:sz w:val="24"/>
          <w:szCs w:val="24"/>
        </w:rPr>
        <w:t>. Disponível em: &lt;http://www.boletimjuridico.com.br/ doutrina/</w:t>
      </w:r>
      <w:proofErr w:type="spellStart"/>
      <w:r w:rsidRPr="00A36431">
        <w:rPr>
          <w:rFonts w:ascii="Times New Roman" w:hAnsi="Times New Roman" w:cs="Times New Roman"/>
          <w:bCs/>
          <w:sz w:val="24"/>
          <w:szCs w:val="24"/>
        </w:rPr>
        <w:t>texto.asp?</w:t>
      </w:r>
      <w:proofErr w:type="gramStart"/>
      <w:r w:rsidRPr="00A36431">
        <w:rPr>
          <w:rFonts w:ascii="Times New Roman" w:hAnsi="Times New Roman" w:cs="Times New Roman"/>
          <w:bCs/>
          <w:sz w:val="24"/>
          <w:szCs w:val="24"/>
        </w:rPr>
        <w:t>id</w:t>
      </w:r>
      <w:proofErr w:type="spellEnd"/>
      <w:proofErr w:type="gramEnd"/>
      <w:r w:rsidRPr="00A36431">
        <w:rPr>
          <w:rFonts w:ascii="Times New Roman" w:hAnsi="Times New Roman" w:cs="Times New Roman"/>
          <w:bCs/>
          <w:sz w:val="24"/>
          <w:szCs w:val="24"/>
        </w:rPr>
        <w:t xml:space="preserve">=780&gt; Acesso </w:t>
      </w:r>
      <w:r w:rsidR="00985E8A">
        <w:rPr>
          <w:rFonts w:ascii="Times New Roman" w:hAnsi="Times New Roman" w:cs="Times New Roman"/>
          <w:bCs/>
          <w:sz w:val="24"/>
          <w:szCs w:val="24"/>
        </w:rPr>
        <w:t>em: 1</w:t>
      </w:r>
      <w:r w:rsidRPr="00A36431">
        <w:rPr>
          <w:rFonts w:ascii="Times New Roman" w:hAnsi="Times New Roman" w:cs="Times New Roman"/>
          <w:bCs/>
          <w:sz w:val="24"/>
          <w:szCs w:val="24"/>
        </w:rPr>
        <w:t>  mai. 2014.</w:t>
      </w:r>
    </w:p>
    <w:p w:rsidR="00C244AC" w:rsidRPr="00A36431" w:rsidRDefault="00C244AC" w:rsidP="00A364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 xml:space="preserve">MARINONI, 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Pr="00A36431">
        <w:rPr>
          <w:rFonts w:ascii="Times New Roman" w:hAnsi="Times New Roman" w:cs="Times New Roman"/>
          <w:sz w:val="24"/>
          <w:szCs w:val="24"/>
        </w:rPr>
        <w:t xml:space="preserve"> Guilherme. </w:t>
      </w:r>
      <w:r w:rsidRPr="00A36431">
        <w:rPr>
          <w:rFonts w:ascii="Times New Roman" w:hAnsi="Times New Roman" w:cs="Times New Roman"/>
          <w:b/>
          <w:sz w:val="24"/>
          <w:szCs w:val="24"/>
        </w:rPr>
        <w:t>Penhora online.</w:t>
      </w:r>
      <w:r w:rsidRPr="00A36431">
        <w:rPr>
          <w:rFonts w:ascii="Times New Roman" w:hAnsi="Times New Roman" w:cs="Times New Roman"/>
          <w:sz w:val="24"/>
          <w:szCs w:val="24"/>
        </w:rPr>
        <w:t xml:space="preserve"> Disponível em: http://www.oab.org.br/editora/revista/users/revista/1222962049174218181901.pdf. Acesso em: </w:t>
      </w:r>
      <w:proofErr w:type="gramStart"/>
      <w:r w:rsidRPr="00A36431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Pr="00A36431">
        <w:rPr>
          <w:rFonts w:ascii="Times New Roman" w:hAnsi="Times New Roman" w:cs="Times New Roman"/>
          <w:sz w:val="24"/>
          <w:szCs w:val="24"/>
        </w:rPr>
        <w:t>fev</w:t>
      </w:r>
      <w:proofErr w:type="spellEnd"/>
      <w:proofErr w:type="gramEnd"/>
      <w:r w:rsidRPr="00A36431">
        <w:rPr>
          <w:rFonts w:ascii="Times New Roman" w:hAnsi="Times New Roman" w:cs="Times New Roman"/>
          <w:sz w:val="24"/>
          <w:szCs w:val="24"/>
        </w:rPr>
        <w:t>, 2014.</w:t>
      </w:r>
    </w:p>
    <w:p w:rsidR="004213DA" w:rsidRPr="00A36431" w:rsidRDefault="00702553" w:rsidP="00A364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TABOSA, Amanda Galvão Ferreira. Da Inconstitucionalidade da Penhora On-line. Disponível em http://www.lfg.com.br. </w:t>
      </w:r>
      <w:proofErr w:type="gramStart"/>
      <w:r w:rsidRPr="00A36431">
        <w:rPr>
          <w:rFonts w:ascii="Times New Roman" w:hAnsi="Times New Roman" w:cs="Times New Roman"/>
          <w:sz w:val="24"/>
          <w:szCs w:val="24"/>
          <w:shd w:val="clear" w:color="auto" w:fill="FFFFFF"/>
        </w:rPr>
        <w:t>05 junho</w:t>
      </w:r>
      <w:proofErr w:type="gramEnd"/>
      <w:r w:rsidRPr="00A36431">
        <w:rPr>
          <w:rFonts w:ascii="Times New Roman" w:hAnsi="Times New Roman" w:cs="Times New Roman"/>
          <w:sz w:val="24"/>
          <w:szCs w:val="24"/>
          <w:shd w:val="clear" w:color="auto" w:fill="FFFFFF"/>
        </w:rPr>
        <w:t>. 2009.</w:t>
      </w:r>
      <w:r w:rsidR="00985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Acesso em: </w:t>
      </w:r>
      <w:proofErr w:type="gramStart"/>
      <w:r w:rsidR="00985E8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End"/>
      <w:r w:rsidR="00985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985E8A"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 w:rsidR="00985E8A">
        <w:rPr>
          <w:rFonts w:ascii="Times New Roman" w:hAnsi="Times New Roman" w:cs="Times New Roman"/>
          <w:sz w:val="24"/>
          <w:szCs w:val="24"/>
          <w:shd w:val="clear" w:color="auto" w:fill="FFFFFF"/>
        </w:rPr>
        <w:t>, 2014.</w:t>
      </w:r>
    </w:p>
    <w:p w:rsidR="00C244AC" w:rsidRPr="00A36431" w:rsidRDefault="00C244AC" w:rsidP="00A364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D4D" w:rsidRPr="00A36431" w:rsidRDefault="00556D4D" w:rsidP="00A36431">
      <w:pPr>
        <w:spacing w:line="360" w:lineRule="auto"/>
        <w:jc w:val="both"/>
      </w:pPr>
    </w:p>
    <w:p w:rsidR="00556D4D" w:rsidRPr="00A36431" w:rsidRDefault="00556D4D" w:rsidP="008C08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6E0" w:rsidRPr="00A36431" w:rsidRDefault="008B66E0">
      <w:pPr>
        <w:rPr>
          <w:rFonts w:ascii="Times New Roman" w:hAnsi="Times New Roman" w:cs="Times New Roman"/>
          <w:sz w:val="24"/>
          <w:szCs w:val="24"/>
        </w:rPr>
      </w:pPr>
    </w:p>
    <w:p w:rsidR="008B66E0" w:rsidRPr="00A36431" w:rsidRDefault="008B66E0" w:rsidP="008B66E0">
      <w:pPr>
        <w:rPr>
          <w:rFonts w:ascii="Times New Roman" w:hAnsi="Times New Roman" w:cs="Times New Roman"/>
          <w:sz w:val="24"/>
          <w:szCs w:val="24"/>
        </w:rPr>
      </w:pPr>
    </w:p>
    <w:p w:rsidR="008B66E0" w:rsidRPr="008B66E0" w:rsidRDefault="008B66E0" w:rsidP="008B66E0">
      <w:pPr>
        <w:rPr>
          <w:rFonts w:ascii="Times New Roman" w:hAnsi="Times New Roman" w:cs="Times New Roman"/>
          <w:sz w:val="24"/>
          <w:szCs w:val="24"/>
        </w:rPr>
      </w:pPr>
    </w:p>
    <w:p w:rsidR="008B66E0" w:rsidRPr="008B66E0" w:rsidRDefault="008B66E0" w:rsidP="008B66E0">
      <w:pPr>
        <w:rPr>
          <w:rFonts w:ascii="Times New Roman" w:hAnsi="Times New Roman" w:cs="Times New Roman"/>
          <w:sz w:val="24"/>
          <w:szCs w:val="24"/>
        </w:rPr>
      </w:pPr>
    </w:p>
    <w:p w:rsidR="008B66E0" w:rsidRPr="008B66E0" w:rsidRDefault="008B66E0" w:rsidP="008B66E0">
      <w:pPr>
        <w:rPr>
          <w:rFonts w:ascii="Times New Roman" w:hAnsi="Times New Roman" w:cs="Times New Roman"/>
          <w:sz w:val="24"/>
          <w:szCs w:val="24"/>
        </w:rPr>
      </w:pPr>
    </w:p>
    <w:p w:rsidR="008B66E0" w:rsidRPr="008B66E0" w:rsidRDefault="008B66E0" w:rsidP="008B66E0">
      <w:pPr>
        <w:rPr>
          <w:rFonts w:ascii="Times New Roman" w:hAnsi="Times New Roman" w:cs="Times New Roman"/>
          <w:sz w:val="24"/>
          <w:szCs w:val="24"/>
        </w:rPr>
      </w:pPr>
    </w:p>
    <w:p w:rsidR="008B66E0" w:rsidRDefault="008B66E0" w:rsidP="008B66E0">
      <w:pPr>
        <w:rPr>
          <w:rFonts w:ascii="Times New Roman" w:hAnsi="Times New Roman" w:cs="Times New Roman"/>
          <w:sz w:val="24"/>
          <w:szCs w:val="24"/>
        </w:rPr>
      </w:pPr>
    </w:p>
    <w:p w:rsidR="008C08F5" w:rsidRPr="008B66E0" w:rsidRDefault="008B66E0" w:rsidP="008B66E0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C08F5" w:rsidRPr="008B66E0" w:rsidSect="007B388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FFF" w:rsidRDefault="00D42FFF" w:rsidP="003B4D06">
      <w:pPr>
        <w:spacing w:after="0" w:line="240" w:lineRule="auto"/>
      </w:pPr>
      <w:r>
        <w:separator/>
      </w:r>
    </w:p>
  </w:endnote>
  <w:endnote w:type="continuationSeparator" w:id="0">
    <w:p w:rsidR="00D42FFF" w:rsidRDefault="00D42FFF" w:rsidP="003B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FFF" w:rsidRDefault="00D42FFF" w:rsidP="003B4D06">
      <w:pPr>
        <w:spacing w:after="0" w:line="240" w:lineRule="auto"/>
      </w:pPr>
      <w:r>
        <w:separator/>
      </w:r>
    </w:p>
  </w:footnote>
  <w:footnote w:type="continuationSeparator" w:id="0">
    <w:p w:rsidR="00D42FFF" w:rsidRDefault="00D42FFF" w:rsidP="003B4D06">
      <w:pPr>
        <w:spacing w:after="0" w:line="240" w:lineRule="auto"/>
      </w:pPr>
      <w:r>
        <w:continuationSeparator/>
      </w:r>
    </w:p>
  </w:footnote>
  <w:footnote w:id="1">
    <w:p w:rsidR="00C507EA" w:rsidRPr="001274C8" w:rsidRDefault="00C507EA" w:rsidP="00C507EA">
      <w:pPr>
        <w:pStyle w:val="Textodenotaderodap"/>
        <w:rPr>
          <w:rFonts w:ascii="Times New Roman" w:hAnsi="Times New Roman"/>
        </w:rPr>
      </w:pPr>
      <w:r>
        <w:rPr>
          <w:rStyle w:val="Refdenotaderodap"/>
        </w:rPr>
        <w:footnoteRef/>
      </w:r>
      <w:r>
        <w:t xml:space="preserve"> </w:t>
      </w:r>
      <w:proofErr w:type="spellStart"/>
      <w:r>
        <w:rPr>
          <w:rFonts w:ascii="Times New Roman" w:hAnsi="Times New Roman"/>
        </w:rPr>
        <w:t>Paper</w:t>
      </w:r>
      <w:proofErr w:type="spellEnd"/>
      <w:r>
        <w:rPr>
          <w:rFonts w:ascii="Times New Roman" w:hAnsi="Times New Roman"/>
        </w:rPr>
        <w:t xml:space="preserve"> apresentado à disciplina Títulos de Crédito da Unidade de Ensino Superior Dom Bosco – UNDB. </w:t>
      </w:r>
    </w:p>
  </w:footnote>
  <w:footnote w:id="2">
    <w:p w:rsidR="00C507EA" w:rsidRPr="001274C8" w:rsidRDefault="00C507EA" w:rsidP="00C507EA">
      <w:pPr>
        <w:pStyle w:val="Textodenotaderodap"/>
        <w:rPr>
          <w:rFonts w:ascii="Times New Roman" w:hAnsi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/>
        </w:rPr>
        <w:t>Alunos do 5º Per</w:t>
      </w:r>
      <w:r w:rsidR="00BA6EB4">
        <w:rPr>
          <w:rFonts w:ascii="Times New Roman" w:hAnsi="Times New Roman"/>
        </w:rPr>
        <w:t>íodo Noturno do Curso de Direito</w:t>
      </w:r>
      <w:r>
        <w:rPr>
          <w:rFonts w:ascii="Times New Roman" w:hAnsi="Times New Roman"/>
        </w:rPr>
        <w:t xml:space="preserve"> da UNDB.</w:t>
      </w:r>
    </w:p>
  </w:footnote>
  <w:footnote w:id="3">
    <w:p w:rsidR="00C507EA" w:rsidRPr="001274C8" w:rsidRDefault="00C507EA" w:rsidP="00C507EA">
      <w:pPr>
        <w:pStyle w:val="Textodenotaderodap"/>
        <w:tabs>
          <w:tab w:val="left" w:pos="7155"/>
        </w:tabs>
        <w:rPr>
          <w:rFonts w:ascii="Times New Roman" w:hAnsi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/>
        </w:rPr>
        <w:t>Professor da disciplina Títulos de Crédito da UNDB.</w:t>
      </w:r>
      <w:proofErr w:type="gramStart"/>
      <w:r>
        <w:rPr>
          <w:rFonts w:ascii="Times New Roman" w:hAnsi="Times New Roman"/>
        </w:rPr>
        <w:tab/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7C25"/>
    <w:multiLevelType w:val="hybridMultilevel"/>
    <w:tmpl w:val="E5F2244C"/>
    <w:lvl w:ilvl="0" w:tplc="D8DC289A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1922BD"/>
    <w:multiLevelType w:val="hybridMultilevel"/>
    <w:tmpl w:val="E88C00B0"/>
    <w:lvl w:ilvl="0" w:tplc="867EF4DA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9EF6C11"/>
    <w:multiLevelType w:val="hybridMultilevel"/>
    <w:tmpl w:val="1166F1F0"/>
    <w:lvl w:ilvl="0" w:tplc="867EF4DA">
      <w:start w:val="1"/>
      <w:numFmt w:val="bullet"/>
      <w:lvlText w:val="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9C44D6D"/>
    <w:multiLevelType w:val="hybridMultilevel"/>
    <w:tmpl w:val="C114A8E2"/>
    <w:lvl w:ilvl="0" w:tplc="F84E68B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47EDE"/>
    <w:multiLevelType w:val="hybridMultilevel"/>
    <w:tmpl w:val="3F121AD0"/>
    <w:lvl w:ilvl="0" w:tplc="D8DC289A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C8"/>
    <w:rsid w:val="000115E9"/>
    <w:rsid w:val="000138B5"/>
    <w:rsid w:val="0001730D"/>
    <w:rsid w:val="00027F73"/>
    <w:rsid w:val="00037DDD"/>
    <w:rsid w:val="00037F15"/>
    <w:rsid w:val="00041FA0"/>
    <w:rsid w:val="00065D47"/>
    <w:rsid w:val="000672D7"/>
    <w:rsid w:val="00084CC7"/>
    <w:rsid w:val="000C076B"/>
    <w:rsid w:val="000E5525"/>
    <w:rsid w:val="000F1B54"/>
    <w:rsid w:val="001010E3"/>
    <w:rsid w:val="00117717"/>
    <w:rsid w:val="0013520A"/>
    <w:rsid w:val="001452E5"/>
    <w:rsid w:val="00157668"/>
    <w:rsid w:val="00161292"/>
    <w:rsid w:val="001633B9"/>
    <w:rsid w:val="00183B9D"/>
    <w:rsid w:val="0018666D"/>
    <w:rsid w:val="00192DA3"/>
    <w:rsid w:val="001B10BE"/>
    <w:rsid w:val="001E6B27"/>
    <w:rsid w:val="00207600"/>
    <w:rsid w:val="0021247F"/>
    <w:rsid w:val="00233BBD"/>
    <w:rsid w:val="00255657"/>
    <w:rsid w:val="00275D02"/>
    <w:rsid w:val="002768AD"/>
    <w:rsid w:val="00281F6F"/>
    <w:rsid w:val="002A267F"/>
    <w:rsid w:val="002A43E5"/>
    <w:rsid w:val="002A53AE"/>
    <w:rsid w:val="002B6B8B"/>
    <w:rsid w:val="002C4CAF"/>
    <w:rsid w:val="002C7F05"/>
    <w:rsid w:val="002D4B4E"/>
    <w:rsid w:val="002D7555"/>
    <w:rsid w:val="00311663"/>
    <w:rsid w:val="00312398"/>
    <w:rsid w:val="00317E92"/>
    <w:rsid w:val="00331280"/>
    <w:rsid w:val="00333863"/>
    <w:rsid w:val="00334243"/>
    <w:rsid w:val="00336BA7"/>
    <w:rsid w:val="003373B2"/>
    <w:rsid w:val="00341A46"/>
    <w:rsid w:val="00346151"/>
    <w:rsid w:val="00357DF4"/>
    <w:rsid w:val="00366139"/>
    <w:rsid w:val="00370F43"/>
    <w:rsid w:val="003927F8"/>
    <w:rsid w:val="00394D87"/>
    <w:rsid w:val="00394DC8"/>
    <w:rsid w:val="003B4D06"/>
    <w:rsid w:val="003B58B3"/>
    <w:rsid w:val="003F18D7"/>
    <w:rsid w:val="004060E6"/>
    <w:rsid w:val="0041758F"/>
    <w:rsid w:val="004213DA"/>
    <w:rsid w:val="004416F0"/>
    <w:rsid w:val="0049797A"/>
    <w:rsid w:val="004A1B03"/>
    <w:rsid w:val="004A687E"/>
    <w:rsid w:val="004B14B5"/>
    <w:rsid w:val="004B7253"/>
    <w:rsid w:val="00506406"/>
    <w:rsid w:val="0053286B"/>
    <w:rsid w:val="00532916"/>
    <w:rsid w:val="00537CCF"/>
    <w:rsid w:val="005507AF"/>
    <w:rsid w:val="00551321"/>
    <w:rsid w:val="00554566"/>
    <w:rsid w:val="00556D4D"/>
    <w:rsid w:val="00557AC7"/>
    <w:rsid w:val="005670E1"/>
    <w:rsid w:val="00583309"/>
    <w:rsid w:val="005915A8"/>
    <w:rsid w:val="005A5501"/>
    <w:rsid w:val="005B7DBF"/>
    <w:rsid w:val="005C1B20"/>
    <w:rsid w:val="005C4564"/>
    <w:rsid w:val="005C5CDD"/>
    <w:rsid w:val="005D1383"/>
    <w:rsid w:val="005F58FA"/>
    <w:rsid w:val="00602F1F"/>
    <w:rsid w:val="006115F9"/>
    <w:rsid w:val="00627207"/>
    <w:rsid w:val="00630905"/>
    <w:rsid w:val="0064016B"/>
    <w:rsid w:val="00661357"/>
    <w:rsid w:val="00672D40"/>
    <w:rsid w:val="00682151"/>
    <w:rsid w:val="006D0BD2"/>
    <w:rsid w:val="006D32CE"/>
    <w:rsid w:val="006F4995"/>
    <w:rsid w:val="00702553"/>
    <w:rsid w:val="00711C9F"/>
    <w:rsid w:val="00712B28"/>
    <w:rsid w:val="0071578D"/>
    <w:rsid w:val="00743386"/>
    <w:rsid w:val="00775DD4"/>
    <w:rsid w:val="0077774E"/>
    <w:rsid w:val="007833B6"/>
    <w:rsid w:val="00784F3F"/>
    <w:rsid w:val="0079280D"/>
    <w:rsid w:val="007A5E8D"/>
    <w:rsid w:val="007B388F"/>
    <w:rsid w:val="007B7E56"/>
    <w:rsid w:val="007F6D2D"/>
    <w:rsid w:val="00807D80"/>
    <w:rsid w:val="0081363F"/>
    <w:rsid w:val="0081518A"/>
    <w:rsid w:val="00815F4D"/>
    <w:rsid w:val="008329EA"/>
    <w:rsid w:val="00832D67"/>
    <w:rsid w:val="00857C5A"/>
    <w:rsid w:val="00861C3C"/>
    <w:rsid w:val="008764F6"/>
    <w:rsid w:val="008819D8"/>
    <w:rsid w:val="00897829"/>
    <w:rsid w:val="008B5855"/>
    <w:rsid w:val="008B66E0"/>
    <w:rsid w:val="008C08F5"/>
    <w:rsid w:val="008C2B43"/>
    <w:rsid w:val="008C3692"/>
    <w:rsid w:val="008C37A4"/>
    <w:rsid w:val="008D3E50"/>
    <w:rsid w:val="008D4692"/>
    <w:rsid w:val="008D58EE"/>
    <w:rsid w:val="008F5452"/>
    <w:rsid w:val="0092763C"/>
    <w:rsid w:val="00933355"/>
    <w:rsid w:val="0095034E"/>
    <w:rsid w:val="00971684"/>
    <w:rsid w:val="00985E8A"/>
    <w:rsid w:val="0099426B"/>
    <w:rsid w:val="009A4598"/>
    <w:rsid w:val="009A64AA"/>
    <w:rsid w:val="009B7551"/>
    <w:rsid w:val="009C3459"/>
    <w:rsid w:val="00A36431"/>
    <w:rsid w:val="00A40C4E"/>
    <w:rsid w:val="00A4560B"/>
    <w:rsid w:val="00A47B2D"/>
    <w:rsid w:val="00A508B0"/>
    <w:rsid w:val="00A50F34"/>
    <w:rsid w:val="00A640F5"/>
    <w:rsid w:val="00A86F1C"/>
    <w:rsid w:val="00AB0850"/>
    <w:rsid w:val="00AC2FBB"/>
    <w:rsid w:val="00AC5C39"/>
    <w:rsid w:val="00AD37FA"/>
    <w:rsid w:val="00AE398D"/>
    <w:rsid w:val="00AF3502"/>
    <w:rsid w:val="00B03523"/>
    <w:rsid w:val="00B0397F"/>
    <w:rsid w:val="00B04172"/>
    <w:rsid w:val="00B225AC"/>
    <w:rsid w:val="00B40DC5"/>
    <w:rsid w:val="00B46201"/>
    <w:rsid w:val="00B51B06"/>
    <w:rsid w:val="00B70514"/>
    <w:rsid w:val="00B767B9"/>
    <w:rsid w:val="00BA6EB4"/>
    <w:rsid w:val="00BB3DAB"/>
    <w:rsid w:val="00BD7A8F"/>
    <w:rsid w:val="00C07D81"/>
    <w:rsid w:val="00C23CAB"/>
    <w:rsid w:val="00C244AC"/>
    <w:rsid w:val="00C507EA"/>
    <w:rsid w:val="00C64465"/>
    <w:rsid w:val="00C80AE1"/>
    <w:rsid w:val="00CA29C6"/>
    <w:rsid w:val="00CA45C2"/>
    <w:rsid w:val="00CA5C0C"/>
    <w:rsid w:val="00CB3524"/>
    <w:rsid w:val="00CB4A6D"/>
    <w:rsid w:val="00CC4AD8"/>
    <w:rsid w:val="00CC7E50"/>
    <w:rsid w:val="00CD5F79"/>
    <w:rsid w:val="00CF16CE"/>
    <w:rsid w:val="00D0761A"/>
    <w:rsid w:val="00D17C4E"/>
    <w:rsid w:val="00D25DFC"/>
    <w:rsid w:val="00D426E8"/>
    <w:rsid w:val="00D42FFF"/>
    <w:rsid w:val="00D65187"/>
    <w:rsid w:val="00D70A63"/>
    <w:rsid w:val="00D77920"/>
    <w:rsid w:val="00DB24BD"/>
    <w:rsid w:val="00DB7D01"/>
    <w:rsid w:val="00DC1456"/>
    <w:rsid w:val="00DC334B"/>
    <w:rsid w:val="00DE26F9"/>
    <w:rsid w:val="00DE4B41"/>
    <w:rsid w:val="00DF55C1"/>
    <w:rsid w:val="00E208E4"/>
    <w:rsid w:val="00E41269"/>
    <w:rsid w:val="00E53961"/>
    <w:rsid w:val="00E60F42"/>
    <w:rsid w:val="00E61CE0"/>
    <w:rsid w:val="00E66362"/>
    <w:rsid w:val="00E7214D"/>
    <w:rsid w:val="00E76C91"/>
    <w:rsid w:val="00EA167C"/>
    <w:rsid w:val="00EA6BFD"/>
    <w:rsid w:val="00EC4FE7"/>
    <w:rsid w:val="00ED3455"/>
    <w:rsid w:val="00EE6E37"/>
    <w:rsid w:val="00EF3251"/>
    <w:rsid w:val="00EF453F"/>
    <w:rsid w:val="00F07CF2"/>
    <w:rsid w:val="00F157BA"/>
    <w:rsid w:val="00F15B66"/>
    <w:rsid w:val="00F26DE0"/>
    <w:rsid w:val="00F34626"/>
    <w:rsid w:val="00F36F20"/>
    <w:rsid w:val="00F56406"/>
    <w:rsid w:val="00F61B38"/>
    <w:rsid w:val="00FC3E89"/>
    <w:rsid w:val="00FD3686"/>
    <w:rsid w:val="00FD388A"/>
    <w:rsid w:val="00FD5C9D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397F"/>
    <w:pPr>
      <w:ind w:left="720"/>
      <w:contextualSpacing/>
    </w:pPr>
  </w:style>
  <w:style w:type="paragraph" w:styleId="SemEspaamento">
    <w:name w:val="No Spacing"/>
    <w:uiPriority w:val="1"/>
    <w:qFormat/>
    <w:rsid w:val="00CC7E5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3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37CCF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3B4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4D06"/>
  </w:style>
  <w:style w:type="character" w:styleId="Refdenotaderodap">
    <w:name w:val="footnote reference"/>
    <w:uiPriority w:val="99"/>
    <w:semiHidden/>
    <w:unhideWhenUsed/>
    <w:rsid w:val="003B4D0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66D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66D"/>
    <w:rPr>
      <w:rFonts w:eastAsiaTheme="minorEastAsi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BF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DC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D3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455"/>
  </w:style>
  <w:style w:type="character" w:customStyle="1" w:styleId="apple-style-span">
    <w:name w:val="apple-style-span"/>
    <w:basedOn w:val="Fontepargpadro"/>
    <w:rsid w:val="00333863"/>
  </w:style>
  <w:style w:type="character" w:customStyle="1" w:styleId="apple-converted-space">
    <w:name w:val="apple-converted-space"/>
    <w:basedOn w:val="Fontepargpadro"/>
    <w:rsid w:val="00333863"/>
  </w:style>
  <w:style w:type="character" w:customStyle="1" w:styleId="azul-bold">
    <w:name w:val="azul-bold"/>
    <w:basedOn w:val="Fontepargpadro"/>
    <w:rsid w:val="00333863"/>
  </w:style>
  <w:style w:type="paragraph" w:customStyle="1" w:styleId="massa-de-texto">
    <w:name w:val="massa-de-texto"/>
    <w:basedOn w:val="Normal"/>
    <w:rsid w:val="0033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397F"/>
    <w:pPr>
      <w:ind w:left="720"/>
      <w:contextualSpacing/>
    </w:pPr>
  </w:style>
  <w:style w:type="paragraph" w:styleId="SemEspaamento">
    <w:name w:val="No Spacing"/>
    <w:uiPriority w:val="1"/>
    <w:qFormat/>
    <w:rsid w:val="00CC7E5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3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37CCF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3B4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4D06"/>
  </w:style>
  <w:style w:type="character" w:styleId="Refdenotaderodap">
    <w:name w:val="footnote reference"/>
    <w:uiPriority w:val="99"/>
    <w:semiHidden/>
    <w:unhideWhenUsed/>
    <w:rsid w:val="003B4D0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66D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66D"/>
    <w:rPr>
      <w:rFonts w:eastAsiaTheme="minorEastAsi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BF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DC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D3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455"/>
  </w:style>
  <w:style w:type="character" w:customStyle="1" w:styleId="apple-style-span">
    <w:name w:val="apple-style-span"/>
    <w:basedOn w:val="Fontepargpadro"/>
    <w:rsid w:val="00333863"/>
  </w:style>
  <w:style w:type="character" w:customStyle="1" w:styleId="apple-converted-space">
    <w:name w:val="apple-converted-space"/>
    <w:basedOn w:val="Fontepargpadro"/>
    <w:rsid w:val="00333863"/>
  </w:style>
  <w:style w:type="character" w:customStyle="1" w:styleId="azul-bold">
    <w:name w:val="azul-bold"/>
    <w:basedOn w:val="Fontepargpadro"/>
    <w:rsid w:val="00333863"/>
  </w:style>
  <w:style w:type="paragraph" w:customStyle="1" w:styleId="massa-de-texto">
    <w:name w:val="massa-de-texto"/>
    <w:basedOn w:val="Normal"/>
    <w:rsid w:val="0033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etimjuridico.com.br/doutrina/texto.asp?id=780" TargetMode="External"/><Relationship Id="rId13" Type="http://schemas.openxmlformats.org/officeDocument/2006/relationships/hyperlink" Target="http://jus.com.br/artigos/8459/a-penhora-on-line" TargetMode="External"/><Relationship Id="rId18" Type="http://schemas.openxmlformats.org/officeDocument/2006/relationships/hyperlink" Target="http://jus.com.br/revista/edicoes/20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jusbrasil.com/legislacao/1027008/constitui%C3%A7%C3%A3o-da-republica-federativa-do-brasil-1988" TargetMode="External"/><Relationship Id="rId17" Type="http://schemas.openxmlformats.org/officeDocument/2006/relationships/hyperlink" Target="http://jus.com.br/revista/edicoes/2006/6" TargetMode="External"/><Relationship Id="rId2" Type="http://schemas.openxmlformats.org/officeDocument/2006/relationships/styles" Target="styles.xml"/><Relationship Id="rId16" Type="http://schemas.openxmlformats.org/officeDocument/2006/relationships/hyperlink" Target="http://jus.com.br/revista/edicoes/2006/6/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usbrasil.com/topicos/10728312/inciso-lv-do-artigo-5-da-constitui%C3%A7%C3%A3o-federal-de-19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us.com.br/revista/edicoes/2006/6/2" TargetMode="External"/><Relationship Id="rId10" Type="http://schemas.openxmlformats.org/officeDocument/2006/relationships/hyperlink" Target="http://www.jusbrasil.com/topicos/10728364/inciso-liv-do-artigo-5-da-constitui%C3%A7%C3%A3o-federal-de-198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usbrasil.com/topicos/10641516/artigo-5-da-constitui%C3%A7%C3%A3o-federal-de-1988" TargetMode="External"/><Relationship Id="rId14" Type="http://schemas.openxmlformats.org/officeDocument/2006/relationships/hyperlink" Target="http://jus.com.br/revista/edicoes/200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12</Pages>
  <Words>4394</Words>
  <Characters>23729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Orlando</cp:lastModifiedBy>
  <cp:revision>90</cp:revision>
  <cp:lastPrinted>2013-11-05T21:05:00Z</cp:lastPrinted>
  <dcterms:created xsi:type="dcterms:W3CDTF">2014-05-01T14:31:00Z</dcterms:created>
  <dcterms:modified xsi:type="dcterms:W3CDTF">2014-05-07T19:14:00Z</dcterms:modified>
</cp:coreProperties>
</file>