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C6" w:rsidRDefault="00125FC6" w:rsidP="00125FC6">
      <w:pPr>
        <w:spacing w:before="61"/>
        <w:ind w:right="107"/>
        <w:jc w:val="center"/>
        <w:rPr>
          <w:rFonts w:ascii="Times New Roman" w:hAnsi="Times New Roman"/>
          <w:b/>
          <w:sz w:val="24"/>
        </w:rPr>
      </w:pPr>
      <w:bookmarkStart w:id="0" w:name="_GoBack"/>
      <w:r>
        <w:rPr>
          <w:rFonts w:ascii="Times New Roman" w:hAnsi="Times New Roman"/>
          <w:b/>
          <w:sz w:val="24"/>
        </w:rPr>
        <w:t>ESTUDO DE CASO</w:t>
      </w:r>
    </w:p>
    <w:p w:rsidR="00AE3DD1" w:rsidRDefault="00125FC6" w:rsidP="00125FC6">
      <w:pPr>
        <w:spacing w:before="61"/>
        <w:ind w:right="107"/>
        <w:jc w:val="center"/>
        <w:rPr>
          <w:rFonts w:ascii="Times New Roman" w:eastAsia="Times New Roman" w:hAnsi="Times New Roman" w:cs="Times New Roman"/>
          <w:sz w:val="16"/>
          <w:szCs w:val="16"/>
        </w:rPr>
      </w:pPr>
      <w:r>
        <w:rPr>
          <w:rFonts w:ascii="Times New Roman" w:hAnsi="Times New Roman"/>
          <w:b/>
          <w:sz w:val="24"/>
        </w:rPr>
        <w:t>CADE E A ANÁLISE DE CONCENTRAÇÃO DE EMPRESAS</w:t>
      </w:r>
      <w:r>
        <w:rPr>
          <w:rFonts w:ascii="Times New Roman" w:hAnsi="Times New Roman"/>
          <w:b/>
          <w:position w:val="11"/>
          <w:sz w:val="16"/>
        </w:rPr>
        <w:t>1</w:t>
      </w:r>
    </w:p>
    <w:p w:rsidR="00AE3DD1" w:rsidRDefault="00AE3DD1">
      <w:pPr>
        <w:rPr>
          <w:rFonts w:ascii="Times New Roman" w:eastAsia="Times New Roman" w:hAnsi="Times New Roman" w:cs="Times New Roman"/>
          <w:b/>
          <w:bCs/>
          <w:sz w:val="28"/>
          <w:szCs w:val="28"/>
        </w:rPr>
      </w:pPr>
    </w:p>
    <w:p w:rsidR="00AE3DD1" w:rsidRDefault="00125FC6">
      <w:pPr>
        <w:spacing w:before="226" w:line="276" w:lineRule="exact"/>
        <w:ind w:left="5232" w:right="107" w:firstLine="1711"/>
        <w:rPr>
          <w:rFonts w:ascii="Times New Roman" w:eastAsia="Times New Roman" w:hAnsi="Times New Roman" w:cs="Times New Roman"/>
          <w:sz w:val="16"/>
          <w:szCs w:val="16"/>
        </w:rPr>
      </w:pPr>
      <w:r>
        <w:rPr>
          <w:rFonts w:ascii="Times New Roman" w:hAnsi="Times New Roman"/>
          <w:i/>
          <w:sz w:val="24"/>
        </w:rPr>
        <w:t>José Muniz Neto</w:t>
      </w:r>
      <w:r>
        <w:rPr>
          <w:rFonts w:ascii="Times New Roman" w:hAnsi="Times New Roman"/>
          <w:i/>
          <w:position w:val="11"/>
          <w:sz w:val="16"/>
        </w:rPr>
        <w:t xml:space="preserve">2 </w:t>
      </w:r>
    </w:p>
    <w:p w:rsidR="00AE3DD1" w:rsidRDefault="00AE3DD1">
      <w:pPr>
        <w:rPr>
          <w:rFonts w:ascii="Times New Roman" w:eastAsia="Times New Roman" w:hAnsi="Times New Roman" w:cs="Times New Roman"/>
          <w:i/>
          <w:sz w:val="28"/>
          <w:szCs w:val="28"/>
        </w:rPr>
      </w:pPr>
    </w:p>
    <w:p w:rsidR="00AE3DD1" w:rsidRDefault="00AE3DD1">
      <w:pPr>
        <w:rPr>
          <w:rFonts w:ascii="Times New Roman" w:eastAsia="Times New Roman" w:hAnsi="Times New Roman" w:cs="Times New Roman"/>
          <w:i/>
          <w:sz w:val="28"/>
          <w:szCs w:val="28"/>
        </w:rPr>
      </w:pPr>
    </w:p>
    <w:p w:rsidR="00AE3DD1" w:rsidRDefault="00125FC6">
      <w:pPr>
        <w:pStyle w:val="Ttulo1"/>
        <w:numPr>
          <w:ilvl w:val="0"/>
          <w:numId w:val="8"/>
        </w:numPr>
        <w:tabs>
          <w:tab w:val="left" w:pos="550"/>
        </w:tabs>
        <w:spacing w:before="188"/>
        <w:rPr>
          <w:b w:val="0"/>
          <w:bCs w:val="0"/>
        </w:rPr>
      </w:pPr>
      <w:r>
        <w:t>DESCRIÇÃO DO</w:t>
      </w:r>
      <w:r>
        <w:rPr>
          <w:spacing w:val="-3"/>
        </w:rPr>
        <w:t xml:space="preserve"> </w:t>
      </w:r>
      <w:r>
        <w:t>CASO</w:t>
      </w:r>
    </w:p>
    <w:p w:rsidR="00AE3DD1" w:rsidRDefault="00AE3DD1">
      <w:pPr>
        <w:rPr>
          <w:rFonts w:ascii="Times New Roman" w:eastAsia="Times New Roman" w:hAnsi="Times New Roman" w:cs="Times New Roman"/>
          <w:b/>
          <w:bCs/>
          <w:sz w:val="24"/>
          <w:szCs w:val="24"/>
        </w:rPr>
      </w:pPr>
    </w:p>
    <w:p w:rsidR="00AE3DD1" w:rsidRDefault="00AE3DD1">
      <w:pPr>
        <w:spacing w:before="7"/>
        <w:rPr>
          <w:rFonts w:ascii="Times New Roman" w:eastAsia="Times New Roman" w:hAnsi="Times New Roman" w:cs="Times New Roman"/>
          <w:b/>
          <w:bCs/>
          <w:sz w:val="23"/>
          <w:szCs w:val="23"/>
        </w:rPr>
      </w:pPr>
    </w:p>
    <w:p w:rsidR="00AE3DD1" w:rsidRDefault="00125FC6">
      <w:pPr>
        <w:pStyle w:val="Corpodetexto"/>
        <w:spacing w:line="360" w:lineRule="auto"/>
        <w:ind w:right="114" w:firstLine="1132"/>
        <w:jc w:val="both"/>
      </w:pPr>
      <w:r>
        <w:t>O caso em análise se refere à submissão da Nestlé Brasil LTDA. ao CADE da intenção de aquisição da Chocolates Garoto S.A., em 15 de março de 2002. No intuito de adquirir o domínio da mencionada empresa, a Nestlé subscreveu as ações da Garoto e, posteriorme</w:t>
      </w:r>
      <w:r>
        <w:t xml:space="preserve">nte, às resgatou, passando </w:t>
      </w:r>
      <w:proofErr w:type="gramStart"/>
      <w:r>
        <w:t>a</w:t>
      </w:r>
      <w:proofErr w:type="gramEnd"/>
      <w:r>
        <w:t xml:space="preserve"> exercer a propriedade sob esta empresa. Tal submissão aos órgãos de defesa econômica foi denominada de Ato de Concentração nº 08012.001697/2002-89, o qual foi julgado e desaprovado, sendo condenada a Nestlé a desfazer a aquisiç</w:t>
      </w:r>
      <w:r>
        <w:t>ão da</w:t>
      </w:r>
      <w:r>
        <w:rPr>
          <w:spacing w:val="-8"/>
        </w:rPr>
        <w:t xml:space="preserve"> </w:t>
      </w:r>
      <w:r>
        <w:t>Garoto.</w:t>
      </w:r>
    </w:p>
    <w:p w:rsidR="00AE3DD1" w:rsidRDefault="00125FC6">
      <w:pPr>
        <w:pStyle w:val="Corpodetexto"/>
        <w:spacing w:before="6" w:line="360" w:lineRule="auto"/>
        <w:ind w:right="118" w:firstLine="1132"/>
        <w:jc w:val="both"/>
      </w:pPr>
      <w:r>
        <w:t xml:space="preserve">Relevante se faz expor </w:t>
      </w:r>
      <w:proofErr w:type="gramStart"/>
      <w:r>
        <w:t>a</w:t>
      </w:r>
      <w:proofErr w:type="gramEnd"/>
      <w:r>
        <w:t xml:space="preserve"> estrutura brasileira de defesa econômica, responsável pela deliberação nos casos de concentração de empresas. Neste país, </w:t>
      </w:r>
      <w:proofErr w:type="gramStart"/>
      <w:r>
        <w:t>tal</w:t>
      </w:r>
      <w:proofErr w:type="gramEnd"/>
      <w:r>
        <w:t xml:space="preserve"> função é dividida entre diversos órgãos, os quais compõem o Sistema Brasileiro de Defesa da</w:t>
      </w:r>
      <w:r>
        <w:t xml:space="preserve"> Concorrência (SBDF). Dentre estes órgãos podemos destacar a Secretaria de Acompanhamento Econômico (SEAE) e a Secretaria de Desenvolvimento Econômico (SDE), responsáveis pela elaboração de pareceres e encaminhamento destes ao  Conselho Administrativo de D</w:t>
      </w:r>
      <w:r>
        <w:t>efesa Econômica (CADE), o qual realizará os julgamentos</w:t>
      </w:r>
      <w:r>
        <w:rPr>
          <w:spacing w:val="-5"/>
        </w:rPr>
        <w:t xml:space="preserve"> </w:t>
      </w:r>
      <w:r>
        <w:t>administrativos.</w:t>
      </w:r>
    </w:p>
    <w:p w:rsidR="00AE3DD1" w:rsidRDefault="00125FC6">
      <w:pPr>
        <w:pStyle w:val="Corpodetexto"/>
        <w:spacing w:before="6" w:line="360" w:lineRule="auto"/>
        <w:ind w:right="116" w:firstLine="1132"/>
        <w:jc w:val="both"/>
      </w:pPr>
      <w:r>
        <w:t xml:space="preserve">Dentre </w:t>
      </w:r>
      <w:proofErr w:type="gramStart"/>
      <w:r>
        <w:t>estes</w:t>
      </w:r>
      <w:proofErr w:type="gramEnd"/>
      <w:r>
        <w:t xml:space="preserve"> órgãos, podemos destacar o CADE, autarquia federal especializada, regulada atualmente pela lei 12.529/2011, famigerada lei antitruste, mas que, na época do caso ora anali</w:t>
      </w:r>
      <w:r>
        <w:t xml:space="preserve">sado, era regida pela Lei 8.884/1994. </w:t>
      </w:r>
      <w:proofErr w:type="gramStart"/>
      <w:r>
        <w:t>A</w:t>
      </w:r>
      <w:proofErr w:type="gramEnd"/>
      <w:r>
        <w:t xml:space="preserve"> atual lei antitruste dispõe, no seu art. 88, a competência do CADE para </w:t>
      </w:r>
      <w:proofErr w:type="gramStart"/>
      <w:r>
        <w:t>a</w:t>
      </w:r>
      <w:proofErr w:type="gramEnd"/>
      <w:r>
        <w:t xml:space="preserve"> análise dos atos de concentração:</w:t>
      </w:r>
    </w:p>
    <w:p w:rsidR="00AE3DD1" w:rsidRDefault="00AE3DD1">
      <w:pPr>
        <w:spacing w:before="3"/>
        <w:rPr>
          <w:rFonts w:ascii="Times New Roman" w:eastAsia="Times New Roman" w:hAnsi="Times New Roman" w:cs="Times New Roman"/>
          <w:sz w:val="20"/>
          <w:szCs w:val="20"/>
        </w:rPr>
      </w:pPr>
    </w:p>
    <w:p w:rsidR="00AE3DD1" w:rsidRDefault="00125FC6">
      <w:pPr>
        <w:ind w:left="2390" w:righ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Art. 88. Serão submetidos ao Cade pelas partes envolvidas </w:t>
      </w:r>
      <w:proofErr w:type="gramStart"/>
      <w:r>
        <w:rPr>
          <w:rFonts w:ascii="Times New Roman" w:eastAsia="Times New Roman" w:hAnsi="Times New Roman" w:cs="Times New Roman"/>
          <w:sz w:val="20"/>
          <w:szCs w:val="20"/>
        </w:rPr>
        <w:t>na</w:t>
      </w:r>
      <w:proofErr w:type="gramEnd"/>
      <w:r>
        <w:rPr>
          <w:rFonts w:ascii="Times New Roman" w:eastAsia="Times New Roman" w:hAnsi="Times New Roman" w:cs="Times New Roman"/>
          <w:sz w:val="20"/>
          <w:szCs w:val="20"/>
        </w:rPr>
        <w:t xml:space="preserve"> operação os atos de concentração econômica em que,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cumulativamente:</w:t>
      </w:r>
    </w:p>
    <w:p w:rsidR="00AE3DD1" w:rsidRDefault="00125FC6">
      <w:pPr>
        <w:pStyle w:val="PargrafodaLista"/>
        <w:numPr>
          <w:ilvl w:val="1"/>
          <w:numId w:val="8"/>
        </w:numPr>
        <w:tabs>
          <w:tab w:val="left" w:pos="2533"/>
        </w:tabs>
        <w:ind w:right="118" w:firstLine="0"/>
        <w:rPr>
          <w:rFonts w:ascii="Times New Roman" w:eastAsia="Times New Roman" w:hAnsi="Times New Roman" w:cs="Times New Roman"/>
          <w:sz w:val="20"/>
          <w:szCs w:val="20"/>
        </w:rPr>
      </w:pPr>
      <w:r>
        <w:rPr>
          <w:rFonts w:ascii="Times New Roman" w:hAnsi="Times New Roman"/>
          <w:sz w:val="20"/>
        </w:rPr>
        <w:t>- pelo menos um dos grupos envolvidos na operação tenha registrado, no último balanço, faturamento bruto anual ou volume de neg</w:t>
      </w:r>
      <w:r>
        <w:rPr>
          <w:rFonts w:ascii="Times New Roman" w:hAnsi="Times New Roman"/>
          <w:sz w:val="20"/>
        </w:rPr>
        <w:t>ócios total no</w:t>
      </w:r>
      <w:r>
        <w:rPr>
          <w:rFonts w:ascii="Times New Roman" w:hAnsi="Times New Roman"/>
          <w:spacing w:val="10"/>
          <w:sz w:val="20"/>
        </w:rPr>
        <w:t xml:space="preserve"> </w:t>
      </w:r>
      <w:r>
        <w:rPr>
          <w:rFonts w:ascii="Times New Roman" w:hAnsi="Times New Roman"/>
          <w:sz w:val="20"/>
        </w:rPr>
        <w:t>País,</w:t>
      </w:r>
    </w:p>
    <w:p w:rsidR="00AE3DD1" w:rsidRDefault="00AE3DD1">
      <w:pPr>
        <w:rPr>
          <w:rFonts w:ascii="Times New Roman" w:eastAsia="Times New Roman" w:hAnsi="Times New Roman" w:cs="Times New Roman"/>
          <w:sz w:val="20"/>
          <w:szCs w:val="20"/>
        </w:rPr>
      </w:pPr>
    </w:p>
    <w:p w:rsidR="00AE3DD1" w:rsidRDefault="00125FC6">
      <w:pPr>
        <w:spacing w:before="6"/>
        <w:rPr>
          <w:rFonts w:ascii="Times New Roman" w:eastAsia="Times New Roman" w:hAnsi="Times New Roman" w:cs="Times New Roman"/>
        </w:rPr>
      </w:pPr>
      <w:r>
        <w:pict>
          <v:group id="_x0000_s1038" style="position:absolute;margin-left:85.1pt;margin-top:14.3pt;width:144.05pt;height:.1pt;z-index:251654656;mso-wrap-distance-left:0;mso-wrap-distance-right:0;mso-position-horizontal-relative:page" coordorigin="1702,286" coordsize="2881,2">
            <v:shape id="_x0000_s1039" style="position:absolute;left:1702;top:286;width:2881;height:2" coordorigin="1702,286" coordsize="2881,0" path="m1702,286r2880,e" filled="f" strokeweight=".72pt">
              <v:path arrowok="t"/>
            </v:shape>
            <w10:wrap type="topAndBottom" anchorx="page"/>
          </v:group>
        </w:pict>
      </w:r>
    </w:p>
    <w:p w:rsidR="00AE3DD1" w:rsidRDefault="00125FC6">
      <w:pPr>
        <w:spacing w:before="42"/>
        <w:ind w:left="122" w:right="706"/>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1 </w:t>
      </w:r>
      <w:r>
        <w:rPr>
          <w:rFonts w:ascii="Times New Roman" w:eastAsia="Times New Roman" w:hAnsi="Times New Roman" w:cs="Times New Roman"/>
          <w:sz w:val="20"/>
          <w:szCs w:val="20"/>
        </w:rPr>
        <w:t xml:space="preserve">Sinopse do </w:t>
      </w:r>
      <w:r>
        <w:rPr>
          <w:rFonts w:ascii="Times New Roman" w:eastAsia="Times New Roman" w:hAnsi="Times New Roman" w:cs="Times New Roman"/>
          <w:i/>
          <w:sz w:val="20"/>
          <w:szCs w:val="20"/>
        </w:rPr>
        <w:t xml:space="preserve">Case </w:t>
      </w:r>
      <w:r>
        <w:rPr>
          <w:rFonts w:ascii="Times New Roman" w:eastAsia="Times New Roman" w:hAnsi="Times New Roman" w:cs="Times New Roman"/>
          <w:sz w:val="20"/>
          <w:szCs w:val="20"/>
        </w:rPr>
        <w:t>Institucional apresentado à disciplina Direito Econômico do Curso de Direito da Unidade de Ensino Superior Dom Bosco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UNDB.</w:t>
      </w:r>
    </w:p>
    <w:p w:rsidR="00AE3DD1" w:rsidRDefault="00125FC6" w:rsidP="00125FC6">
      <w:pPr>
        <w:spacing w:line="218" w:lineRule="exact"/>
        <w:ind w:left="122" w:right="107"/>
        <w:rPr>
          <w:rFonts w:ascii="Times New Roman" w:eastAsia="Times New Roman" w:hAnsi="Times New Roman" w:cs="Times New Roman"/>
          <w:sz w:val="20"/>
          <w:szCs w:val="20"/>
        </w:rPr>
        <w:sectPr w:rsidR="00AE3DD1">
          <w:type w:val="continuous"/>
          <w:pgSz w:w="11910" w:h="16840"/>
          <w:pgMar w:top="1300" w:right="1580" w:bottom="280" w:left="1580" w:header="720" w:footer="720" w:gutter="0"/>
          <w:cols w:space="720"/>
        </w:sectPr>
      </w:pPr>
      <w:proofErr w:type="gramStart"/>
      <w:r>
        <w:rPr>
          <w:rFonts w:ascii="Times New Roman" w:hAnsi="Times New Roman"/>
          <w:position w:val="9"/>
          <w:sz w:val="13"/>
        </w:rPr>
        <w:t>2</w:t>
      </w:r>
      <w:proofErr w:type="gramEnd"/>
      <w:r>
        <w:rPr>
          <w:rFonts w:ascii="Times New Roman" w:hAnsi="Times New Roman"/>
          <w:position w:val="9"/>
          <w:sz w:val="13"/>
        </w:rPr>
        <w:t xml:space="preserve"> </w:t>
      </w:r>
      <w:r>
        <w:rPr>
          <w:rFonts w:ascii="Times New Roman" w:hAnsi="Times New Roman"/>
          <w:sz w:val="20"/>
        </w:rPr>
        <w:t>Aluno do 8º período noturno do Curso de Direito da</w:t>
      </w:r>
      <w:r>
        <w:rPr>
          <w:rFonts w:ascii="Times New Roman" w:hAnsi="Times New Roman"/>
          <w:spacing w:val="-2"/>
          <w:sz w:val="20"/>
        </w:rPr>
        <w:t xml:space="preserve"> </w:t>
      </w:r>
      <w:r>
        <w:rPr>
          <w:rFonts w:ascii="Times New Roman" w:hAnsi="Times New Roman"/>
          <w:sz w:val="20"/>
        </w:rPr>
        <w:t>UNDB.</w:t>
      </w:r>
    </w:p>
    <w:p w:rsidR="00AE3DD1" w:rsidRDefault="00125FC6">
      <w:pPr>
        <w:spacing w:before="51"/>
        <w:ind w:left="2370" w:right="125"/>
        <w:jc w:val="both"/>
        <w:rPr>
          <w:rFonts w:ascii="Times New Roman" w:eastAsia="Times New Roman" w:hAnsi="Times New Roman" w:cs="Times New Roman"/>
          <w:sz w:val="20"/>
          <w:szCs w:val="20"/>
        </w:rPr>
      </w:pPr>
      <w:proofErr w:type="gramStart"/>
      <w:r>
        <w:rPr>
          <w:rFonts w:ascii="Times New Roman" w:hAnsi="Times New Roman"/>
          <w:sz w:val="20"/>
        </w:rPr>
        <w:lastRenderedPageBreak/>
        <w:t>no</w:t>
      </w:r>
      <w:proofErr w:type="gramEnd"/>
      <w:r>
        <w:rPr>
          <w:rFonts w:ascii="Times New Roman" w:hAnsi="Times New Roman"/>
          <w:sz w:val="20"/>
        </w:rPr>
        <w:t xml:space="preserve"> ano anterior à operação, equivalente ou superior a R$ 400.000.000,00 (quatrocentos milhões de reais);</w:t>
      </w:r>
      <w:r>
        <w:rPr>
          <w:rFonts w:ascii="Times New Roman" w:hAnsi="Times New Roman"/>
          <w:spacing w:val="-14"/>
          <w:sz w:val="20"/>
        </w:rPr>
        <w:t xml:space="preserve"> </w:t>
      </w:r>
      <w:r>
        <w:rPr>
          <w:rFonts w:ascii="Times New Roman" w:hAnsi="Times New Roman"/>
          <w:sz w:val="20"/>
        </w:rPr>
        <w:t>e</w:t>
      </w:r>
    </w:p>
    <w:p w:rsidR="00AE3DD1" w:rsidRDefault="00125FC6">
      <w:pPr>
        <w:pStyle w:val="PargrafodaLista"/>
        <w:numPr>
          <w:ilvl w:val="1"/>
          <w:numId w:val="8"/>
        </w:numPr>
        <w:tabs>
          <w:tab w:val="left" w:pos="2575"/>
        </w:tabs>
        <w:spacing w:before="1"/>
        <w:ind w:left="2370" w:right="116"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pelo menos um outro grupo envolvido na operação tenha registrado, no último balanço, faturamento bruto anual ou volume de negócios total no País, no ano anterior à operação, equivalente ou superior a R</w:t>
      </w:r>
      <w:proofErr w:type="gramStart"/>
      <w:r>
        <w:rPr>
          <w:rFonts w:ascii="Times New Roman" w:eastAsia="Times New Roman" w:hAnsi="Times New Roman" w:cs="Times New Roman"/>
          <w:sz w:val="20"/>
          <w:szCs w:val="20"/>
        </w:rPr>
        <w:t>$  30.000.000,00</w:t>
      </w:r>
      <w:proofErr w:type="gramEnd"/>
      <w:r>
        <w:rPr>
          <w:rFonts w:ascii="Times New Roman" w:eastAsia="Times New Roman" w:hAnsi="Times New Roman" w:cs="Times New Roman"/>
          <w:sz w:val="20"/>
          <w:szCs w:val="20"/>
        </w:rPr>
        <w:t xml:space="preserve"> (trinta milhões de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reais).”</w:t>
      </w:r>
    </w:p>
    <w:p w:rsidR="00AE3DD1" w:rsidRDefault="00AE3DD1">
      <w:pPr>
        <w:spacing w:before="11"/>
        <w:rPr>
          <w:rFonts w:ascii="Times New Roman" w:eastAsia="Times New Roman" w:hAnsi="Times New Roman" w:cs="Times New Roman"/>
          <w:sz w:val="19"/>
          <w:szCs w:val="19"/>
        </w:rPr>
      </w:pPr>
    </w:p>
    <w:p w:rsidR="00AE3DD1" w:rsidRDefault="00125FC6">
      <w:pPr>
        <w:pStyle w:val="Corpodetexto"/>
        <w:spacing w:line="360" w:lineRule="auto"/>
        <w:ind w:left="102" w:right="122" w:firstLine="1132"/>
        <w:jc w:val="both"/>
      </w:pPr>
      <w:r>
        <w:t>Ademais</w:t>
      </w:r>
      <w:r>
        <w:t xml:space="preserve">, a mesma lei regulamenta o que deve ser considerado </w:t>
      </w:r>
      <w:proofErr w:type="gramStart"/>
      <w:r>
        <w:t>como</w:t>
      </w:r>
      <w:proofErr w:type="gramEnd"/>
      <w:r>
        <w:t xml:space="preserve"> ato de concentração, no seu art.</w:t>
      </w:r>
      <w:r>
        <w:rPr>
          <w:spacing w:val="-5"/>
        </w:rPr>
        <w:t xml:space="preserve"> </w:t>
      </w:r>
      <w:r>
        <w:t>90:</w:t>
      </w:r>
    </w:p>
    <w:p w:rsidR="00AE3DD1" w:rsidRDefault="00AE3DD1">
      <w:pPr>
        <w:spacing w:before="3"/>
        <w:rPr>
          <w:rFonts w:ascii="Times New Roman" w:eastAsia="Times New Roman" w:hAnsi="Times New Roman" w:cs="Times New Roman"/>
          <w:sz w:val="20"/>
          <w:szCs w:val="20"/>
        </w:rPr>
      </w:pPr>
    </w:p>
    <w:p w:rsidR="00AE3DD1" w:rsidRDefault="00125FC6">
      <w:pPr>
        <w:ind w:left="2370" w:right="1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 90. Para os efeitos do art. </w:t>
      </w:r>
      <w:proofErr w:type="gramStart"/>
      <w:r>
        <w:rPr>
          <w:rFonts w:ascii="Times New Roman" w:eastAsia="Times New Roman" w:hAnsi="Times New Roman" w:cs="Times New Roman"/>
          <w:sz w:val="20"/>
          <w:szCs w:val="20"/>
        </w:rPr>
        <w:t>88</w:t>
      </w:r>
      <w:proofErr w:type="gramEnd"/>
      <w:r>
        <w:rPr>
          <w:rFonts w:ascii="Times New Roman" w:eastAsia="Times New Roman" w:hAnsi="Times New Roman" w:cs="Times New Roman"/>
          <w:sz w:val="20"/>
          <w:szCs w:val="20"/>
        </w:rPr>
        <w:t xml:space="preserve"> desta Lei, realiza-se um ato de concentração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quando:</w:t>
      </w:r>
    </w:p>
    <w:p w:rsidR="00AE3DD1" w:rsidRDefault="00125FC6">
      <w:pPr>
        <w:pStyle w:val="PargrafodaLista"/>
        <w:numPr>
          <w:ilvl w:val="0"/>
          <w:numId w:val="7"/>
        </w:numPr>
        <w:tabs>
          <w:tab w:val="left" w:pos="2489"/>
        </w:tabs>
        <w:spacing w:line="229" w:lineRule="exact"/>
        <w:ind w:firstLine="0"/>
        <w:jc w:val="both"/>
        <w:rPr>
          <w:rFonts w:ascii="Times New Roman" w:eastAsia="Times New Roman" w:hAnsi="Times New Roman" w:cs="Times New Roman"/>
          <w:sz w:val="20"/>
          <w:szCs w:val="20"/>
        </w:rPr>
      </w:pPr>
      <w:r>
        <w:rPr>
          <w:rFonts w:ascii="Times New Roman"/>
          <w:sz w:val="20"/>
        </w:rPr>
        <w:t>- 2 (duas) ou mais empresas anteriormente independentes se</w:t>
      </w:r>
      <w:r>
        <w:rPr>
          <w:rFonts w:ascii="Times New Roman"/>
          <w:spacing w:val="-24"/>
          <w:sz w:val="20"/>
        </w:rPr>
        <w:t xml:space="preserve"> </w:t>
      </w:r>
      <w:r>
        <w:rPr>
          <w:rFonts w:ascii="Times New Roman"/>
          <w:sz w:val="20"/>
        </w:rPr>
        <w:t>fundem;</w:t>
      </w:r>
    </w:p>
    <w:p w:rsidR="00AE3DD1" w:rsidRDefault="00125FC6">
      <w:pPr>
        <w:pStyle w:val="PargrafodaLista"/>
        <w:numPr>
          <w:ilvl w:val="0"/>
          <w:numId w:val="7"/>
        </w:numPr>
        <w:tabs>
          <w:tab w:val="left" w:pos="2561"/>
        </w:tabs>
        <w:ind w:right="118" w:firstLine="0"/>
        <w:jc w:val="both"/>
        <w:rPr>
          <w:rFonts w:ascii="Times New Roman" w:eastAsia="Times New Roman" w:hAnsi="Times New Roman" w:cs="Times New Roman"/>
          <w:sz w:val="20"/>
          <w:szCs w:val="20"/>
        </w:rPr>
      </w:pPr>
      <w:r>
        <w:rPr>
          <w:rFonts w:ascii="Times New Roman" w:hAnsi="Times New Roman"/>
          <w:sz w:val="20"/>
        </w:rPr>
        <w:t>- 1 (uma) ou mais empresas adquirem, direta ou indiretamente, por compra ou permuta de ações, quotas, títulos ou valores mobiliários conversíveis em ações, ou ativos, tangíveis ou intangíveis, por via contratual ou por qualquer outro meio ou forma, o contr</w:t>
      </w:r>
      <w:r>
        <w:rPr>
          <w:rFonts w:ascii="Times New Roman" w:hAnsi="Times New Roman"/>
          <w:sz w:val="20"/>
        </w:rPr>
        <w:t>ole ou partes de uma ou outras</w:t>
      </w:r>
      <w:r>
        <w:rPr>
          <w:rFonts w:ascii="Times New Roman" w:hAnsi="Times New Roman"/>
          <w:spacing w:val="-25"/>
          <w:sz w:val="20"/>
        </w:rPr>
        <w:t xml:space="preserve"> </w:t>
      </w:r>
      <w:r>
        <w:rPr>
          <w:rFonts w:ascii="Times New Roman" w:hAnsi="Times New Roman"/>
          <w:sz w:val="20"/>
        </w:rPr>
        <w:t>empresas;</w:t>
      </w:r>
    </w:p>
    <w:p w:rsidR="00AE3DD1" w:rsidRDefault="00125FC6">
      <w:pPr>
        <w:pStyle w:val="PargrafodaLista"/>
        <w:numPr>
          <w:ilvl w:val="0"/>
          <w:numId w:val="7"/>
        </w:numPr>
        <w:tabs>
          <w:tab w:val="left" w:pos="2623"/>
        </w:tabs>
        <w:spacing w:before="1"/>
        <w:ind w:left="2622" w:hanging="252"/>
        <w:jc w:val="both"/>
        <w:rPr>
          <w:rFonts w:ascii="Times New Roman" w:eastAsia="Times New Roman" w:hAnsi="Times New Roman" w:cs="Times New Roman"/>
          <w:sz w:val="20"/>
          <w:szCs w:val="20"/>
        </w:rPr>
      </w:pPr>
      <w:r>
        <w:rPr>
          <w:rFonts w:ascii="Times New Roman"/>
          <w:sz w:val="20"/>
        </w:rPr>
        <w:t>- 1 (uma) ou mais empresas incorporam outra ou outras empresas;</w:t>
      </w:r>
      <w:r>
        <w:rPr>
          <w:rFonts w:ascii="Times New Roman"/>
          <w:spacing w:val="-30"/>
          <w:sz w:val="20"/>
        </w:rPr>
        <w:t xml:space="preserve"> </w:t>
      </w:r>
      <w:r>
        <w:rPr>
          <w:rFonts w:ascii="Times New Roman"/>
          <w:sz w:val="20"/>
        </w:rPr>
        <w:t>ou</w:t>
      </w:r>
    </w:p>
    <w:p w:rsidR="00AE3DD1" w:rsidRDefault="00125FC6">
      <w:pPr>
        <w:pStyle w:val="PargrafodaLista"/>
        <w:numPr>
          <w:ilvl w:val="0"/>
          <w:numId w:val="7"/>
        </w:numPr>
        <w:tabs>
          <w:tab w:val="left" w:pos="2676"/>
        </w:tabs>
        <w:ind w:right="124" w:firstLine="0"/>
        <w:jc w:val="both"/>
        <w:rPr>
          <w:rFonts w:ascii="Times New Roman" w:eastAsia="Times New Roman" w:hAnsi="Times New Roman" w:cs="Times New Roman"/>
          <w:sz w:val="20"/>
          <w:szCs w:val="20"/>
        </w:rPr>
      </w:pPr>
      <w:r>
        <w:rPr>
          <w:rFonts w:ascii="Times New Roman" w:hAnsi="Times New Roman"/>
          <w:sz w:val="20"/>
        </w:rPr>
        <w:t>- 2 (duas) ou mais empresas celebram contrato associativo, consórcio     ou joint</w:t>
      </w:r>
      <w:r>
        <w:rPr>
          <w:rFonts w:ascii="Times New Roman" w:hAnsi="Times New Roman"/>
          <w:spacing w:val="-7"/>
          <w:sz w:val="20"/>
        </w:rPr>
        <w:t xml:space="preserve"> </w:t>
      </w:r>
      <w:r>
        <w:rPr>
          <w:rFonts w:ascii="Times New Roman" w:hAnsi="Times New Roman"/>
          <w:sz w:val="20"/>
        </w:rPr>
        <w:t>venture.</w:t>
      </w:r>
    </w:p>
    <w:p w:rsidR="00AE3DD1" w:rsidRDefault="00125FC6">
      <w:pPr>
        <w:ind w:left="2370" w:right="1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Parágrafo único. Não serão considerados atos de concentra</w:t>
      </w:r>
      <w:r>
        <w:rPr>
          <w:rFonts w:ascii="Times New Roman" w:eastAsia="Times New Roman" w:hAnsi="Times New Roman" w:cs="Times New Roman"/>
          <w:sz w:val="20"/>
          <w:szCs w:val="20"/>
        </w:rPr>
        <w:t xml:space="preserve">ção, para </w:t>
      </w:r>
      <w:proofErr w:type="gramStart"/>
      <w:r>
        <w:rPr>
          <w:rFonts w:ascii="Times New Roman" w:eastAsia="Times New Roman" w:hAnsi="Times New Roman" w:cs="Times New Roman"/>
          <w:sz w:val="20"/>
          <w:szCs w:val="20"/>
        </w:rPr>
        <w:t>os  efeitos</w:t>
      </w:r>
      <w:proofErr w:type="gramEnd"/>
      <w:r>
        <w:rPr>
          <w:rFonts w:ascii="Times New Roman" w:eastAsia="Times New Roman" w:hAnsi="Times New Roman" w:cs="Times New Roman"/>
          <w:sz w:val="20"/>
          <w:szCs w:val="20"/>
        </w:rPr>
        <w:t xml:space="preserve"> do disposto no art. 88 desta Lei, os descritos no inciso IV do caput, quando destinados às licitações promovidas pela administração pública direta e indireta e aos contratos delas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decorrentes.”</w:t>
      </w:r>
    </w:p>
    <w:p w:rsidR="00AE3DD1" w:rsidRDefault="00AE3DD1">
      <w:pPr>
        <w:spacing w:before="11"/>
        <w:rPr>
          <w:rFonts w:ascii="Times New Roman" w:eastAsia="Times New Roman" w:hAnsi="Times New Roman" w:cs="Times New Roman"/>
          <w:sz w:val="19"/>
          <w:szCs w:val="19"/>
        </w:rPr>
      </w:pPr>
    </w:p>
    <w:p w:rsidR="00AE3DD1" w:rsidRDefault="00125FC6">
      <w:pPr>
        <w:pStyle w:val="Corpodetexto"/>
        <w:spacing w:line="360" w:lineRule="auto"/>
        <w:ind w:left="102" w:right="116" w:firstLine="1132"/>
        <w:jc w:val="both"/>
      </w:pPr>
      <w:r>
        <w:t>No que concerne especificamente ao caso</w:t>
      </w:r>
      <w:r>
        <w:t xml:space="preserve"> da aquisição da Garoto pela Nestlé, o CADE decidiu, por maioria, pela desaprovação da operação. Inconformados com a determinação da autarquia, os interessados acionaram a jurisdição estatal para tentar garantir a manutenção da aquisição, sendo autuada pel</w:t>
      </w:r>
      <w:r>
        <w:t xml:space="preserve">o Tribunal Regional  Federal da 1ª Região, sob o nº 0015018-08.2005.4.01.3400, tramitando na 4ª Vara Federal. A ação foi julgada procedente no sentido da manutenção da aquisição </w:t>
      </w:r>
      <w:proofErr w:type="gramStart"/>
      <w:r>
        <w:t>da  Garoto</w:t>
      </w:r>
      <w:proofErr w:type="gramEnd"/>
      <w:r>
        <w:t xml:space="preserve"> pela Nestlé, declarando sua aprovação automaticamente. Todavia, o C</w:t>
      </w:r>
      <w:r>
        <w:t xml:space="preserve">ADE, interpôs apelação, recebida no duplo efeito, para tentar reverter a sentença. </w:t>
      </w:r>
      <w:proofErr w:type="gramStart"/>
      <w:r>
        <w:t>Atualmente  o</w:t>
      </w:r>
      <w:proofErr w:type="gramEnd"/>
      <w:r>
        <w:t xml:space="preserve"> processo se encontra na expectativa de julgamento do</w:t>
      </w:r>
      <w:r>
        <w:rPr>
          <w:spacing w:val="-10"/>
        </w:rPr>
        <w:t xml:space="preserve"> </w:t>
      </w:r>
      <w:r>
        <w:t>recurso.</w:t>
      </w:r>
    </w:p>
    <w:p w:rsidR="00AE3DD1" w:rsidRDefault="00125FC6">
      <w:pPr>
        <w:pStyle w:val="Corpodetexto"/>
        <w:spacing w:before="6" w:line="360" w:lineRule="auto"/>
        <w:ind w:left="102" w:right="115" w:firstLine="1132"/>
        <w:jc w:val="both"/>
      </w:pPr>
      <w:r>
        <w:t>De 2002, data da submissão da concentração ao CADE, até a data de hoje</w:t>
      </w:r>
      <w:proofErr w:type="gramStart"/>
      <w:r>
        <w:t>,  já</w:t>
      </w:r>
      <w:proofErr w:type="gramEnd"/>
      <w:r>
        <w:t xml:space="preserve"> transcorreram doze anos sem que o impasse seja solucionado, o que provoca  prejuízos para ambas as empresas envolvidas. </w:t>
      </w:r>
      <w:proofErr w:type="gramStart"/>
      <w:r>
        <w:t>Ocorre que na apelação, a autarquia busca a reforma da decis</w:t>
      </w:r>
      <w:r>
        <w:t xml:space="preserve">ão para submeter o caso a um novo julgamento em sede administrativa, entretanto, a Nestlé e a Garoto pugnam pela ilegalidade desta conduta e requer a provação total da aquisição, uma vez que, como bem fundamentou o juízo </w:t>
      </w:r>
      <w:r>
        <w:rPr>
          <w:rFonts w:cs="Times New Roman"/>
          <w:i/>
        </w:rPr>
        <w:t xml:space="preserve">a quo </w:t>
      </w:r>
      <w:r>
        <w:t>na decisão da demanda, o CADE</w:t>
      </w:r>
      <w:r>
        <w:t xml:space="preserve"> descumpriu o disposto no art.</w:t>
      </w:r>
      <w:proofErr w:type="gramEnd"/>
      <w:r>
        <w:t xml:space="preserve"> 54, §</w:t>
      </w:r>
      <w:proofErr w:type="gramStart"/>
      <w:r>
        <w:t>7</w:t>
      </w:r>
      <w:proofErr w:type="gramEnd"/>
      <w:r>
        <w:t>º, da lei 8.884 o qual prevê o prazo de 60 dias para decisões sobre fusões e aquisições, sob pena de serem reputados aprovados os atos não analisados nesse lapso</w:t>
      </w:r>
      <w:r>
        <w:rPr>
          <w:spacing w:val="-12"/>
        </w:rPr>
        <w:t xml:space="preserve"> </w:t>
      </w:r>
      <w:r>
        <w:t>temporal.</w:t>
      </w:r>
    </w:p>
    <w:p w:rsidR="00AE3DD1" w:rsidRDefault="00AE3DD1">
      <w:pPr>
        <w:spacing w:line="360" w:lineRule="auto"/>
        <w:jc w:val="both"/>
        <w:sectPr w:rsidR="00AE3DD1">
          <w:pgSz w:w="11910" w:h="16840"/>
          <w:pgMar w:top="1340" w:right="1580" w:bottom="280" w:left="1600" w:header="720" w:footer="720" w:gutter="0"/>
          <w:cols w:space="720"/>
        </w:sectPr>
      </w:pPr>
    </w:p>
    <w:p w:rsidR="00AE3DD1" w:rsidRDefault="00125FC6">
      <w:pPr>
        <w:pStyle w:val="Ttulo1"/>
        <w:numPr>
          <w:ilvl w:val="0"/>
          <w:numId w:val="8"/>
        </w:numPr>
        <w:tabs>
          <w:tab w:val="left" w:pos="550"/>
        </w:tabs>
        <w:rPr>
          <w:b w:val="0"/>
          <w:bCs w:val="0"/>
        </w:rPr>
      </w:pPr>
      <w:r>
        <w:lastRenderedPageBreak/>
        <w:t>IDENTIFICAÇÃO E ANÁLISE DO</w:t>
      </w:r>
      <w:r>
        <w:rPr>
          <w:spacing w:val="-4"/>
        </w:rPr>
        <w:t xml:space="preserve"> </w:t>
      </w:r>
      <w:r>
        <w:t>CASO</w:t>
      </w:r>
    </w:p>
    <w:p w:rsidR="00AE3DD1" w:rsidRDefault="00125FC6">
      <w:pPr>
        <w:pStyle w:val="PargrafodaLista"/>
        <w:numPr>
          <w:ilvl w:val="1"/>
          <w:numId w:val="6"/>
        </w:numPr>
        <w:tabs>
          <w:tab w:val="left" w:pos="550"/>
        </w:tabs>
        <w:spacing w:before="139"/>
        <w:rPr>
          <w:rFonts w:ascii="Times New Roman" w:eastAsia="Times New Roman" w:hAnsi="Times New Roman" w:cs="Times New Roman"/>
          <w:sz w:val="24"/>
          <w:szCs w:val="24"/>
        </w:rPr>
      </w:pPr>
      <w:r>
        <w:rPr>
          <w:rFonts w:ascii="Times New Roman" w:hAnsi="Times New Roman"/>
          <w:b/>
          <w:sz w:val="24"/>
        </w:rPr>
        <w:t>Descrição das decisões</w:t>
      </w:r>
      <w:r>
        <w:rPr>
          <w:rFonts w:ascii="Times New Roman" w:hAnsi="Times New Roman"/>
          <w:b/>
          <w:spacing w:val="-8"/>
          <w:sz w:val="24"/>
        </w:rPr>
        <w:t xml:space="preserve"> </w:t>
      </w:r>
      <w:r>
        <w:rPr>
          <w:rFonts w:ascii="Times New Roman" w:hAnsi="Times New Roman"/>
          <w:b/>
          <w:sz w:val="24"/>
        </w:rPr>
        <w:t>possíveis</w:t>
      </w:r>
    </w:p>
    <w:p w:rsidR="00AE3DD1" w:rsidRDefault="00AE3DD1">
      <w:pPr>
        <w:rPr>
          <w:rFonts w:ascii="Times New Roman" w:eastAsia="Times New Roman" w:hAnsi="Times New Roman" w:cs="Times New Roman"/>
          <w:b/>
          <w:bCs/>
          <w:sz w:val="24"/>
          <w:szCs w:val="24"/>
        </w:rPr>
      </w:pPr>
    </w:p>
    <w:p w:rsidR="00AE3DD1" w:rsidRDefault="00AE3DD1">
      <w:pPr>
        <w:spacing w:before="7"/>
        <w:rPr>
          <w:rFonts w:ascii="Times New Roman" w:eastAsia="Times New Roman" w:hAnsi="Times New Roman" w:cs="Times New Roman"/>
          <w:b/>
          <w:bCs/>
          <w:sz w:val="23"/>
          <w:szCs w:val="23"/>
        </w:rPr>
      </w:pPr>
    </w:p>
    <w:p w:rsidR="00AE3DD1" w:rsidRDefault="00125FC6">
      <w:pPr>
        <w:pStyle w:val="Corpodetexto"/>
        <w:spacing w:line="360" w:lineRule="auto"/>
        <w:ind w:right="119" w:firstLine="1132"/>
        <w:jc w:val="both"/>
      </w:pPr>
      <w:r>
        <w:t xml:space="preserve">Uma vez destacados os desdobramentos do Ato de Concentração da Nestlé/Garoto, faz-se relevante a análise da decisão do CADE, a qual consistiu na não aprovação da operação de aquisição e, consequentemente, na determinação </w:t>
      </w:r>
      <w:r>
        <w:t>de desconstituição do ato, verificando se esta foi adequada ou não. As decisões possíveis são:</w:t>
      </w:r>
    </w:p>
    <w:p w:rsidR="00AE3DD1" w:rsidRDefault="00125FC6">
      <w:pPr>
        <w:pStyle w:val="PargrafodaLista"/>
        <w:numPr>
          <w:ilvl w:val="2"/>
          <w:numId w:val="6"/>
        </w:numPr>
        <w:tabs>
          <w:tab w:val="left" w:pos="1615"/>
        </w:tabs>
        <w:spacing w:before="4"/>
        <w:rPr>
          <w:rFonts w:ascii="Times New Roman" w:eastAsia="Times New Roman" w:hAnsi="Times New Roman" w:cs="Times New Roman"/>
          <w:sz w:val="24"/>
          <w:szCs w:val="24"/>
        </w:rPr>
      </w:pPr>
      <w:r>
        <w:rPr>
          <w:rFonts w:ascii="Times New Roman" w:hAnsi="Times New Roman"/>
          <w:sz w:val="24"/>
        </w:rPr>
        <w:t>Adequação da decisão do</w:t>
      </w:r>
      <w:r>
        <w:rPr>
          <w:rFonts w:ascii="Times New Roman" w:hAnsi="Times New Roman"/>
          <w:spacing w:val="-6"/>
          <w:sz w:val="24"/>
        </w:rPr>
        <w:t xml:space="preserve"> </w:t>
      </w:r>
      <w:r>
        <w:rPr>
          <w:rFonts w:ascii="Times New Roman" w:hAnsi="Times New Roman"/>
          <w:sz w:val="24"/>
        </w:rPr>
        <w:t>CADE;</w:t>
      </w:r>
    </w:p>
    <w:p w:rsidR="00AE3DD1" w:rsidRDefault="00125FC6">
      <w:pPr>
        <w:pStyle w:val="PargrafodaLista"/>
        <w:numPr>
          <w:ilvl w:val="2"/>
          <w:numId w:val="6"/>
        </w:numPr>
        <w:tabs>
          <w:tab w:val="left" w:pos="1615"/>
        </w:tabs>
        <w:spacing w:before="139"/>
        <w:rPr>
          <w:rFonts w:ascii="Times New Roman" w:eastAsia="Times New Roman" w:hAnsi="Times New Roman" w:cs="Times New Roman"/>
          <w:sz w:val="24"/>
          <w:szCs w:val="24"/>
        </w:rPr>
      </w:pPr>
      <w:r>
        <w:rPr>
          <w:rFonts w:ascii="Times New Roman" w:hAnsi="Times New Roman"/>
          <w:sz w:val="24"/>
        </w:rPr>
        <w:t>Inadequação da decisão do</w:t>
      </w:r>
      <w:r>
        <w:rPr>
          <w:rFonts w:ascii="Times New Roman" w:hAnsi="Times New Roman"/>
          <w:spacing w:val="-4"/>
          <w:sz w:val="24"/>
        </w:rPr>
        <w:t xml:space="preserve"> </w:t>
      </w:r>
      <w:r>
        <w:rPr>
          <w:rFonts w:ascii="Times New Roman" w:hAnsi="Times New Roman"/>
          <w:sz w:val="24"/>
        </w:rPr>
        <w:t>CADE.</w:t>
      </w:r>
    </w:p>
    <w:p w:rsidR="00AE3DD1" w:rsidRDefault="00AE3DD1">
      <w:pPr>
        <w:rPr>
          <w:rFonts w:ascii="Times New Roman" w:eastAsia="Times New Roman" w:hAnsi="Times New Roman" w:cs="Times New Roman"/>
          <w:sz w:val="24"/>
          <w:szCs w:val="24"/>
        </w:rPr>
      </w:pPr>
    </w:p>
    <w:p w:rsidR="00AE3DD1" w:rsidRDefault="00AE3DD1">
      <w:pPr>
        <w:spacing w:before="5"/>
        <w:rPr>
          <w:rFonts w:ascii="Times New Roman" w:eastAsia="Times New Roman" w:hAnsi="Times New Roman" w:cs="Times New Roman"/>
          <w:sz w:val="24"/>
          <w:szCs w:val="24"/>
        </w:rPr>
      </w:pPr>
    </w:p>
    <w:p w:rsidR="00AE3DD1" w:rsidRDefault="00125FC6">
      <w:pPr>
        <w:pStyle w:val="Ttulo1"/>
        <w:numPr>
          <w:ilvl w:val="1"/>
          <w:numId w:val="6"/>
        </w:numPr>
        <w:tabs>
          <w:tab w:val="left" w:pos="550"/>
        </w:tabs>
        <w:spacing w:before="0"/>
        <w:jc w:val="both"/>
        <w:rPr>
          <w:b w:val="0"/>
          <w:bCs w:val="0"/>
        </w:rPr>
      </w:pPr>
      <w:r>
        <w:t>Argumentos capazes de fundamentar cada</w:t>
      </w:r>
      <w:r>
        <w:rPr>
          <w:spacing w:val="-17"/>
        </w:rPr>
        <w:t xml:space="preserve"> </w:t>
      </w:r>
      <w:r>
        <w:t>decisão</w:t>
      </w:r>
    </w:p>
    <w:p w:rsidR="00AE3DD1" w:rsidRDefault="00125FC6">
      <w:pPr>
        <w:pStyle w:val="PargrafodaLista"/>
        <w:numPr>
          <w:ilvl w:val="2"/>
          <w:numId w:val="5"/>
        </w:numPr>
        <w:tabs>
          <w:tab w:val="left" w:pos="830"/>
        </w:tabs>
        <w:spacing w:before="132"/>
        <w:jc w:val="both"/>
        <w:rPr>
          <w:rFonts w:ascii="Times New Roman" w:eastAsia="Times New Roman" w:hAnsi="Times New Roman" w:cs="Times New Roman"/>
          <w:sz w:val="24"/>
          <w:szCs w:val="24"/>
        </w:rPr>
      </w:pPr>
      <w:r>
        <w:rPr>
          <w:rFonts w:ascii="Times New Roman" w:hAnsi="Times New Roman"/>
          <w:sz w:val="24"/>
        </w:rPr>
        <w:t>Da adequação da decisão do</w:t>
      </w:r>
      <w:r>
        <w:rPr>
          <w:rFonts w:ascii="Times New Roman" w:hAnsi="Times New Roman"/>
          <w:spacing w:val="-4"/>
          <w:sz w:val="24"/>
        </w:rPr>
        <w:t xml:space="preserve"> </w:t>
      </w:r>
      <w:r>
        <w:rPr>
          <w:rFonts w:ascii="Times New Roman" w:hAnsi="Times New Roman"/>
          <w:sz w:val="24"/>
        </w:rPr>
        <w:t>CADE:</w:t>
      </w:r>
    </w:p>
    <w:p w:rsidR="00AE3DD1" w:rsidRDefault="00125FC6">
      <w:pPr>
        <w:pStyle w:val="PargrafodaLista"/>
        <w:numPr>
          <w:ilvl w:val="0"/>
          <w:numId w:val="4"/>
        </w:numPr>
        <w:tabs>
          <w:tab w:val="left" w:pos="830"/>
        </w:tabs>
        <w:spacing w:before="138" w:line="343" w:lineRule="auto"/>
        <w:ind w:right="117" w:firstLine="0"/>
        <w:jc w:val="both"/>
        <w:rPr>
          <w:rFonts w:ascii="Times New Roman" w:eastAsia="Times New Roman" w:hAnsi="Times New Roman" w:cs="Times New Roman"/>
          <w:sz w:val="24"/>
          <w:szCs w:val="24"/>
        </w:rPr>
      </w:pPr>
      <w:r>
        <w:rPr>
          <w:rFonts w:ascii="Times New Roman" w:hAnsi="Times New Roman"/>
          <w:sz w:val="24"/>
        </w:rPr>
        <w:t>Barreiras à entra</w:t>
      </w:r>
      <w:r>
        <w:rPr>
          <w:rFonts w:ascii="Times New Roman" w:hAnsi="Times New Roman"/>
          <w:sz w:val="24"/>
        </w:rPr>
        <w:t>da de novas concorrentes: conforme o voto do Relator Thompson Andrade</w:t>
      </w:r>
      <w:r>
        <w:rPr>
          <w:rFonts w:ascii="Times New Roman" w:hAnsi="Times New Roman"/>
          <w:position w:val="11"/>
          <w:sz w:val="16"/>
        </w:rPr>
        <w:t>4</w:t>
      </w:r>
      <w:r>
        <w:rPr>
          <w:rFonts w:ascii="Times New Roman" w:hAnsi="Times New Roman"/>
          <w:sz w:val="24"/>
        </w:rPr>
        <w:t xml:space="preserve">, o mercado relevante para a operação envolvendo as </w:t>
      </w:r>
      <w:proofErr w:type="gramStart"/>
      <w:r>
        <w:rPr>
          <w:rFonts w:ascii="Times New Roman" w:hAnsi="Times New Roman"/>
          <w:sz w:val="24"/>
        </w:rPr>
        <w:t>duas  empresas</w:t>
      </w:r>
      <w:proofErr w:type="gramEnd"/>
      <w:r>
        <w:rPr>
          <w:rFonts w:ascii="Times New Roman" w:hAnsi="Times New Roman"/>
          <w:sz w:val="24"/>
        </w:rPr>
        <w:t xml:space="preserve"> se dividiria em quatro: balas e confeitos; achocolatados; cobertura de  chocolate</w:t>
      </w:r>
      <w:r>
        <w:rPr>
          <w:rFonts w:ascii="Times New Roman" w:hAnsi="Times New Roman"/>
          <w:spacing w:val="45"/>
          <w:sz w:val="24"/>
        </w:rPr>
        <w:t xml:space="preserve"> </w:t>
      </w:r>
      <w:r>
        <w:rPr>
          <w:rFonts w:ascii="Times New Roman" w:hAnsi="Times New Roman"/>
          <w:sz w:val="24"/>
        </w:rPr>
        <w:t>e</w:t>
      </w:r>
      <w:r>
        <w:rPr>
          <w:rFonts w:ascii="Times New Roman" w:hAnsi="Times New Roman"/>
          <w:spacing w:val="45"/>
          <w:sz w:val="24"/>
        </w:rPr>
        <w:t xml:space="preserve"> </w:t>
      </w:r>
      <w:r>
        <w:rPr>
          <w:rFonts w:ascii="Times New Roman" w:hAnsi="Times New Roman"/>
          <w:sz w:val="24"/>
        </w:rPr>
        <w:t>chocolates</w:t>
      </w:r>
      <w:r>
        <w:rPr>
          <w:rFonts w:ascii="Times New Roman" w:hAnsi="Times New Roman"/>
          <w:spacing w:val="44"/>
          <w:sz w:val="24"/>
        </w:rPr>
        <w:t xml:space="preserve"> </w:t>
      </w:r>
      <w:r>
        <w:rPr>
          <w:rFonts w:ascii="Times New Roman" w:hAnsi="Times New Roman"/>
          <w:sz w:val="24"/>
        </w:rPr>
        <w:t>sob</w:t>
      </w:r>
      <w:r>
        <w:rPr>
          <w:rFonts w:ascii="Times New Roman" w:hAnsi="Times New Roman"/>
          <w:spacing w:val="44"/>
          <w:sz w:val="24"/>
        </w:rPr>
        <w:t xml:space="preserve"> </w:t>
      </w:r>
      <w:r>
        <w:rPr>
          <w:rFonts w:ascii="Times New Roman" w:hAnsi="Times New Roman"/>
          <w:sz w:val="24"/>
        </w:rPr>
        <w:t>todas</w:t>
      </w:r>
      <w:r>
        <w:rPr>
          <w:rFonts w:ascii="Times New Roman" w:hAnsi="Times New Roman"/>
          <w:spacing w:val="46"/>
          <w:sz w:val="24"/>
        </w:rPr>
        <w:t xml:space="preserve"> </w:t>
      </w:r>
      <w:r>
        <w:rPr>
          <w:rFonts w:ascii="Times New Roman" w:hAnsi="Times New Roman"/>
          <w:sz w:val="24"/>
        </w:rPr>
        <w:t>as</w:t>
      </w:r>
      <w:r>
        <w:rPr>
          <w:rFonts w:ascii="Times New Roman" w:hAnsi="Times New Roman"/>
          <w:spacing w:val="46"/>
          <w:sz w:val="24"/>
        </w:rPr>
        <w:t xml:space="preserve"> </w:t>
      </w:r>
      <w:r>
        <w:rPr>
          <w:rFonts w:ascii="Times New Roman" w:hAnsi="Times New Roman"/>
          <w:sz w:val="24"/>
        </w:rPr>
        <w:t>formas.</w:t>
      </w:r>
      <w:r>
        <w:rPr>
          <w:rFonts w:ascii="Times New Roman" w:hAnsi="Times New Roman"/>
          <w:spacing w:val="46"/>
          <w:sz w:val="24"/>
        </w:rPr>
        <w:t xml:space="preserve"> </w:t>
      </w:r>
      <w:r>
        <w:rPr>
          <w:rFonts w:ascii="Times New Roman" w:hAnsi="Times New Roman"/>
          <w:sz w:val="24"/>
        </w:rPr>
        <w:t>De</w:t>
      </w:r>
      <w:r>
        <w:rPr>
          <w:rFonts w:ascii="Times New Roman" w:hAnsi="Times New Roman"/>
          <w:spacing w:val="46"/>
          <w:sz w:val="24"/>
        </w:rPr>
        <w:t xml:space="preserve"> </w:t>
      </w:r>
      <w:r>
        <w:rPr>
          <w:rFonts w:ascii="Times New Roman" w:hAnsi="Times New Roman"/>
          <w:sz w:val="24"/>
        </w:rPr>
        <w:t>todos</w:t>
      </w:r>
      <w:r>
        <w:rPr>
          <w:rFonts w:ascii="Times New Roman" w:hAnsi="Times New Roman"/>
          <w:spacing w:val="44"/>
          <w:sz w:val="24"/>
        </w:rPr>
        <w:t xml:space="preserve"> </w:t>
      </w:r>
      <w:r>
        <w:rPr>
          <w:rFonts w:ascii="Times New Roman" w:hAnsi="Times New Roman"/>
          <w:sz w:val="24"/>
        </w:rPr>
        <w:t>estes,</w:t>
      </w:r>
      <w:r>
        <w:rPr>
          <w:rFonts w:ascii="Times New Roman" w:hAnsi="Times New Roman"/>
          <w:spacing w:val="46"/>
          <w:sz w:val="24"/>
        </w:rPr>
        <w:t xml:space="preserve"> </w:t>
      </w:r>
      <w:r>
        <w:rPr>
          <w:rFonts w:ascii="Times New Roman" w:hAnsi="Times New Roman"/>
          <w:sz w:val="24"/>
        </w:rPr>
        <w:t>apenas</w:t>
      </w:r>
      <w:r>
        <w:rPr>
          <w:rFonts w:ascii="Times New Roman" w:hAnsi="Times New Roman"/>
          <w:spacing w:val="44"/>
          <w:sz w:val="24"/>
        </w:rPr>
        <w:t xml:space="preserve"> </w:t>
      </w:r>
      <w:r>
        <w:rPr>
          <w:rFonts w:ascii="Times New Roman" w:hAnsi="Times New Roman"/>
          <w:sz w:val="24"/>
        </w:rPr>
        <w:t>os</w:t>
      </w:r>
      <w:r>
        <w:rPr>
          <w:rFonts w:ascii="Times New Roman" w:hAnsi="Times New Roman"/>
          <w:spacing w:val="47"/>
          <w:sz w:val="24"/>
        </w:rPr>
        <w:t xml:space="preserve"> </w:t>
      </w:r>
      <w:r>
        <w:rPr>
          <w:rFonts w:ascii="Times New Roman" w:hAnsi="Times New Roman"/>
          <w:sz w:val="24"/>
        </w:rPr>
        <w:t>dois</w:t>
      </w:r>
      <w:r>
        <w:rPr>
          <w:rFonts w:ascii="Times New Roman" w:hAnsi="Times New Roman"/>
          <w:spacing w:val="45"/>
          <w:sz w:val="24"/>
        </w:rPr>
        <w:t xml:space="preserve"> </w:t>
      </w:r>
      <w:r>
        <w:rPr>
          <w:rFonts w:ascii="Times New Roman" w:hAnsi="Times New Roman"/>
          <w:sz w:val="24"/>
        </w:rPr>
        <w:t>últimos</w:t>
      </w:r>
    </w:p>
    <w:p w:rsidR="00AE3DD1" w:rsidRDefault="00125FC6">
      <w:pPr>
        <w:pStyle w:val="Corpodetexto"/>
        <w:spacing w:before="25" w:line="350" w:lineRule="auto"/>
        <w:ind w:right="117"/>
        <w:jc w:val="both"/>
      </w:pPr>
      <w:proofErr w:type="gramStart"/>
      <w:r>
        <w:t>suscitaram</w:t>
      </w:r>
      <w:proofErr w:type="gramEnd"/>
      <w:r>
        <w:t xml:space="preserve"> preocupação dos analistas quanto a possibilidade de inviabilidade concorrencial após a aquisição. No caso do mercado de cobertura de chocolate, conforme se verifica na tabela proposta por Ian Ramalho Guerriero</w:t>
      </w:r>
      <w:r>
        <w:rPr>
          <w:position w:val="11"/>
          <w:sz w:val="16"/>
        </w:rPr>
        <w:t>5</w:t>
      </w:r>
      <w:r>
        <w:t>, a Nestlé, detentora da participação de 22,1% na venda de tais produtos na época, ao soma-la com a da Garoto, 66,4%, teria o domínio de 88,5% deste mercado, demonstrando claramente a probabilidade de monopólio deste setor. No que concerne à classe dos ch</w:t>
      </w:r>
      <w:r>
        <w:t>ocolates sob todas as formas, o Relator</w:t>
      </w:r>
      <w:r>
        <w:rPr>
          <w:position w:val="11"/>
          <w:sz w:val="16"/>
        </w:rPr>
        <w:t xml:space="preserve">6 </w:t>
      </w:r>
      <w:r>
        <w:t>demonstrou a existência de elevadas barreiras à entrada de novas empresas capazes de disputarem mercado após a sua reestruturação com a concretização da Nestlé-Garoto. Dentre estas, ele destacou: a economia de escal</w:t>
      </w:r>
      <w:r>
        <w:t xml:space="preserve">a e de escopo, a elevados quantidades mínimas de capital para estruturação de empresas no setor, aos segredos industriais relativos a sabor e textura do chocolate, a dificuldade  </w:t>
      </w:r>
      <w:r>
        <w:rPr>
          <w:spacing w:val="44"/>
        </w:rPr>
        <w:t xml:space="preserve"> </w:t>
      </w:r>
      <w:proofErr w:type="gramStart"/>
      <w:r>
        <w:t>na</w:t>
      </w:r>
      <w:proofErr w:type="gramEnd"/>
    </w:p>
    <w:p w:rsidR="00AE3DD1" w:rsidRDefault="00AE3DD1">
      <w:pPr>
        <w:rPr>
          <w:rFonts w:ascii="Times New Roman" w:eastAsia="Times New Roman" w:hAnsi="Times New Roman" w:cs="Times New Roman"/>
          <w:sz w:val="20"/>
          <w:szCs w:val="20"/>
        </w:rPr>
      </w:pPr>
    </w:p>
    <w:p w:rsidR="00AE3DD1" w:rsidRDefault="00AE3DD1">
      <w:pPr>
        <w:rPr>
          <w:rFonts w:ascii="Times New Roman" w:eastAsia="Times New Roman" w:hAnsi="Times New Roman" w:cs="Times New Roman"/>
          <w:sz w:val="20"/>
          <w:szCs w:val="20"/>
        </w:rPr>
      </w:pPr>
    </w:p>
    <w:p w:rsidR="00AE3DD1" w:rsidRDefault="00125FC6">
      <w:pPr>
        <w:spacing w:before="4"/>
        <w:rPr>
          <w:rFonts w:ascii="Times New Roman" w:eastAsia="Times New Roman" w:hAnsi="Times New Roman" w:cs="Times New Roman"/>
          <w:sz w:val="18"/>
          <w:szCs w:val="18"/>
        </w:rPr>
      </w:pPr>
      <w:r>
        <w:pict>
          <v:group id="_x0000_s1036" style="position:absolute;margin-left:85.1pt;margin-top:11.9pt;width:144.05pt;height:.1pt;z-index:251655680;mso-wrap-distance-left:0;mso-wrap-distance-right:0;mso-position-horizontal-relative:page" coordorigin="1702,238" coordsize="2881,2">
            <v:shape id="_x0000_s1037" style="position:absolute;left:1702;top:238;width:2881;height:2" coordorigin="1702,238" coordsize="2881,0" path="m1702,238r2880,e" filled="f" strokeweight=".72pt">
              <v:path arrowok="t"/>
            </v:shape>
            <w10:wrap type="topAndBottom" anchorx="page"/>
          </v:group>
        </w:pict>
      </w:r>
    </w:p>
    <w:p w:rsidR="00AE3DD1" w:rsidRDefault="00125FC6">
      <w:pPr>
        <w:spacing w:before="42"/>
        <w:ind w:left="122" w:right="961"/>
        <w:rPr>
          <w:rFonts w:ascii="Times New Roman" w:eastAsia="Times New Roman" w:hAnsi="Times New Roman" w:cs="Times New Roman"/>
          <w:sz w:val="20"/>
          <w:szCs w:val="20"/>
        </w:rPr>
      </w:pPr>
      <w:proofErr w:type="gramStart"/>
      <w:r>
        <w:rPr>
          <w:rFonts w:ascii="Times New Roman" w:hAnsi="Times New Roman"/>
          <w:position w:val="9"/>
          <w:sz w:val="13"/>
        </w:rPr>
        <w:t>4</w:t>
      </w:r>
      <w:proofErr w:type="gramEnd"/>
      <w:r>
        <w:rPr>
          <w:rFonts w:ascii="Times New Roman" w:hAnsi="Times New Roman"/>
          <w:position w:val="9"/>
          <w:sz w:val="13"/>
        </w:rPr>
        <w:t xml:space="preserve"> </w:t>
      </w:r>
      <w:r>
        <w:rPr>
          <w:rFonts w:ascii="Times New Roman" w:hAnsi="Times New Roman"/>
          <w:sz w:val="20"/>
        </w:rPr>
        <w:t xml:space="preserve">ANDRADE, Thompson Almeida. Relatório do Conselheiro Relator. </w:t>
      </w:r>
      <w:r>
        <w:rPr>
          <w:rFonts w:ascii="Times New Roman" w:hAnsi="Times New Roman"/>
          <w:b/>
          <w:sz w:val="20"/>
        </w:rPr>
        <w:t xml:space="preserve">Ato de Concentração nº 08012.001697/2002-89. </w:t>
      </w:r>
      <w:r>
        <w:rPr>
          <w:rFonts w:ascii="Times New Roman" w:hAnsi="Times New Roman"/>
          <w:sz w:val="20"/>
        </w:rPr>
        <w:t xml:space="preserve">CADE. Disponível em: &lt; </w:t>
      </w:r>
      <w:hyperlink r:id="rId5">
        <w:r>
          <w:rPr>
            <w:rFonts w:ascii="Times New Roman" w:hAnsi="Times New Roman"/>
            <w:sz w:val="20"/>
          </w:rPr>
          <w:t>http://www.cade.gov.br/Default.aspx?e</w:t>
        </w:r>
      </w:hyperlink>
      <w:r>
        <w:rPr>
          <w:rFonts w:ascii="Times New Roman" w:hAnsi="Times New Roman"/>
          <w:sz w:val="20"/>
        </w:rPr>
        <w:t xml:space="preserve"> 142c252a3798dadb8&gt;. Acesso em</w:t>
      </w:r>
      <w:proofErr w:type="gramStart"/>
      <w:r>
        <w:rPr>
          <w:rFonts w:ascii="Times New Roman" w:hAnsi="Times New Roman"/>
          <w:sz w:val="20"/>
        </w:rPr>
        <w:t>:20</w:t>
      </w:r>
      <w:proofErr w:type="gramEnd"/>
      <w:r>
        <w:rPr>
          <w:rFonts w:ascii="Times New Roman" w:hAnsi="Times New Roman"/>
          <w:sz w:val="20"/>
        </w:rPr>
        <w:t xml:space="preserve"> de setembro de</w:t>
      </w:r>
      <w:r>
        <w:rPr>
          <w:rFonts w:ascii="Times New Roman" w:hAnsi="Times New Roman"/>
          <w:spacing w:val="-16"/>
          <w:sz w:val="20"/>
        </w:rPr>
        <w:t xml:space="preserve"> </w:t>
      </w:r>
      <w:r>
        <w:rPr>
          <w:rFonts w:ascii="Times New Roman" w:hAnsi="Times New Roman"/>
          <w:sz w:val="20"/>
        </w:rPr>
        <w:t>2014.</w:t>
      </w:r>
    </w:p>
    <w:p w:rsidR="00AE3DD1" w:rsidRDefault="00125FC6">
      <w:pPr>
        <w:spacing w:before="3" w:line="230" w:lineRule="exact"/>
        <w:ind w:left="122" w:right="278"/>
        <w:jc w:val="both"/>
        <w:rPr>
          <w:rFonts w:ascii="Times New Roman" w:eastAsia="Times New Roman" w:hAnsi="Times New Roman" w:cs="Times New Roman"/>
          <w:sz w:val="20"/>
          <w:szCs w:val="20"/>
        </w:rPr>
      </w:pPr>
      <w:proofErr w:type="gramStart"/>
      <w:r>
        <w:rPr>
          <w:rFonts w:ascii="Times New Roman" w:hAnsi="Times New Roman"/>
          <w:position w:val="9"/>
          <w:sz w:val="13"/>
        </w:rPr>
        <w:t>5</w:t>
      </w:r>
      <w:proofErr w:type="gramEnd"/>
      <w:r>
        <w:rPr>
          <w:rFonts w:ascii="Times New Roman" w:hAnsi="Times New Roman"/>
          <w:position w:val="9"/>
          <w:sz w:val="13"/>
        </w:rPr>
        <w:t xml:space="preserve"> </w:t>
      </w:r>
      <w:r>
        <w:rPr>
          <w:rFonts w:ascii="Times New Roman" w:hAnsi="Times New Roman"/>
          <w:sz w:val="20"/>
        </w:rPr>
        <w:t xml:space="preserve">GUERRIERO, Ian Ramalho. </w:t>
      </w:r>
      <w:r>
        <w:rPr>
          <w:rFonts w:ascii="Times New Roman" w:hAnsi="Times New Roman"/>
          <w:b/>
          <w:sz w:val="20"/>
        </w:rPr>
        <w:t xml:space="preserve">O caso Nestlé-Garoto e reflexões para o </w:t>
      </w:r>
      <w:proofErr w:type="gramStart"/>
      <w:r>
        <w:rPr>
          <w:rFonts w:ascii="Times New Roman" w:hAnsi="Times New Roman"/>
          <w:b/>
          <w:sz w:val="20"/>
        </w:rPr>
        <w:t>uso</w:t>
      </w:r>
      <w:proofErr w:type="gramEnd"/>
      <w:r>
        <w:rPr>
          <w:rFonts w:ascii="Times New Roman" w:hAnsi="Times New Roman"/>
          <w:b/>
          <w:sz w:val="20"/>
        </w:rPr>
        <w:t xml:space="preserve"> de modelos de simulação na análise antitruste. </w:t>
      </w:r>
      <w:r>
        <w:rPr>
          <w:rFonts w:ascii="Times New Roman" w:hAnsi="Times New Roman"/>
          <w:sz w:val="20"/>
        </w:rPr>
        <w:t xml:space="preserve">Disponível em: &lt; </w:t>
      </w:r>
      <w:hyperlink r:id="rId6">
        <w:r>
          <w:rPr>
            <w:rFonts w:ascii="Times New Roman" w:hAnsi="Times New Roman"/>
            <w:sz w:val="20"/>
          </w:rPr>
          <w:t>http://www.anpec.org.br/encontro</w:t>
        </w:r>
        <w:r>
          <w:rPr>
            <w:rFonts w:ascii="Times New Roman" w:hAnsi="Times New Roman"/>
            <w:sz w:val="20"/>
          </w:rPr>
          <w:t>2010/inscricao/arquivos/000-</w:t>
        </w:r>
      </w:hyperlink>
      <w:r>
        <w:rPr>
          <w:rFonts w:ascii="Times New Roman" w:hAnsi="Times New Roman"/>
          <w:sz w:val="20"/>
        </w:rPr>
        <w:t xml:space="preserve"> </w:t>
      </w:r>
      <w:hyperlink r:id="rId7">
        <w:r>
          <w:rPr>
            <w:rFonts w:ascii="Times New Roman" w:hAnsi="Times New Roman"/>
            <w:sz w:val="20"/>
          </w:rPr>
          <w:t>eb4c37fbec5b939bcc1a312183e9609b.pdf</w:t>
        </w:r>
      </w:hyperlink>
      <w:r>
        <w:rPr>
          <w:rFonts w:ascii="Times New Roman" w:hAnsi="Times New Roman"/>
          <w:sz w:val="20"/>
        </w:rPr>
        <w:t xml:space="preserve">&gt;. Acesso em: </w:t>
      </w:r>
      <w:proofErr w:type="gramStart"/>
      <w:r>
        <w:rPr>
          <w:rFonts w:ascii="Times New Roman" w:hAnsi="Times New Roman"/>
          <w:sz w:val="20"/>
        </w:rPr>
        <w:t>20 de</w:t>
      </w:r>
      <w:proofErr w:type="gramEnd"/>
      <w:r>
        <w:rPr>
          <w:rFonts w:ascii="Times New Roman" w:hAnsi="Times New Roman"/>
          <w:sz w:val="20"/>
        </w:rPr>
        <w:t xml:space="preserve"> setembro de 2014. P.</w:t>
      </w:r>
      <w:r>
        <w:rPr>
          <w:rFonts w:ascii="Times New Roman" w:hAnsi="Times New Roman"/>
          <w:spacing w:val="-19"/>
          <w:sz w:val="20"/>
        </w:rPr>
        <w:t xml:space="preserve"> </w:t>
      </w:r>
      <w:r>
        <w:rPr>
          <w:rFonts w:ascii="Times New Roman" w:hAnsi="Times New Roman"/>
          <w:sz w:val="20"/>
        </w:rPr>
        <w:t>7</w:t>
      </w:r>
    </w:p>
    <w:p w:rsidR="00AE3DD1" w:rsidRDefault="00125FC6">
      <w:pPr>
        <w:spacing w:line="228" w:lineRule="exact"/>
        <w:ind w:left="122" w:right="107"/>
        <w:rPr>
          <w:rFonts w:ascii="Times New Roman" w:eastAsia="Times New Roman" w:hAnsi="Times New Roman" w:cs="Times New Roman"/>
          <w:sz w:val="20"/>
          <w:szCs w:val="20"/>
        </w:rPr>
      </w:pPr>
      <w:proofErr w:type="gramStart"/>
      <w:r>
        <w:rPr>
          <w:rFonts w:ascii="Times New Roman"/>
          <w:position w:val="9"/>
          <w:sz w:val="13"/>
        </w:rPr>
        <w:t>6</w:t>
      </w:r>
      <w:proofErr w:type="gramEnd"/>
      <w:r>
        <w:rPr>
          <w:rFonts w:ascii="Times New Roman"/>
          <w:position w:val="9"/>
          <w:sz w:val="13"/>
        </w:rPr>
        <w:t xml:space="preserve"> </w:t>
      </w:r>
      <w:r>
        <w:rPr>
          <w:rFonts w:ascii="Times New Roman"/>
          <w:sz w:val="20"/>
        </w:rPr>
        <w:t xml:space="preserve">ANDRADE, Thompson Almeida. </w:t>
      </w:r>
      <w:r>
        <w:rPr>
          <w:rFonts w:ascii="Times New Roman"/>
          <w:b/>
          <w:i/>
          <w:sz w:val="20"/>
        </w:rPr>
        <w:t xml:space="preserve">Op </w:t>
      </w:r>
      <w:r>
        <w:rPr>
          <w:rFonts w:ascii="Times New Roman"/>
          <w:b/>
          <w:i/>
          <w:sz w:val="20"/>
        </w:rPr>
        <w:t xml:space="preserve">cit. </w:t>
      </w:r>
      <w:r>
        <w:rPr>
          <w:rFonts w:ascii="Times New Roman"/>
          <w:sz w:val="20"/>
        </w:rPr>
        <w:t>P.</w:t>
      </w:r>
      <w:r>
        <w:rPr>
          <w:rFonts w:ascii="Times New Roman"/>
          <w:spacing w:val="8"/>
          <w:sz w:val="20"/>
        </w:rPr>
        <w:t xml:space="preserve"> </w:t>
      </w:r>
      <w:r>
        <w:rPr>
          <w:rFonts w:ascii="Times New Roman"/>
          <w:sz w:val="20"/>
        </w:rPr>
        <w:t>5.104</w:t>
      </w:r>
    </w:p>
    <w:p w:rsidR="00AE3DD1" w:rsidRDefault="00AE3DD1">
      <w:pPr>
        <w:spacing w:line="228" w:lineRule="exact"/>
        <w:rPr>
          <w:rFonts w:ascii="Times New Roman" w:eastAsia="Times New Roman" w:hAnsi="Times New Roman" w:cs="Times New Roman"/>
          <w:sz w:val="20"/>
          <w:szCs w:val="20"/>
        </w:rPr>
        <w:sectPr w:rsidR="00AE3DD1">
          <w:pgSz w:w="11910" w:h="16840"/>
          <w:pgMar w:top="1340" w:right="1580" w:bottom="280" w:left="1580" w:header="720" w:footer="720" w:gutter="0"/>
          <w:cols w:space="720"/>
        </w:sectPr>
      </w:pPr>
    </w:p>
    <w:p w:rsidR="00AE3DD1" w:rsidRDefault="00125FC6">
      <w:pPr>
        <w:pStyle w:val="Corpodetexto"/>
        <w:spacing w:before="52" w:line="362" w:lineRule="auto"/>
        <w:ind w:right="117"/>
        <w:jc w:val="both"/>
      </w:pPr>
      <w:proofErr w:type="gramStart"/>
      <w:r>
        <w:lastRenderedPageBreak/>
        <w:t>aquisição</w:t>
      </w:r>
      <w:proofErr w:type="gramEnd"/>
      <w:r>
        <w:t xml:space="preserve"> de matéria-prima, à fidelidade dos consumidores e aos chamados </w:t>
      </w:r>
      <w:r>
        <w:rPr>
          <w:i/>
        </w:rPr>
        <w:t>sunk costs</w:t>
      </w:r>
      <w:r>
        <w:t>, consistente nos elevados valores irrecuperáveis nas</w:t>
      </w:r>
      <w:r>
        <w:rPr>
          <w:spacing w:val="-10"/>
        </w:rPr>
        <w:t xml:space="preserve"> </w:t>
      </w:r>
      <w:r>
        <w:t>operações.</w:t>
      </w:r>
    </w:p>
    <w:p w:rsidR="00AE3DD1" w:rsidRDefault="00125FC6">
      <w:pPr>
        <w:pStyle w:val="PargrafodaLista"/>
        <w:numPr>
          <w:ilvl w:val="0"/>
          <w:numId w:val="4"/>
        </w:numPr>
        <w:tabs>
          <w:tab w:val="left" w:pos="830"/>
        </w:tabs>
        <w:spacing w:line="295" w:lineRule="exact"/>
        <w:ind w:left="830"/>
        <w:jc w:val="both"/>
        <w:rPr>
          <w:rFonts w:ascii="Times New Roman" w:eastAsia="Times New Roman" w:hAnsi="Times New Roman" w:cs="Times New Roman"/>
          <w:sz w:val="24"/>
          <w:szCs w:val="24"/>
        </w:rPr>
      </w:pPr>
      <w:r>
        <w:rPr>
          <w:rFonts w:ascii="Times New Roman" w:hAnsi="Times New Roman"/>
          <w:sz w:val="24"/>
        </w:rPr>
        <w:t>Nestlé/Garoto</w:t>
      </w:r>
      <w:r>
        <w:rPr>
          <w:rFonts w:ascii="Times New Roman" w:hAnsi="Times New Roman"/>
          <w:spacing w:val="26"/>
          <w:sz w:val="24"/>
        </w:rPr>
        <w:t xml:space="preserve"> </w:t>
      </w:r>
      <w:r>
        <w:rPr>
          <w:rFonts w:ascii="Times New Roman" w:hAnsi="Times New Roman"/>
          <w:sz w:val="24"/>
        </w:rPr>
        <w:t>X</w:t>
      </w:r>
      <w:r>
        <w:rPr>
          <w:rFonts w:ascii="Times New Roman" w:hAnsi="Times New Roman"/>
          <w:spacing w:val="26"/>
          <w:sz w:val="24"/>
        </w:rPr>
        <w:t xml:space="preserve"> </w:t>
      </w:r>
      <w:r>
        <w:rPr>
          <w:rFonts w:ascii="Times New Roman" w:hAnsi="Times New Roman"/>
          <w:sz w:val="24"/>
        </w:rPr>
        <w:t>Arcor:</w:t>
      </w:r>
      <w:r>
        <w:rPr>
          <w:rFonts w:ascii="Times New Roman" w:hAnsi="Times New Roman"/>
          <w:spacing w:val="28"/>
          <w:sz w:val="24"/>
        </w:rPr>
        <w:t xml:space="preserve"> </w:t>
      </w:r>
      <w:r>
        <w:rPr>
          <w:rFonts w:ascii="Times New Roman" w:hAnsi="Times New Roman"/>
          <w:sz w:val="24"/>
        </w:rPr>
        <w:t>o</w:t>
      </w:r>
      <w:r>
        <w:rPr>
          <w:rFonts w:ascii="Times New Roman" w:hAnsi="Times New Roman"/>
          <w:spacing w:val="26"/>
          <w:sz w:val="24"/>
        </w:rPr>
        <w:t xml:space="preserve"> </w:t>
      </w:r>
      <w:r>
        <w:rPr>
          <w:rFonts w:ascii="Times New Roman" w:hAnsi="Times New Roman"/>
          <w:sz w:val="24"/>
        </w:rPr>
        <w:t>Relator</w:t>
      </w:r>
      <w:r>
        <w:rPr>
          <w:rFonts w:ascii="Times New Roman" w:hAnsi="Times New Roman"/>
          <w:position w:val="11"/>
          <w:sz w:val="16"/>
        </w:rPr>
        <w:t xml:space="preserve">7 </w:t>
      </w:r>
      <w:r>
        <w:rPr>
          <w:rFonts w:ascii="Times New Roman" w:hAnsi="Times New Roman"/>
          <w:spacing w:val="8"/>
          <w:position w:val="11"/>
          <w:sz w:val="16"/>
        </w:rPr>
        <w:t xml:space="preserve"> </w:t>
      </w:r>
      <w:r>
        <w:rPr>
          <w:rFonts w:ascii="Times New Roman" w:hAnsi="Times New Roman"/>
          <w:sz w:val="24"/>
        </w:rPr>
        <w:t>analisou</w:t>
      </w:r>
      <w:r>
        <w:rPr>
          <w:rFonts w:ascii="Times New Roman" w:hAnsi="Times New Roman"/>
          <w:spacing w:val="26"/>
          <w:sz w:val="24"/>
        </w:rPr>
        <w:t xml:space="preserve"> </w:t>
      </w:r>
      <w:r>
        <w:rPr>
          <w:rFonts w:ascii="Times New Roman" w:hAnsi="Times New Roman"/>
          <w:sz w:val="24"/>
        </w:rPr>
        <w:t>também</w:t>
      </w:r>
      <w:r>
        <w:rPr>
          <w:rFonts w:ascii="Times New Roman" w:hAnsi="Times New Roman"/>
          <w:spacing w:val="27"/>
          <w:sz w:val="24"/>
        </w:rPr>
        <w:t xml:space="preserve"> </w:t>
      </w:r>
      <w:r>
        <w:rPr>
          <w:rFonts w:ascii="Times New Roman" w:hAnsi="Times New Roman"/>
          <w:sz w:val="24"/>
        </w:rPr>
        <w:t>a</w:t>
      </w:r>
      <w:r>
        <w:rPr>
          <w:rFonts w:ascii="Times New Roman" w:hAnsi="Times New Roman"/>
          <w:spacing w:val="25"/>
          <w:sz w:val="24"/>
        </w:rPr>
        <w:t xml:space="preserve"> </w:t>
      </w:r>
      <w:r>
        <w:rPr>
          <w:rFonts w:ascii="Times New Roman" w:hAnsi="Times New Roman"/>
          <w:sz w:val="24"/>
        </w:rPr>
        <w:t>concorrência</w:t>
      </w:r>
      <w:r>
        <w:rPr>
          <w:rFonts w:ascii="Times New Roman" w:hAnsi="Times New Roman"/>
          <w:spacing w:val="26"/>
          <w:sz w:val="24"/>
        </w:rPr>
        <w:t xml:space="preserve"> </w:t>
      </w:r>
      <w:r>
        <w:rPr>
          <w:rFonts w:ascii="Times New Roman" w:hAnsi="Times New Roman"/>
          <w:sz w:val="24"/>
        </w:rPr>
        <w:t>entre</w:t>
      </w:r>
      <w:r>
        <w:rPr>
          <w:rFonts w:ascii="Times New Roman" w:hAnsi="Times New Roman"/>
          <w:spacing w:val="27"/>
          <w:sz w:val="24"/>
        </w:rPr>
        <w:t xml:space="preserve"> </w:t>
      </w:r>
      <w:r>
        <w:rPr>
          <w:rFonts w:ascii="Times New Roman" w:hAnsi="Times New Roman"/>
          <w:sz w:val="24"/>
        </w:rPr>
        <w:t>estas</w:t>
      </w:r>
    </w:p>
    <w:p w:rsidR="00AE3DD1" w:rsidRDefault="00125FC6">
      <w:pPr>
        <w:pStyle w:val="Corpodetexto"/>
        <w:spacing w:before="138" w:line="360" w:lineRule="auto"/>
        <w:ind w:right="122"/>
        <w:jc w:val="both"/>
      </w:pPr>
      <w:proofErr w:type="gramStart"/>
      <w:r>
        <w:t>empresas</w:t>
      </w:r>
      <w:proofErr w:type="gramEnd"/>
      <w:r>
        <w:t xml:space="preserve">, principais detentoras do poder econômico do setor de cobertura de chocolate. </w:t>
      </w:r>
      <w:proofErr w:type="gramStart"/>
      <w:r>
        <w:t>Segundo tal análise, a Arcor, possuidora de uma capacidade ociosa de 38% do mercado de chocolates, correspondente a apenas 11% da capacidade ociosa da Nestlé/Garoto, riv</w:t>
      </w:r>
      <w:r>
        <w:t>alizaria diretamente com a esta, o que possibilitaria a prática de condutas colusivas  ou então colaborar para a adoção de parcerias entre as empresas, para dificultar ainda mais a entrada de novos concorrentes, infringindo o princípio constitucional da li</w:t>
      </w:r>
      <w:r>
        <w:t>vre concorrência e possibilitando a prática de abusos aos</w:t>
      </w:r>
      <w:r>
        <w:rPr>
          <w:spacing w:val="-12"/>
        </w:rPr>
        <w:t xml:space="preserve"> </w:t>
      </w:r>
      <w:r>
        <w:t>consumidores.</w:t>
      </w:r>
      <w:proofErr w:type="gramEnd"/>
    </w:p>
    <w:p w:rsidR="00AE3DD1" w:rsidRDefault="00125FC6">
      <w:pPr>
        <w:pStyle w:val="PargrafodaLista"/>
        <w:numPr>
          <w:ilvl w:val="0"/>
          <w:numId w:val="4"/>
        </w:numPr>
        <w:tabs>
          <w:tab w:val="left" w:pos="830"/>
        </w:tabs>
        <w:spacing w:before="4" w:line="350" w:lineRule="auto"/>
        <w:ind w:right="11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Mercados estáticos simulados pela Nestlé: quando se analisa a defesa da concorrência, o CADE também deve levar em consideração os benefícios das concentrações de empresas aos consumido</w:t>
      </w:r>
      <w:r>
        <w:rPr>
          <w:rFonts w:ascii="Times New Roman" w:eastAsia="Times New Roman" w:hAnsi="Times New Roman" w:cs="Times New Roman"/>
          <w:sz w:val="24"/>
          <w:szCs w:val="24"/>
        </w:rPr>
        <w:t>res, de acordo com o art. 54,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º, II, da Lei 8.884. Conforme ensina Guerriero</w:t>
      </w:r>
      <w:r>
        <w:rPr>
          <w:rFonts w:ascii="Times New Roman" w:eastAsia="Times New Roman" w:hAnsi="Times New Roman" w:cs="Times New Roman"/>
          <w:position w:val="11"/>
          <w:sz w:val="16"/>
          <w:szCs w:val="16"/>
        </w:rPr>
        <w:t>8</w:t>
      </w:r>
      <w:r>
        <w:rPr>
          <w:rFonts w:ascii="Times New Roman" w:eastAsia="Times New Roman" w:hAnsi="Times New Roman" w:cs="Times New Roman"/>
          <w:sz w:val="24"/>
          <w:szCs w:val="24"/>
        </w:rPr>
        <w:t>, no intuito de garantir um ambiente salutar de concorrência, devem ser levadas em consideração as variáveis de mercado,  concernentes  na  relação  entre  a  oferta  de  produt</w:t>
      </w:r>
      <w:r>
        <w:rPr>
          <w:rFonts w:ascii="Times New Roman" w:eastAsia="Times New Roman" w:hAnsi="Times New Roman" w:cs="Times New Roman"/>
          <w:sz w:val="24"/>
          <w:szCs w:val="24"/>
        </w:rPr>
        <w:t>os  e  a  procura  dos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consumidores,</w:t>
      </w:r>
    </w:p>
    <w:p w:rsidR="00AE3DD1" w:rsidRDefault="00125FC6">
      <w:pPr>
        <w:pStyle w:val="Corpodetexto"/>
        <w:spacing w:before="17" w:line="350" w:lineRule="auto"/>
        <w:ind w:right="114"/>
        <w:jc w:val="both"/>
      </w:pPr>
      <w:proofErr w:type="gramStart"/>
      <w:r>
        <w:t>ocasionando</w:t>
      </w:r>
      <w:proofErr w:type="gramEnd"/>
      <w:r>
        <w:t xml:space="preserve"> a aumento da qualidade e quantidade dos produtos, bem como a  diminuição de seus preços. Segundo os pareceres da Nestlé, a empresa não demonstrava nenhuma intenção </w:t>
      </w:r>
      <w:proofErr w:type="gramStart"/>
      <w:r>
        <w:t>na</w:t>
      </w:r>
      <w:proofErr w:type="gramEnd"/>
      <w:r>
        <w:t xml:space="preserve"> elevação dos preços dos produtos analisa</w:t>
      </w:r>
      <w:r>
        <w:t>dos, mas somente previa o aumento de seus lucros, todavia as concorrentes demonstraram em seus pareceres que ambos seriam majorados</w:t>
      </w:r>
      <w:r>
        <w:rPr>
          <w:position w:val="11"/>
          <w:sz w:val="16"/>
        </w:rPr>
        <w:t>9</w:t>
      </w:r>
      <w:r>
        <w:t>. Ora, a Nestlé ao prever uma estabilidade nos preços dos produtos</w:t>
      </w:r>
      <w:r>
        <w:rPr>
          <w:spacing w:val="51"/>
        </w:rPr>
        <w:t xml:space="preserve"> </w:t>
      </w:r>
      <w:r>
        <w:t>deixou</w:t>
      </w:r>
      <w:r>
        <w:rPr>
          <w:spacing w:val="50"/>
        </w:rPr>
        <w:t xml:space="preserve"> </w:t>
      </w:r>
      <w:r>
        <w:t>de</w:t>
      </w:r>
      <w:r>
        <w:rPr>
          <w:spacing w:val="49"/>
        </w:rPr>
        <w:t xml:space="preserve"> </w:t>
      </w:r>
      <w:r>
        <w:t>levar</w:t>
      </w:r>
      <w:r>
        <w:rPr>
          <w:spacing w:val="49"/>
        </w:rPr>
        <w:t xml:space="preserve"> </w:t>
      </w:r>
      <w:r>
        <w:t>em</w:t>
      </w:r>
      <w:r>
        <w:rPr>
          <w:spacing w:val="51"/>
        </w:rPr>
        <w:t xml:space="preserve"> </w:t>
      </w:r>
      <w:r>
        <w:t>consideração</w:t>
      </w:r>
      <w:r>
        <w:rPr>
          <w:spacing w:val="50"/>
        </w:rPr>
        <w:t xml:space="preserve"> </w:t>
      </w:r>
      <w:r>
        <w:t>as</w:t>
      </w:r>
      <w:r>
        <w:rPr>
          <w:spacing w:val="50"/>
        </w:rPr>
        <w:t xml:space="preserve"> </w:t>
      </w:r>
      <w:r>
        <w:t>variações</w:t>
      </w:r>
      <w:r>
        <w:rPr>
          <w:spacing w:val="50"/>
        </w:rPr>
        <w:t xml:space="preserve"> </w:t>
      </w:r>
      <w:r>
        <w:t>de</w:t>
      </w:r>
      <w:r>
        <w:rPr>
          <w:spacing w:val="49"/>
        </w:rPr>
        <w:t xml:space="preserve"> </w:t>
      </w:r>
      <w:r>
        <w:t>mercado,</w:t>
      </w:r>
      <w:r>
        <w:rPr>
          <w:spacing w:val="50"/>
        </w:rPr>
        <w:t xml:space="preserve"> </w:t>
      </w:r>
      <w:r>
        <w:t>baseando</w:t>
      </w:r>
      <w:r>
        <w:rPr>
          <w:spacing w:val="50"/>
        </w:rPr>
        <w:t xml:space="preserve"> </w:t>
      </w:r>
      <w:r>
        <w:t>seus</w:t>
      </w:r>
    </w:p>
    <w:p w:rsidR="00AE3DD1" w:rsidRDefault="00125FC6">
      <w:pPr>
        <w:pStyle w:val="Corpodetexto"/>
        <w:spacing w:before="14" w:line="360" w:lineRule="auto"/>
        <w:ind w:right="119"/>
        <w:jc w:val="both"/>
      </w:pPr>
      <w:proofErr w:type="gramStart"/>
      <w:r>
        <w:rPr>
          <w:rFonts w:cs="Times New Roman"/>
        </w:rPr>
        <w:t>estudos</w:t>
      </w:r>
      <w:proofErr w:type="gramEnd"/>
      <w:r>
        <w:rPr>
          <w:rFonts w:cs="Times New Roman"/>
        </w:rPr>
        <w:t xml:space="preserve"> num mercado estático “figurativo”</w:t>
      </w:r>
      <w:r>
        <w:t xml:space="preserve">, as quais atuam diretamente na adoção de estratégias para a obtenção de lucro. Portanto, as simulações de mercado consistem em estudos imprecisos, uma vez que </w:t>
      </w:r>
      <w:proofErr w:type="gramStart"/>
      <w:r>
        <w:t>a</w:t>
      </w:r>
      <w:proofErr w:type="gramEnd"/>
      <w:r>
        <w:t xml:space="preserve"> atividade econômica é altamente flutuante e sofre influência dos mais diversos fatores</w:t>
      </w:r>
      <w:r>
        <w:rPr>
          <w:spacing w:val="-7"/>
        </w:rPr>
        <w:t xml:space="preserve"> </w:t>
      </w:r>
      <w:r>
        <w:t>externo</w:t>
      </w:r>
      <w:r>
        <w:t>s.</w:t>
      </w:r>
    </w:p>
    <w:p w:rsidR="00AE3DD1" w:rsidRDefault="00125FC6">
      <w:pPr>
        <w:pStyle w:val="PargrafodaLista"/>
        <w:numPr>
          <w:ilvl w:val="0"/>
          <w:numId w:val="4"/>
        </w:numPr>
        <w:tabs>
          <w:tab w:val="left" w:pos="830"/>
        </w:tabs>
        <w:spacing w:line="355" w:lineRule="auto"/>
        <w:ind w:right="116" w:firstLine="0"/>
        <w:jc w:val="both"/>
        <w:rPr>
          <w:rFonts w:ascii="Times New Roman" w:eastAsia="Times New Roman" w:hAnsi="Times New Roman" w:cs="Times New Roman"/>
          <w:sz w:val="24"/>
          <w:szCs w:val="24"/>
        </w:rPr>
      </w:pPr>
      <w:r>
        <w:rPr>
          <w:rFonts w:ascii="Times New Roman" w:hAnsi="Times New Roman"/>
          <w:sz w:val="24"/>
        </w:rPr>
        <w:t>As eficiências e o aumento de preços: segundo o Guerriero</w:t>
      </w:r>
      <w:r>
        <w:rPr>
          <w:rFonts w:ascii="Times New Roman" w:hAnsi="Times New Roman"/>
          <w:position w:val="11"/>
          <w:sz w:val="16"/>
        </w:rPr>
        <w:t>10</w:t>
      </w:r>
      <w:r>
        <w:rPr>
          <w:rFonts w:ascii="Times New Roman" w:hAnsi="Times New Roman"/>
          <w:sz w:val="24"/>
        </w:rPr>
        <w:t xml:space="preserve">, os pareceres apresentados pelas partes envolvidas foram aproximadamente os mesmos, razão pela qual não coube ao CADE analisar estritamente </w:t>
      </w:r>
      <w:proofErr w:type="gramStart"/>
      <w:r>
        <w:rPr>
          <w:rFonts w:ascii="Times New Roman" w:hAnsi="Times New Roman"/>
          <w:sz w:val="24"/>
        </w:rPr>
        <w:t>tais</w:t>
      </w:r>
      <w:proofErr w:type="gramEnd"/>
      <w:r>
        <w:rPr>
          <w:rFonts w:ascii="Times New Roman" w:hAnsi="Times New Roman"/>
          <w:sz w:val="24"/>
        </w:rPr>
        <w:t xml:space="preserve"> pareceres quanto a eficiência. Limitou-se,</w:t>
      </w:r>
      <w:r>
        <w:rPr>
          <w:rFonts w:ascii="Times New Roman" w:hAnsi="Times New Roman"/>
          <w:spacing w:val="25"/>
          <w:sz w:val="24"/>
        </w:rPr>
        <w:t xml:space="preserve"> </w:t>
      </w:r>
      <w:r>
        <w:rPr>
          <w:rFonts w:ascii="Times New Roman" w:hAnsi="Times New Roman"/>
          <w:sz w:val="24"/>
        </w:rPr>
        <w:t>então,</w:t>
      </w:r>
      <w:r>
        <w:rPr>
          <w:rFonts w:ascii="Times New Roman" w:hAnsi="Times New Roman"/>
          <w:spacing w:val="24"/>
          <w:sz w:val="24"/>
        </w:rPr>
        <w:t xml:space="preserve"> </w:t>
      </w:r>
      <w:r>
        <w:rPr>
          <w:rFonts w:ascii="Times New Roman" w:hAnsi="Times New Roman"/>
          <w:sz w:val="24"/>
        </w:rPr>
        <w:t>a</w:t>
      </w:r>
      <w:r>
        <w:rPr>
          <w:rFonts w:ascii="Times New Roman" w:hAnsi="Times New Roman"/>
          <w:spacing w:val="21"/>
          <w:sz w:val="24"/>
        </w:rPr>
        <w:t xml:space="preserve"> </w:t>
      </w:r>
      <w:r>
        <w:rPr>
          <w:rFonts w:ascii="Times New Roman" w:hAnsi="Times New Roman"/>
          <w:sz w:val="24"/>
        </w:rPr>
        <w:t>acolher</w:t>
      </w:r>
      <w:r>
        <w:rPr>
          <w:rFonts w:ascii="Times New Roman" w:hAnsi="Times New Roman"/>
          <w:spacing w:val="21"/>
          <w:sz w:val="24"/>
        </w:rPr>
        <w:t xml:space="preserve"> </w:t>
      </w:r>
      <w:r>
        <w:rPr>
          <w:rFonts w:ascii="Times New Roman" w:hAnsi="Times New Roman"/>
          <w:sz w:val="24"/>
        </w:rPr>
        <w:t>os</w:t>
      </w:r>
      <w:r>
        <w:rPr>
          <w:rFonts w:ascii="Times New Roman" w:hAnsi="Times New Roman"/>
          <w:spacing w:val="25"/>
          <w:sz w:val="24"/>
        </w:rPr>
        <w:t xml:space="preserve"> </w:t>
      </w:r>
      <w:r>
        <w:rPr>
          <w:rFonts w:ascii="Times New Roman" w:hAnsi="Times New Roman"/>
          <w:sz w:val="24"/>
        </w:rPr>
        <w:t>estudos</w:t>
      </w:r>
      <w:r>
        <w:rPr>
          <w:rFonts w:ascii="Times New Roman" w:hAnsi="Times New Roman"/>
          <w:spacing w:val="23"/>
          <w:sz w:val="24"/>
        </w:rPr>
        <w:t xml:space="preserve"> </w:t>
      </w:r>
      <w:r>
        <w:rPr>
          <w:rFonts w:ascii="Times New Roman" w:hAnsi="Times New Roman"/>
          <w:sz w:val="24"/>
        </w:rPr>
        <w:t>apresentados</w:t>
      </w:r>
      <w:r>
        <w:rPr>
          <w:rFonts w:ascii="Times New Roman" w:hAnsi="Times New Roman"/>
          <w:spacing w:val="23"/>
          <w:sz w:val="24"/>
        </w:rPr>
        <w:t xml:space="preserve"> </w:t>
      </w:r>
      <w:r>
        <w:rPr>
          <w:rFonts w:ascii="Times New Roman" w:hAnsi="Times New Roman"/>
          <w:sz w:val="24"/>
        </w:rPr>
        <w:t>pelos</w:t>
      </w:r>
      <w:r>
        <w:rPr>
          <w:rFonts w:ascii="Times New Roman" w:hAnsi="Times New Roman"/>
          <w:spacing w:val="23"/>
          <w:sz w:val="24"/>
        </w:rPr>
        <w:t xml:space="preserve"> </w:t>
      </w:r>
      <w:r>
        <w:rPr>
          <w:rFonts w:ascii="Times New Roman" w:hAnsi="Times New Roman"/>
          <w:sz w:val="24"/>
        </w:rPr>
        <w:t>interessados</w:t>
      </w:r>
      <w:r>
        <w:rPr>
          <w:rFonts w:ascii="Times New Roman" w:hAnsi="Times New Roman"/>
          <w:spacing w:val="23"/>
          <w:sz w:val="24"/>
        </w:rPr>
        <w:t xml:space="preserve"> </w:t>
      </w:r>
      <w:r>
        <w:rPr>
          <w:rFonts w:ascii="Times New Roman" w:hAnsi="Times New Roman"/>
          <w:sz w:val="24"/>
        </w:rPr>
        <w:t>e</w:t>
      </w:r>
      <w:r>
        <w:rPr>
          <w:rFonts w:ascii="Times New Roman" w:hAnsi="Times New Roman"/>
          <w:spacing w:val="24"/>
          <w:sz w:val="24"/>
        </w:rPr>
        <w:t xml:space="preserve"> </w:t>
      </w:r>
      <w:r>
        <w:rPr>
          <w:rFonts w:ascii="Times New Roman" w:hAnsi="Times New Roman"/>
          <w:sz w:val="24"/>
        </w:rPr>
        <w:t>a</w:t>
      </w:r>
      <w:r>
        <w:rPr>
          <w:rFonts w:ascii="Times New Roman" w:hAnsi="Times New Roman"/>
          <w:spacing w:val="21"/>
          <w:sz w:val="24"/>
        </w:rPr>
        <w:t xml:space="preserve"> </w:t>
      </w:r>
      <w:r>
        <w:rPr>
          <w:rFonts w:ascii="Times New Roman" w:hAnsi="Times New Roman"/>
          <w:sz w:val="24"/>
        </w:rPr>
        <w:t>afirmarem</w:t>
      </w:r>
    </w:p>
    <w:p w:rsidR="00AE3DD1" w:rsidRDefault="00AE3DD1">
      <w:pPr>
        <w:rPr>
          <w:rFonts w:ascii="Times New Roman" w:eastAsia="Times New Roman" w:hAnsi="Times New Roman" w:cs="Times New Roman"/>
          <w:sz w:val="20"/>
          <w:szCs w:val="20"/>
        </w:rPr>
      </w:pPr>
    </w:p>
    <w:p w:rsidR="00AE3DD1" w:rsidRDefault="00125FC6">
      <w:pPr>
        <w:spacing w:before="9"/>
        <w:rPr>
          <w:rFonts w:ascii="Times New Roman" w:eastAsia="Times New Roman" w:hAnsi="Times New Roman" w:cs="Times New Roman"/>
        </w:rPr>
      </w:pPr>
      <w:r>
        <w:pict>
          <v:group id="_x0000_s1034" style="position:absolute;margin-left:85.1pt;margin-top:14.45pt;width:144.05pt;height:.1pt;z-index:251656704;mso-wrap-distance-left:0;mso-wrap-distance-right:0;mso-position-horizontal-relative:page" coordorigin="1702,289" coordsize="2881,2">
            <v:shape id="_x0000_s1035" style="position:absolute;left:1702;top:289;width:2881;height:2" coordorigin="1702,289" coordsize="2881,0" path="m1702,289r2880,e" filled="f" strokeweight=".72pt">
              <v:path arrowok="t"/>
            </v:shape>
            <w10:wrap type="topAndBottom" anchorx="page"/>
          </v:group>
        </w:pict>
      </w:r>
    </w:p>
    <w:p w:rsidR="00AE3DD1" w:rsidRDefault="00125FC6">
      <w:pPr>
        <w:spacing w:before="42" w:line="242" w:lineRule="exact"/>
        <w:ind w:left="122" w:right="107"/>
        <w:rPr>
          <w:rFonts w:ascii="Times New Roman" w:eastAsia="Times New Roman" w:hAnsi="Times New Roman" w:cs="Times New Roman"/>
          <w:sz w:val="20"/>
          <w:szCs w:val="20"/>
        </w:rPr>
      </w:pPr>
      <w:proofErr w:type="gramStart"/>
      <w:r>
        <w:rPr>
          <w:rFonts w:ascii="Times New Roman"/>
          <w:position w:val="9"/>
          <w:sz w:val="13"/>
        </w:rPr>
        <w:t>7</w:t>
      </w:r>
      <w:proofErr w:type="gramEnd"/>
      <w:r>
        <w:rPr>
          <w:rFonts w:ascii="Times New Roman"/>
          <w:position w:val="9"/>
          <w:sz w:val="13"/>
        </w:rPr>
        <w:t xml:space="preserve"> </w:t>
      </w:r>
      <w:r>
        <w:rPr>
          <w:rFonts w:ascii="Times New Roman"/>
          <w:sz w:val="20"/>
        </w:rPr>
        <w:t xml:space="preserve">ANDRADE, Thompson Almeida. </w:t>
      </w:r>
      <w:r>
        <w:rPr>
          <w:rFonts w:ascii="Times New Roman"/>
          <w:b/>
          <w:i/>
          <w:sz w:val="20"/>
        </w:rPr>
        <w:t xml:space="preserve">Op cit. </w:t>
      </w:r>
      <w:r>
        <w:rPr>
          <w:rFonts w:ascii="Times New Roman"/>
          <w:sz w:val="20"/>
        </w:rPr>
        <w:t>P.</w:t>
      </w:r>
      <w:r>
        <w:rPr>
          <w:rFonts w:ascii="Times New Roman"/>
          <w:spacing w:val="7"/>
          <w:sz w:val="20"/>
        </w:rPr>
        <w:t xml:space="preserve"> </w:t>
      </w:r>
      <w:r>
        <w:rPr>
          <w:rFonts w:ascii="Times New Roman"/>
          <w:sz w:val="20"/>
        </w:rPr>
        <w:t>5.105</w:t>
      </w:r>
    </w:p>
    <w:p w:rsidR="00AE3DD1" w:rsidRDefault="00125FC6">
      <w:pPr>
        <w:spacing w:line="230" w:lineRule="exact"/>
        <w:ind w:left="122" w:right="107"/>
        <w:rPr>
          <w:rFonts w:ascii="Times New Roman" w:eastAsia="Times New Roman" w:hAnsi="Times New Roman" w:cs="Times New Roman"/>
          <w:sz w:val="20"/>
          <w:szCs w:val="20"/>
        </w:rPr>
      </w:pPr>
      <w:proofErr w:type="gramStart"/>
      <w:r>
        <w:rPr>
          <w:rFonts w:ascii="Times New Roman"/>
          <w:position w:val="9"/>
          <w:sz w:val="13"/>
        </w:rPr>
        <w:t>8</w:t>
      </w:r>
      <w:proofErr w:type="gramEnd"/>
      <w:r>
        <w:rPr>
          <w:rFonts w:ascii="Times New Roman"/>
          <w:position w:val="9"/>
          <w:sz w:val="13"/>
        </w:rPr>
        <w:t xml:space="preserve"> </w:t>
      </w:r>
      <w:r>
        <w:rPr>
          <w:rFonts w:ascii="Times New Roman"/>
          <w:sz w:val="20"/>
        </w:rPr>
        <w:t xml:space="preserve">GUERRIERO, Ian Ramalho. </w:t>
      </w:r>
      <w:r>
        <w:rPr>
          <w:rFonts w:ascii="Times New Roman"/>
          <w:b/>
          <w:i/>
          <w:sz w:val="20"/>
        </w:rPr>
        <w:t xml:space="preserve">Op cit. </w:t>
      </w:r>
      <w:r>
        <w:rPr>
          <w:rFonts w:ascii="Times New Roman"/>
          <w:sz w:val="20"/>
        </w:rPr>
        <w:t>P.</w:t>
      </w:r>
      <w:r>
        <w:rPr>
          <w:rFonts w:ascii="Times New Roman"/>
          <w:spacing w:val="8"/>
          <w:sz w:val="20"/>
        </w:rPr>
        <w:t xml:space="preserve"> </w:t>
      </w:r>
      <w:r>
        <w:rPr>
          <w:rFonts w:ascii="Times New Roman"/>
          <w:sz w:val="20"/>
        </w:rPr>
        <w:t>15</w:t>
      </w:r>
    </w:p>
    <w:p w:rsidR="00AE3DD1" w:rsidRDefault="00125FC6">
      <w:pPr>
        <w:spacing w:line="230" w:lineRule="exact"/>
        <w:ind w:left="122" w:right="107"/>
        <w:rPr>
          <w:rFonts w:ascii="Times New Roman" w:eastAsia="Times New Roman" w:hAnsi="Times New Roman" w:cs="Times New Roman"/>
          <w:sz w:val="20"/>
          <w:szCs w:val="20"/>
        </w:rPr>
      </w:pPr>
      <w:proofErr w:type="gramStart"/>
      <w:r>
        <w:rPr>
          <w:rFonts w:ascii="Times New Roman"/>
          <w:position w:val="9"/>
          <w:sz w:val="13"/>
        </w:rPr>
        <w:t>9</w:t>
      </w:r>
      <w:proofErr w:type="gramEnd"/>
      <w:r>
        <w:rPr>
          <w:rFonts w:ascii="Times New Roman"/>
          <w:position w:val="9"/>
          <w:sz w:val="13"/>
        </w:rPr>
        <w:t xml:space="preserve"> </w:t>
      </w:r>
      <w:r>
        <w:rPr>
          <w:rFonts w:ascii="Times New Roman"/>
          <w:sz w:val="20"/>
        </w:rPr>
        <w:t xml:space="preserve">ANDRADE, Thompson Almeida. </w:t>
      </w:r>
      <w:r>
        <w:rPr>
          <w:rFonts w:ascii="Times New Roman"/>
          <w:b/>
          <w:i/>
          <w:sz w:val="20"/>
        </w:rPr>
        <w:t xml:space="preserve">Op cit. </w:t>
      </w:r>
      <w:r>
        <w:rPr>
          <w:rFonts w:ascii="Times New Roman"/>
          <w:sz w:val="20"/>
        </w:rPr>
        <w:t>P.</w:t>
      </w:r>
      <w:r>
        <w:rPr>
          <w:rFonts w:ascii="Times New Roman"/>
          <w:spacing w:val="8"/>
          <w:sz w:val="20"/>
        </w:rPr>
        <w:t xml:space="preserve"> </w:t>
      </w:r>
      <w:r>
        <w:rPr>
          <w:rFonts w:ascii="Times New Roman"/>
          <w:sz w:val="20"/>
        </w:rPr>
        <w:t>5.127</w:t>
      </w:r>
    </w:p>
    <w:p w:rsidR="00AE3DD1" w:rsidRDefault="00125FC6">
      <w:pPr>
        <w:spacing w:line="243" w:lineRule="exact"/>
        <w:ind w:left="122" w:right="107"/>
        <w:rPr>
          <w:rFonts w:ascii="Times New Roman" w:eastAsia="Times New Roman" w:hAnsi="Times New Roman" w:cs="Times New Roman"/>
          <w:sz w:val="20"/>
          <w:szCs w:val="20"/>
        </w:rPr>
      </w:pPr>
      <w:proofErr w:type="gramStart"/>
      <w:r>
        <w:rPr>
          <w:rFonts w:ascii="Times New Roman"/>
          <w:position w:val="9"/>
          <w:sz w:val="13"/>
        </w:rPr>
        <w:t>10</w:t>
      </w:r>
      <w:proofErr w:type="gramEnd"/>
      <w:r>
        <w:rPr>
          <w:rFonts w:ascii="Times New Roman"/>
          <w:position w:val="9"/>
          <w:sz w:val="13"/>
        </w:rPr>
        <w:t xml:space="preserve"> </w:t>
      </w:r>
      <w:r>
        <w:rPr>
          <w:rFonts w:ascii="Times New Roman"/>
          <w:sz w:val="20"/>
        </w:rPr>
        <w:t xml:space="preserve">GUERRIERO, Ian Ramalho. </w:t>
      </w:r>
      <w:r>
        <w:rPr>
          <w:rFonts w:ascii="Times New Roman"/>
          <w:b/>
          <w:i/>
          <w:sz w:val="20"/>
        </w:rPr>
        <w:t xml:space="preserve">Op cit. </w:t>
      </w:r>
      <w:r>
        <w:rPr>
          <w:rFonts w:ascii="Times New Roman"/>
          <w:sz w:val="20"/>
        </w:rPr>
        <w:t>P.</w:t>
      </w:r>
      <w:r>
        <w:rPr>
          <w:rFonts w:ascii="Times New Roman"/>
          <w:spacing w:val="8"/>
          <w:sz w:val="20"/>
        </w:rPr>
        <w:t xml:space="preserve"> </w:t>
      </w:r>
      <w:r>
        <w:rPr>
          <w:rFonts w:ascii="Times New Roman"/>
          <w:sz w:val="20"/>
        </w:rPr>
        <w:t>14</w:t>
      </w:r>
    </w:p>
    <w:p w:rsidR="00AE3DD1" w:rsidRDefault="00AE3DD1">
      <w:pPr>
        <w:spacing w:line="243" w:lineRule="exact"/>
        <w:rPr>
          <w:rFonts w:ascii="Times New Roman" w:eastAsia="Times New Roman" w:hAnsi="Times New Roman" w:cs="Times New Roman"/>
          <w:sz w:val="20"/>
          <w:szCs w:val="20"/>
        </w:rPr>
        <w:sectPr w:rsidR="00AE3DD1">
          <w:pgSz w:w="11910" w:h="16840"/>
          <w:pgMar w:top="1340" w:right="1580" w:bottom="280" w:left="1580" w:header="720" w:footer="720" w:gutter="0"/>
          <w:cols w:space="720"/>
        </w:sectPr>
      </w:pPr>
    </w:p>
    <w:p w:rsidR="00AE3DD1" w:rsidRDefault="00125FC6">
      <w:pPr>
        <w:pStyle w:val="Corpodetexto"/>
        <w:spacing w:before="52" w:line="362" w:lineRule="auto"/>
        <w:ind w:right="120"/>
        <w:jc w:val="both"/>
      </w:pPr>
      <w:proofErr w:type="gramStart"/>
      <w:r>
        <w:lastRenderedPageBreak/>
        <w:t>que</w:t>
      </w:r>
      <w:proofErr w:type="gramEnd"/>
      <w:r>
        <w:t xml:space="preserve"> os percentuais apresentados por ambas (12%) são suficientes para tolher o aumento de</w:t>
      </w:r>
      <w:r>
        <w:rPr>
          <w:spacing w:val="-5"/>
        </w:rPr>
        <w:t xml:space="preserve"> </w:t>
      </w:r>
      <w:r>
        <w:t>preços.</w:t>
      </w:r>
    </w:p>
    <w:p w:rsidR="00AE3DD1" w:rsidRDefault="00125FC6">
      <w:pPr>
        <w:pStyle w:val="PargrafodaLista"/>
        <w:numPr>
          <w:ilvl w:val="0"/>
          <w:numId w:val="4"/>
        </w:numPr>
        <w:tabs>
          <w:tab w:val="left" w:pos="830"/>
        </w:tabs>
        <w:spacing w:before="1" w:line="357" w:lineRule="auto"/>
        <w:ind w:right="120" w:firstLine="0"/>
        <w:jc w:val="both"/>
        <w:rPr>
          <w:rFonts w:ascii="Times New Roman" w:eastAsia="Times New Roman" w:hAnsi="Times New Roman" w:cs="Times New Roman"/>
          <w:sz w:val="24"/>
          <w:szCs w:val="24"/>
        </w:rPr>
      </w:pPr>
      <w:r>
        <w:rPr>
          <w:rFonts w:ascii="Times New Roman" w:hAnsi="Times New Roman"/>
          <w:sz w:val="24"/>
        </w:rPr>
        <w:t xml:space="preserve">Utilidade das simulações: são instrumentos capazes de auxiliar </w:t>
      </w:r>
      <w:proofErr w:type="gramStart"/>
      <w:r>
        <w:rPr>
          <w:rFonts w:ascii="Times New Roman" w:hAnsi="Times New Roman"/>
          <w:sz w:val="24"/>
        </w:rPr>
        <w:t>na</w:t>
      </w:r>
      <w:proofErr w:type="gramEnd"/>
      <w:r>
        <w:rPr>
          <w:rFonts w:ascii="Times New Roman" w:hAnsi="Times New Roman"/>
          <w:sz w:val="24"/>
        </w:rPr>
        <w:t xml:space="preserve"> análise antitruste, demonstrando quantitativamente as consequências das concen</w:t>
      </w:r>
      <w:r>
        <w:rPr>
          <w:rFonts w:ascii="Times New Roman" w:hAnsi="Times New Roman"/>
          <w:sz w:val="24"/>
        </w:rPr>
        <w:t xml:space="preserve">trações de empresas. É relevante mencionar que esta análise quantitativa detém um </w:t>
      </w:r>
      <w:proofErr w:type="gramStart"/>
      <w:r>
        <w:rPr>
          <w:rFonts w:ascii="Times New Roman" w:hAnsi="Times New Roman"/>
          <w:sz w:val="24"/>
        </w:rPr>
        <w:t>peso  importante</w:t>
      </w:r>
      <w:proofErr w:type="gramEnd"/>
      <w:r>
        <w:rPr>
          <w:rFonts w:ascii="Times New Roman" w:hAnsi="Times New Roman"/>
          <w:sz w:val="24"/>
        </w:rPr>
        <w:t xml:space="preserve"> na análise das fusões, desde que adequados ao mercado</w:t>
      </w:r>
      <w:r>
        <w:rPr>
          <w:rFonts w:ascii="Times New Roman" w:hAnsi="Times New Roman"/>
          <w:spacing w:val="-10"/>
          <w:sz w:val="24"/>
        </w:rPr>
        <w:t xml:space="preserve"> </w:t>
      </w:r>
      <w:r>
        <w:rPr>
          <w:rFonts w:ascii="Times New Roman" w:hAnsi="Times New Roman"/>
          <w:sz w:val="24"/>
        </w:rPr>
        <w:t>estudado.</w:t>
      </w:r>
    </w:p>
    <w:p w:rsidR="00AE3DD1" w:rsidRDefault="00AE3DD1">
      <w:pPr>
        <w:rPr>
          <w:rFonts w:ascii="Times New Roman" w:eastAsia="Times New Roman" w:hAnsi="Times New Roman" w:cs="Times New Roman"/>
          <w:sz w:val="24"/>
          <w:szCs w:val="24"/>
        </w:rPr>
      </w:pPr>
    </w:p>
    <w:p w:rsidR="00AE3DD1" w:rsidRDefault="00125FC6">
      <w:pPr>
        <w:pStyle w:val="PargrafodaLista"/>
        <w:numPr>
          <w:ilvl w:val="2"/>
          <w:numId w:val="5"/>
        </w:numPr>
        <w:tabs>
          <w:tab w:val="left" w:pos="830"/>
        </w:tabs>
        <w:spacing w:before="146"/>
        <w:jc w:val="both"/>
        <w:rPr>
          <w:rFonts w:ascii="Times New Roman" w:eastAsia="Times New Roman" w:hAnsi="Times New Roman" w:cs="Times New Roman"/>
          <w:sz w:val="24"/>
          <w:szCs w:val="24"/>
        </w:rPr>
      </w:pPr>
      <w:r>
        <w:rPr>
          <w:rFonts w:ascii="Times New Roman" w:hAnsi="Times New Roman"/>
          <w:sz w:val="24"/>
        </w:rPr>
        <w:t>Da inadequação da decisão do</w:t>
      </w:r>
      <w:r>
        <w:rPr>
          <w:rFonts w:ascii="Times New Roman" w:hAnsi="Times New Roman"/>
          <w:spacing w:val="-6"/>
          <w:sz w:val="24"/>
        </w:rPr>
        <w:t xml:space="preserve"> </w:t>
      </w:r>
      <w:r>
        <w:rPr>
          <w:rFonts w:ascii="Times New Roman" w:hAnsi="Times New Roman"/>
          <w:sz w:val="24"/>
        </w:rPr>
        <w:t>CADE</w:t>
      </w:r>
    </w:p>
    <w:p w:rsidR="00AE3DD1" w:rsidRDefault="00125FC6">
      <w:pPr>
        <w:pStyle w:val="PargrafodaLista"/>
        <w:numPr>
          <w:ilvl w:val="0"/>
          <w:numId w:val="4"/>
        </w:numPr>
        <w:tabs>
          <w:tab w:val="left" w:pos="830"/>
        </w:tabs>
        <w:spacing w:before="136" w:line="360" w:lineRule="auto"/>
        <w:ind w:right="114" w:firstLine="0"/>
        <w:jc w:val="both"/>
        <w:rPr>
          <w:rFonts w:ascii="Times New Roman" w:eastAsia="Times New Roman" w:hAnsi="Times New Roman" w:cs="Times New Roman"/>
          <w:sz w:val="24"/>
          <w:szCs w:val="24"/>
        </w:rPr>
      </w:pPr>
      <w:r>
        <w:rPr>
          <w:rFonts w:ascii="Times New Roman" w:hAnsi="Times New Roman"/>
          <w:sz w:val="24"/>
        </w:rPr>
        <w:t>Inexistência de mercados estáticos: conforme mencionado anteriormente, as simulações apresentadas pela Nestlé levavam em consideração mercados estáticos, os quais demonstraram claramente a manutenção dos preços dos produtos após a fusão das empresas. Contu</w:t>
      </w:r>
      <w:r>
        <w:rPr>
          <w:rFonts w:ascii="Times New Roman" w:hAnsi="Times New Roman"/>
          <w:sz w:val="24"/>
        </w:rPr>
        <w:t xml:space="preserve">do, </w:t>
      </w:r>
      <w:proofErr w:type="gramStart"/>
      <w:r>
        <w:rPr>
          <w:rFonts w:ascii="Times New Roman" w:hAnsi="Times New Roman"/>
          <w:sz w:val="24"/>
        </w:rPr>
        <w:t>tais</w:t>
      </w:r>
      <w:proofErr w:type="gramEnd"/>
      <w:r>
        <w:rPr>
          <w:rFonts w:ascii="Times New Roman" w:hAnsi="Times New Roman"/>
          <w:sz w:val="24"/>
        </w:rPr>
        <w:t xml:space="preserve"> simulação não demonstraram necessariamente a realidade do mercado, motivo pelo qual não servem de parâmetro confiável para definir os resultados da concentração ora analisada. O que se vê no caso em questão é </w:t>
      </w:r>
      <w:proofErr w:type="gramStart"/>
      <w:r>
        <w:rPr>
          <w:rFonts w:ascii="Times New Roman" w:hAnsi="Times New Roman"/>
          <w:sz w:val="24"/>
        </w:rPr>
        <w:t>a</w:t>
      </w:r>
      <w:proofErr w:type="gramEnd"/>
      <w:r>
        <w:rPr>
          <w:rFonts w:ascii="Times New Roman" w:hAnsi="Times New Roman"/>
          <w:sz w:val="24"/>
        </w:rPr>
        <w:t xml:space="preserve"> existência de um Oligopólio, antes m</w:t>
      </w:r>
      <w:r>
        <w:rPr>
          <w:rFonts w:ascii="Times New Roman" w:hAnsi="Times New Roman"/>
          <w:sz w:val="24"/>
        </w:rPr>
        <w:t xml:space="preserve">esmo da fusão das empresas, e a tentativa de utilização </w:t>
      </w:r>
      <w:r>
        <w:rPr>
          <w:rFonts w:ascii="Times New Roman" w:hAnsi="Times New Roman"/>
          <w:spacing w:val="2"/>
          <w:sz w:val="24"/>
        </w:rPr>
        <w:t xml:space="preserve">de </w:t>
      </w:r>
      <w:r>
        <w:rPr>
          <w:rFonts w:ascii="Times New Roman" w:hAnsi="Times New Roman"/>
          <w:sz w:val="24"/>
        </w:rPr>
        <w:t>simulações de mercados com concorrências perfeitas a esta estrutura, o que obviamente não se</w:t>
      </w:r>
      <w:r>
        <w:rPr>
          <w:rFonts w:ascii="Times New Roman" w:hAnsi="Times New Roman"/>
          <w:spacing w:val="-4"/>
          <w:sz w:val="24"/>
        </w:rPr>
        <w:t xml:space="preserve"> </w:t>
      </w:r>
      <w:r>
        <w:rPr>
          <w:rFonts w:ascii="Times New Roman" w:hAnsi="Times New Roman"/>
          <w:sz w:val="24"/>
        </w:rPr>
        <w:t>adequa.</w:t>
      </w:r>
    </w:p>
    <w:p w:rsidR="00AE3DD1" w:rsidRDefault="00125FC6">
      <w:pPr>
        <w:pStyle w:val="PargrafodaLista"/>
        <w:numPr>
          <w:ilvl w:val="0"/>
          <w:numId w:val="4"/>
        </w:numPr>
        <w:tabs>
          <w:tab w:val="left" w:pos="830"/>
        </w:tabs>
        <w:spacing w:before="3" w:line="350" w:lineRule="auto"/>
        <w:ind w:right="120" w:firstLine="0"/>
        <w:jc w:val="both"/>
        <w:rPr>
          <w:rFonts w:ascii="Times New Roman" w:eastAsia="Times New Roman" w:hAnsi="Times New Roman" w:cs="Times New Roman"/>
          <w:sz w:val="24"/>
          <w:szCs w:val="24"/>
        </w:rPr>
      </w:pPr>
      <w:r>
        <w:rPr>
          <w:rFonts w:ascii="Times New Roman" w:hAnsi="Times New Roman"/>
          <w:sz w:val="24"/>
        </w:rPr>
        <w:t xml:space="preserve">Adoção do critério do </w:t>
      </w:r>
      <w:r>
        <w:rPr>
          <w:rFonts w:ascii="Times New Roman" w:hAnsi="Times New Roman"/>
          <w:i/>
          <w:sz w:val="24"/>
        </w:rPr>
        <w:t>Price Standard</w:t>
      </w:r>
      <w:r>
        <w:rPr>
          <w:rFonts w:ascii="Times New Roman" w:hAnsi="Times New Roman"/>
          <w:sz w:val="24"/>
        </w:rPr>
        <w:t xml:space="preserve">: </w:t>
      </w:r>
      <w:proofErr w:type="gramStart"/>
      <w:r>
        <w:rPr>
          <w:rFonts w:ascii="Times New Roman" w:hAnsi="Times New Roman"/>
          <w:sz w:val="24"/>
        </w:rPr>
        <w:t>a</w:t>
      </w:r>
      <w:proofErr w:type="gramEnd"/>
      <w:r>
        <w:rPr>
          <w:rFonts w:ascii="Times New Roman" w:hAnsi="Times New Roman"/>
          <w:sz w:val="24"/>
        </w:rPr>
        <w:t xml:space="preserve"> análise do CADE também deu importância para a verificaçã</w:t>
      </w:r>
      <w:r>
        <w:rPr>
          <w:rFonts w:ascii="Times New Roman" w:hAnsi="Times New Roman"/>
          <w:sz w:val="24"/>
        </w:rPr>
        <w:t>o da rivalidade entre as empresas estabelecidas no mercado. De acordo com Guerriero</w:t>
      </w:r>
      <w:r>
        <w:rPr>
          <w:rFonts w:ascii="Times New Roman" w:hAnsi="Times New Roman"/>
          <w:position w:val="11"/>
          <w:sz w:val="16"/>
        </w:rPr>
        <w:t>11</w:t>
      </w:r>
      <w:r>
        <w:rPr>
          <w:rFonts w:ascii="Times New Roman" w:hAnsi="Times New Roman"/>
          <w:sz w:val="24"/>
        </w:rPr>
        <w:t xml:space="preserve">, </w:t>
      </w:r>
      <w:proofErr w:type="gramStart"/>
      <w:r>
        <w:rPr>
          <w:rFonts w:ascii="Times New Roman" w:hAnsi="Times New Roman"/>
          <w:sz w:val="24"/>
        </w:rPr>
        <w:t>tal</w:t>
      </w:r>
      <w:proofErr w:type="gramEnd"/>
      <w:r>
        <w:rPr>
          <w:rFonts w:ascii="Times New Roman" w:hAnsi="Times New Roman"/>
          <w:sz w:val="24"/>
        </w:rPr>
        <w:t xml:space="preserve"> rivalidade deve ser alta para a manutenção da </w:t>
      </w:r>
      <w:r>
        <w:rPr>
          <w:rFonts w:ascii="Times New Roman" w:hAnsi="Times New Roman"/>
          <w:sz w:val="24"/>
        </w:rPr>
        <w:t xml:space="preserve">competição. Afirma ainda que, embora tenha sido adotado </w:t>
      </w:r>
      <w:proofErr w:type="gramStart"/>
      <w:r>
        <w:rPr>
          <w:rFonts w:ascii="Times New Roman" w:hAnsi="Times New Roman"/>
          <w:sz w:val="24"/>
        </w:rPr>
        <w:t>tal</w:t>
      </w:r>
      <w:proofErr w:type="gramEnd"/>
      <w:r>
        <w:rPr>
          <w:rFonts w:ascii="Times New Roman" w:hAnsi="Times New Roman"/>
          <w:sz w:val="24"/>
        </w:rPr>
        <w:t xml:space="preserve"> critério, o Ordenamento Jurídico brasileiro não fazia tal acolhimento, de forma que a Lei Antitruste previa a equiparação entre o excedente do consumidor e o do</w:t>
      </w:r>
      <w:r>
        <w:rPr>
          <w:rFonts w:ascii="Times New Roman" w:hAnsi="Times New Roman"/>
          <w:spacing w:val="-9"/>
          <w:sz w:val="24"/>
        </w:rPr>
        <w:t xml:space="preserve"> </w:t>
      </w:r>
      <w:r>
        <w:rPr>
          <w:rFonts w:ascii="Times New Roman" w:hAnsi="Times New Roman"/>
          <w:sz w:val="24"/>
        </w:rPr>
        <w:t>produtor.</w:t>
      </w:r>
    </w:p>
    <w:p w:rsidR="00AE3DD1" w:rsidRDefault="00125FC6">
      <w:pPr>
        <w:pStyle w:val="PargrafodaLista"/>
        <w:numPr>
          <w:ilvl w:val="0"/>
          <w:numId w:val="4"/>
        </w:numPr>
        <w:tabs>
          <w:tab w:val="left" w:pos="830"/>
        </w:tabs>
        <w:spacing w:line="357" w:lineRule="auto"/>
        <w:ind w:right="114" w:firstLine="0"/>
        <w:jc w:val="both"/>
        <w:rPr>
          <w:rFonts w:ascii="Times New Roman" w:eastAsia="Times New Roman" w:hAnsi="Times New Roman" w:cs="Times New Roman"/>
          <w:sz w:val="24"/>
          <w:szCs w:val="24"/>
        </w:rPr>
      </w:pPr>
      <w:r>
        <w:pict>
          <v:group id="_x0000_s1032" style="position:absolute;left:0;text-align:left;margin-left:85.1pt;margin-top:170.55pt;width:144.05pt;height:.1pt;z-index:251657728;mso-wrap-distance-left:0;mso-wrap-distance-right:0;mso-position-horizontal-relative:page" coordorigin="1702,3411" coordsize="2881,2">
            <v:shape id="_x0000_s1033" style="position:absolute;left:1702;top:3411;width:2881;height:2" coordorigin="1702,3411" coordsize="2881,0" path="m1702,3411r2880,e" filled="f" strokeweight=".72pt">
              <v:path arrowok="t"/>
            </v:shape>
            <w10:wrap type="topAndBottom" anchorx="page"/>
          </v:group>
        </w:pict>
      </w:r>
      <w:r>
        <w:rPr>
          <w:rFonts w:ascii="Times New Roman" w:hAnsi="Times New Roman"/>
          <w:sz w:val="24"/>
        </w:rPr>
        <w:t xml:space="preserve">Nestlé/Garoto X Arcor: </w:t>
      </w:r>
      <w:r>
        <w:rPr>
          <w:rFonts w:ascii="Times New Roman" w:hAnsi="Times New Roman"/>
          <w:sz w:val="24"/>
        </w:rPr>
        <w:t>Conforme afirma o Vogal João Grandino Rodas</w:t>
      </w:r>
      <w:r>
        <w:rPr>
          <w:rFonts w:ascii="Times New Roman" w:hAnsi="Times New Roman"/>
          <w:position w:val="11"/>
          <w:sz w:val="16"/>
        </w:rPr>
        <w:t>12</w:t>
      </w:r>
      <w:r>
        <w:rPr>
          <w:rFonts w:ascii="Times New Roman" w:hAnsi="Times New Roman"/>
          <w:sz w:val="24"/>
        </w:rPr>
        <w:t>, a Arcor apresenta capacidade ociosa pra fazer frente à concorrência da empresa resultante da fusão. Ademais, afirma, com base no modelo de oligopólio de curva de demanda quebrada, que o aumento de preços da Ne</w:t>
      </w:r>
      <w:r>
        <w:rPr>
          <w:rFonts w:ascii="Times New Roman" w:hAnsi="Times New Roman"/>
          <w:sz w:val="24"/>
        </w:rPr>
        <w:t xml:space="preserve">stlé/Garoto não produziria o aumento também dos valores dos produtos da Arcor. A lógica, para ele, é que o aumento de preços da concorrente estimula a outra empresa a manter seus preços para aumentar suas </w:t>
      </w:r>
      <w:proofErr w:type="gramStart"/>
      <w:r>
        <w:rPr>
          <w:rFonts w:ascii="Times New Roman" w:hAnsi="Times New Roman"/>
          <w:sz w:val="24"/>
        </w:rPr>
        <w:t>vendas</w:t>
      </w:r>
      <w:proofErr w:type="gramEnd"/>
      <w:r>
        <w:rPr>
          <w:rFonts w:ascii="Times New Roman" w:hAnsi="Times New Roman"/>
          <w:sz w:val="24"/>
        </w:rPr>
        <w:t xml:space="preserve">. Assim, </w:t>
      </w:r>
      <w:proofErr w:type="gramStart"/>
      <w:r>
        <w:rPr>
          <w:rFonts w:ascii="Times New Roman" w:hAnsi="Times New Roman"/>
          <w:sz w:val="24"/>
        </w:rPr>
        <w:t>tais</w:t>
      </w:r>
      <w:proofErr w:type="gramEnd"/>
      <w:r>
        <w:rPr>
          <w:rFonts w:ascii="Times New Roman" w:hAnsi="Times New Roman"/>
          <w:sz w:val="24"/>
        </w:rPr>
        <w:t xml:space="preserve"> alegações não passariam de espe</w:t>
      </w:r>
      <w:r>
        <w:rPr>
          <w:rFonts w:ascii="Times New Roman" w:hAnsi="Times New Roman"/>
          <w:sz w:val="24"/>
        </w:rPr>
        <w:t>culações, as quais são incapazes de obstar a realização da</w:t>
      </w:r>
      <w:r>
        <w:rPr>
          <w:rFonts w:ascii="Times New Roman" w:hAnsi="Times New Roman"/>
          <w:spacing w:val="-6"/>
          <w:sz w:val="24"/>
        </w:rPr>
        <w:t xml:space="preserve"> </w:t>
      </w:r>
      <w:r>
        <w:rPr>
          <w:rFonts w:ascii="Times New Roman" w:hAnsi="Times New Roman"/>
          <w:sz w:val="24"/>
        </w:rPr>
        <w:t>aquisição.</w:t>
      </w:r>
    </w:p>
    <w:p w:rsidR="00AE3DD1" w:rsidRDefault="00125FC6">
      <w:pPr>
        <w:spacing w:before="39" w:line="257" w:lineRule="exact"/>
        <w:ind w:left="122" w:right="107"/>
        <w:rPr>
          <w:rFonts w:ascii="Times New Roman" w:eastAsia="Times New Roman" w:hAnsi="Times New Roman" w:cs="Times New Roman"/>
          <w:sz w:val="20"/>
          <w:szCs w:val="20"/>
        </w:rPr>
      </w:pPr>
      <w:proofErr w:type="gramStart"/>
      <w:r>
        <w:rPr>
          <w:rFonts w:ascii="Calibri"/>
          <w:position w:val="10"/>
          <w:sz w:val="13"/>
        </w:rPr>
        <w:t>11</w:t>
      </w:r>
      <w:proofErr w:type="gramEnd"/>
      <w:r>
        <w:rPr>
          <w:rFonts w:ascii="Calibri"/>
          <w:position w:val="10"/>
          <w:sz w:val="13"/>
        </w:rPr>
        <w:t xml:space="preserve"> </w:t>
      </w:r>
      <w:r>
        <w:rPr>
          <w:rFonts w:ascii="Times New Roman"/>
          <w:sz w:val="20"/>
        </w:rPr>
        <w:t xml:space="preserve">GUERRIERO, Ian Ramalho. </w:t>
      </w:r>
      <w:r>
        <w:rPr>
          <w:rFonts w:ascii="Times New Roman"/>
          <w:b/>
          <w:i/>
          <w:sz w:val="20"/>
        </w:rPr>
        <w:t xml:space="preserve">Op cit. </w:t>
      </w:r>
      <w:r>
        <w:rPr>
          <w:rFonts w:ascii="Times New Roman"/>
          <w:sz w:val="20"/>
        </w:rPr>
        <w:t>P.</w:t>
      </w:r>
      <w:r>
        <w:rPr>
          <w:rFonts w:ascii="Times New Roman"/>
          <w:spacing w:val="4"/>
          <w:sz w:val="20"/>
        </w:rPr>
        <w:t xml:space="preserve"> </w:t>
      </w:r>
      <w:r>
        <w:rPr>
          <w:rFonts w:ascii="Times New Roman"/>
          <w:sz w:val="20"/>
        </w:rPr>
        <w:t>16</w:t>
      </w:r>
    </w:p>
    <w:p w:rsidR="00AE3DD1" w:rsidRDefault="00125FC6">
      <w:pPr>
        <w:spacing w:before="17" w:line="230" w:lineRule="exact"/>
        <w:ind w:left="122" w:right="107"/>
        <w:rPr>
          <w:rFonts w:ascii="Times New Roman" w:eastAsia="Times New Roman" w:hAnsi="Times New Roman" w:cs="Times New Roman"/>
          <w:sz w:val="20"/>
          <w:szCs w:val="20"/>
        </w:rPr>
      </w:pPr>
      <w:proofErr w:type="gramStart"/>
      <w:r>
        <w:rPr>
          <w:rFonts w:ascii="Times New Roman" w:hAnsi="Times New Roman"/>
          <w:position w:val="9"/>
          <w:sz w:val="13"/>
        </w:rPr>
        <w:t>12</w:t>
      </w:r>
      <w:proofErr w:type="gramEnd"/>
      <w:r>
        <w:rPr>
          <w:rFonts w:ascii="Times New Roman" w:hAnsi="Times New Roman"/>
          <w:position w:val="9"/>
          <w:sz w:val="13"/>
        </w:rPr>
        <w:t xml:space="preserve"> </w:t>
      </w:r>
      <w:r>
        <w:rPr>
          <w:rFonts w:ascii="Times New Roman" w:hAnsi="Times New Roman"/>
          <w:sz w:val="20"/>
        </w:rPr>
        <w:t xml:space="preserve">RODAS, João Grandino. Voto Vogal. </w:t>
      </w:r>
      <w:r>
        <w:rPr>
          <w:rFonts w:ascii="Times New Roman" w:hAnsi="Times New Roman"/>
          <w:b/>
          <w:sz w:val="20"/>
        </w:rPr>
        <w:t xml:space="preserve">Ato de Concentração nº 08012.001697/2002-89. </w:t>
      </w:r>
      <w:r>
        <w:rPr>
          <w:rFonts w:ascii="Times New Roman" w:hAnsi="Times New Roman"/>
          <w:sz w:val="20"/>
        </w:rPr>
        <w:t xml:space="preserve">CADE. Disponível em: </w:t>
      </w:r>
      <w:hyperlink r:id="rId8">
        <w:r>
          <w:rPr>
            <w:rFonts w:ascii="Times New Roman" w:hAnsi="Times New Roman"/>
            <w:sz w:val="20"/>
          </w:rPr>
          <w:t>&lt;http://www.cade.gov.br/Default.aspx?e142c252a3798dadb8</w:t>
        </w:r>
      </w:hyperlink>
      <w:r>
        <w:rPr>
          <w:rFonts w:ascii="Times New Roman" w:hAnsi="Times New Roman"/>
          <w:sz w:val="20"/>
        </w:rPr>
        <w:t xml:space="preserve">&gt;. Acesso em: </w:t>
      </w:r>
      <w:proofErr w:type="gramStart"/>
      <w:r>
        <w:rPr>
          <w:rFonts w:ascii="Times New Roman" w:hAnsi="Times New Roman"/>
          <w:sz w:val="20"/>
        </w:rPr>
        <w:t>20 de</w:t>
      </w:r>
      <w:proofErr w:type="gramEnd"/>
      <w:r>
        <w:rPr>
          <w:rFonts w:ascii="Times New Roman" w:hAnsi="Times New Roman"/>
          <w:sz w:val="20"/>
        </w:rPr>
        <w:t xml:space="preserve"> setembro de 2014. P.</w:t>
      </w:r>
      <w:r>
        <w:rPr>
          <w:rFonts w:ascii="Times New Roman" w:hAnsi="Times New Roman"/>
          <w:spacing w:val="-4"/>
          <w:sz w:val="20"/>
        </w:rPr>
        <w:t xml:space="preserve"> </w:t>
      </w:r>
      <w:r>
        <w:rPr>
          <w:rFonts w:ascii="Times New Roman" w:hAnsi="Times New Roman"/>
          <w:sz w:val="20"/>
        </w:rPr>
        <w:t>5.228</w:t>
      </w:r>
    </w:p>
    <w:p w:rsidR="00AE3DD1" w:rsidRDefault="00AE3DD1">
      <w:pPr>
        <w:spacing w:line="230" w:lineRule="exact"/>
        <w:rPr>
          <w:rFonts w:ascii="Times New Roman" w:eastAsia="Times New Roman" w:hAnsi="Times New Roman" w:cs="Times New Roman"/>
          <w:sz w:val="20"/>
          <w:szCs w:val="20"/>
        </w:rPr>
        <w:sectPr w:rsidR="00AE3DD1">
          <w:pgSz w:w="11910" w:h="16840"/>
          <w:pgMar w:top="1340" w:right="1580" w:bottom="280" w:left="1580" w:header="720" w:footer="720" w:gutter="0"/>
          <w:cols w:space="720"/>
        </w:sectPr>
      </w:pPr>
    </w:p>
    <w:p w:rsidR="00AE3DD1" w:rsidRDefault="00125FC6">
      <w:pPr>
        <w:pStyle w:val="PargrafodaLista"/>
        <w:numPr>
          <w:ilvl w:val="0"/>
          <w:numId w:val="4"/>
        </w:numPr>
        <w:tabs>
          <w:tab w:val="left" w:pos="830"/>
        </w:tabs>
        <w:spacing w:before="31" w:line="348" w:lineRule="auto"/>
        <w:ind w:right="120" w:firstLine="0"/>
        <w:jc w:val="both"/>
        <w:rPr>
          <w:rFonts w:ascii="Times New Roman" w:eastAsia="Times New Roman" w:hAnsi="Times New Roman" w:cs="Times New Roman"/>
          <w:sz w:val="24"/>
          <w:szCs w:val="24"/>
        </w:rPr>
      </w:pPr>
      <w:r>
        <w:rPr>
          <w:rFonts w:ascii="Times New Roman" w:hAnsi="Times New Roman"/>
          <w:sz w:val="24"/>
        </w:rPr>
        <w:lastRenderedPageBreak/>
        <w:t>Mercado dos chocolates sob todas as formas: o Vogal afirma que o percentual de concentração de 58% por parte</w:t>
      </w:r>
      <w:r>
        <w:rPr>
          <w:rFonts w:ascii="Times New Roman" w:hAnsi="Times New Roman"/>
          <w:sz w:val="24"/>
        </w:rPr>
        <w:t xml:space="preserve"> da Nestlé/Garoto não seria suficiente para impedir a operação de fusão, uma vez que o próprio CADE já aprovou outras concentrações com percentuais de até 80%, como no caso da</w:t>
      </w:r>
      <w:r>
        <w:rPr>
          <w:rFonts w:ascii="Times New Roman" w:hAnsi="Times New Roman"/>
          <w:spacing w:val="-3"/>
          <w:sz w:val="24"/>
        </w:rPr>
        <w:t xml:space="preserve"> </w:t>
      </w:r>
      <w:r>
        <w:rPr>
          <w:rFonts w:ascii="Times New Roman" w:hAnsi="Times New Roman"/>
          <w:sz w:val="24"/>
        </w:rPr>
        <w:t>Bauducco-Visconti</w:t>
      </w:r>
      <w:r>
        <w:rPr>
          <w:rFonts w:ascii="Times New Roman" w:hAnsi="Times New Roman"/>
          <w:position w:val="11"/>
          <w:sz w:val="16"/>
        </w:rPr>
        <w:t>13</w:t>
      </w:r>
      <w:r>
        <w:rPr>
          <w:rFonts w:ascii="Times New Roman" w:hAnsi="Times New Roman"/>
          <w:sz w:val="24"/>
        </w:rPr>
        <w:t>.</w:t>
      </w:r>
    </w:p>
    <w:p w:rsidR="00AE3DD1" w:rsidRDefault="00125FC6">
      <w:pPr>
        <w:pStyle w:val="PargrafodaLista"/>
        <w:numPr>
          <w:ilvl w:val="0"/>
          <w:numId w:val="4"/>
        </w:numPr>
        <w:tabs>
          <w:tab w:val="left" w:pos="830"/>
        </w:tabs>
        <w:spacing w:before="1" w:line="352" w:lineRule="auto"/>
        <w:ind w:right="120" w:firstLine="0"/>
        <w:jc w:val="both"/>
        <w:rPr>
          <w:rFonts w:ascii="Times New Roman" w:eastAsia="Times New Roman" w:hAnsi="Times New Roman" w:cs="Times New Roman"/>
          <w:sz w:val="24"/>
          <w:szCs w:val="24"/>
        </w:rPr>
      </w:pPr>
      <w:r>
        <w:rPr>
          <w:rFonts w:ascii="Times New Roman" w:hAnsi="Times New Roman"/>
          <w:sz w:val="24"/>
        </w:rPr>
        <w:t xml:space="preserve">Barreiras à entrada de novas concorrentes: O Vogal sustenta que </w:t>
      </w:r>
      <w:proofErr w:type="gramStart"/>
      <w:r>
        <w:rPr>
          <w:rFonts w:ascii="Times New Roman" w:hAnsi="Times New Roman"/>
          <w:sz w:val="24"/>
        </w:rPr>
        <w:t>tal</w:t>
      </w:r>
      <w:proofErr w:type="gramEnd"/>
      <w:r>
        <w:rPr>
          <w:rFonts w:ascii="Times New Roman" w:hAnsi="Times New Roman"/>
          <w:sz w:val="24"/>
        </w:rPr>
        <w:t xml:space="preserve"> fator é preponderante na inibição do exercício de poder de mercado das empresas fusionadas. Critica o exposto pelo Relator quando aborda a entrada de multinacionais no mercado analisado, a</w:t>
      </w:r>
      <w:r>
        <w:rPr>
          <w:rFonts w:ascii="Times New Roman" w:hAnsi="Times New Roman"/>
          <w:sz w:val="24"/>
        </w:rPr>
        <w:t xml:space="preserve">firmando que se </w:t>
      </w:r>
      <w:proofErr w:type="gramStart"/>
      <w:r>
        <w:rPr>
          <w:rFonts w:ascii="Times New Roman" w:hAnsi="Times New Roman"/>
          <w:sz w:val="24"/>
        </w:rPr>
        <w:t>tais</w:t>
      </w:r>
      <w:proofErr w:type="gramEnd"/>
      <w:r>
        <w:rPr>
          <w:rFonts w:ascii="Times New Roman" w:hAnsi="Times New Roman"/>
          <w:sz w:val="24"/>
        </w:rPr>
        <w:t xml:space="preserve"> barreiras fossem tão elevadas, as multinacionais não teriam conseguido entrar no mercado e que a substituição de marcas por parte das empresas estabelecidas no setor não significa a existência de tais</w:t>
      </w:r>
      <w:r>
        <w:rPr>
          <w:rFonts w:ascii="Times New Roman" w:hAnsi="Times New Roman"/>
          <w:spacing w:val="-5"/>
          <w:sz w:val="24"/>
        </w:rPr>
        <w:t xml:space="preserve"> </w:t>
      </w:r>
      <w:r>
        <w:rPr>
          <w:rFonts w:ascii="Times New Roman" w:hAnsi="Times New Roman"/>
          <w:sz w:val="24"/>
        </w:rPr>
        <w:t>barreiras</w:t>
      </w:r>
      <w:r>
        <w:rPr>
          <w:rFonts w:ascii="Times New Roman" w:hAnsi="Times New Roman"/>
          <w:position w:val="11"/>
          <w:sz w:val="16"/>
        </w:rPr>
        <w:t>14</w:t>
      </w:r>
      <w:r>
        <w:rPr>
          <w:rFonts w:ascii="Times New Roman" w:hAnsi="Times New Roman"/>
          <w:sz w:val="24"/>
        </w:rPr>
        <w:t>.</w:t>
      </w:r>
    </w:p>
    <w:p w:rsidR="00AE3DD1" w:rsidRDefault="00125FC6">
      <w:pPr>
        <w:pStyle w:val="PargrafodaLista"/>
        <w:numPr>
          <w:ilvl w:val="0"/>
          <w:numId w:val="4"/>
        </w:numPr>
        <w:tabs>
          <w:tab w:val="left" w:pos="830"/>
        </w:tabs>
        <w:spacing w:line="352" w:lineRule="auto"/>
        <w:ind w:right="11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Critério de descarte das eficiências: o descarte de critérios inúteis de eficiência é algo concebível, haja vista sua desnecessidade para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análise do caso concreto. Todavia, conforme se percebe no voto do vogal</w:t>
      </w:r>
      <w:r>
        <w:rPr>
          <w:rFonts w:ascii="Times New Roman" w:eastAsia="Times New Roman" w:hAnsi="Times New Roman" w:cs="Times New Roman"/>
          <w:position w:val="11"/>
          <w:sz w:val="16"/>
          <w:szCs w:val="16"/>
        </w:rPr>
        <w:t>15</w:t>
      </w:r>
      <w:r>
        <w:rPr>
          <w:rFonts w:ascii="Times New Roman" w:eastAsia="Times New Roman" w:hAnsi="Times New Roman" w:cs="Times New Roman"/>
          <w:sz w:val="24"/>
          <w:szCs w:val="24"/>
        </w:rPr>
        <w:t>, o critério utilizado pelo CADE não condiz</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com </w:t>
      </w:r>
      <w:r>
        <w:rPr>
          <w:rFonts w:ascii="Times New Roman" w:eastAsia="Times New Roman" w:hAnsi="Times New Roman" w:cs="Times New Roman"/>
          <w:sz w:val="24"/>
          <w:szCs w:val="24"/>
        </w:rPr>
        <w:t>o adotado pela Lei 8.884, art. 54,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º, o qual assenta que as eficiências devem decorrer do ato, no caso, da fusão, e não dos envolvidos nele. Para ele, o Relator sobrepôs as legislações internacionais às </w:t>
      </w:r>
      <w:proofErr w:type="gramStart"/>
      <w:r>
        <w:rPr>
          <w:rFonts w:ascii="Times New Roman" w:eastAsia="Times New Roman" w:hAnsi="Times New Roman" w:cs="Times New Roman"/>
          <w:sz w:val="24"/>
          <w:szCs w:val="24"/>
        </w:rPr>
        <w:t>normas</w:t>
      </w:r>
      <w:proofErr w:type="gramEnd"/>
      <w:r>
        <w:rPr>
          <w:rFonts w:ascii="Times New Roman" w:eastAsia="Times New Roman" w:hAnsi="Times New Roman" w:cs="Times New Roman"/>
          <w:sz w:val="24"/>
          <w:szCs w:val="24"/>
        </w:rPr>
        <w:t xml:space="preserve"> brasileiras ao dar relevância maior aos</w:t>
      </w:r>
      <w:r>
        <w:rPr>
          <w:rFonts w:ascii="Times New Roman" w:eastAsia="Times New Roman" w:hAnsi="Times New Roman" w:cs="Times New Roman"/>
          <w:sz w:val="24"/>
          <w:szCs w:val="24"/>
        </w:rPr>
        <w:t xml:space="preserve"> agentes envolvidos na fusão. Segundo o mencionado artigo, uma vez demonstrada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eficiência da fusão neste caso concreto, esta deveria ser automaticamente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autorizada.</w:t>
      </w:r>
    </w:p>
    <w:p w:rsidR="00AE3DD1" w:rsidRDefault="00125FC6">
      <w:pPr>
        <w:pStyle w:val="PargrafodaLista"/>
        <w:numPr>
          <w:ilvl w:val="0"/>
          <w:numId w:val="4"/>
        </w:numPr>
        <w:tabs>
          <w:tab w:val="left" w:pos="830"/>
        </w:tabs>
        <w:spacing w:before="14" w:line="357" w:lineRule="auto"/>
        <w:ind w:right="11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Competência do CADE e limites de atuação: a Lei 8.884 prevê, nos casos de concentração, q</w:t>
      </w:r>
      <w:r>
        <w:rPr>
          <w:rFonts w:ascii="Times New Roman" w:eastAsia="Times New Roman" w:hAnsi="Times New Roman" w:cs="Times New Roman"/>
          <w:sz w:val="24"/>
          <w:szCs w:val="24"/>
        </w:rPr>
        <w:t xml:space="preserve">ue o CADE poderá exercer seu controle, </w:t>
      </w:r>
      <w:proofErr w:type="gramStart"/>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dispõe o art. 54, §§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º e 9º. Todavia,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controle deve ser feito de forma limitada. Nos casos de desaprovação total ou parcial, sustenta o Vogal que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inexistência de limites para esta atuação infringe o dispo</w:t>
      </w:r>
      <w:r>
        <w:rPr>
          <w:rFonts w:ascii="Times New Roman" w:eastAsia="Times New Roman" w:hAnsi="Times New Roman" w:cs="Times New Roman"/>
          <w:sz w:val="24"/>
          <w:szCs w:val="24"/>
        </w:rPr>
        <w:t xml:space="preserve">sto na carta constitucional, art. </w:t>
      </w:r>
      <w:proofErr w:type="gramStart"/>
      <w:r>
        <w:rPr>
          <w:rFonts w:ascii="Times New Roman" w:eastAsia="Times New Roman" w:hAnsi="Times New Roman" w:cs="Times New Roman"/>
          <w:sz w:val="24"/>
          <w:szCs w:val="24"/>
        </w:rPr>
        <w:t>170</w:t>
      </w:r>
      <w:proofErr w:type="gramEnd"/>
      <w:r>
        <w:rPr>
          <w:rFonts w:ascii="Times New Roman" w:eastAsia="Times New Roman" w:hAnsi="Times New Roman" w:cs="Times New Roman"/>
          <w:sz w:val="24"/>
          <w:szCs w:val="24"/>
        </w:rPr>
        <w:t>, o qual prevê a livre concorrência e iniciativa, prezando pelo trabalho humano e a justiça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social.</w:t>
      </w:r>
    </w:p>
    <w:p w:rsidR="00AE3DD1" w:rsidRDefault="00125FC6">
      <w:pPr>
        <w:pStyle w:val="PargrafodaLista"/>
        <w:numPr>
          <w:ilvl w:val="0"/>
          <w:numId w:val="4"/>
        </w:numPr>
        <w:tabs>
          <w:tab w:val="left" w:pos="830"/>
        </w:tabs>
        <w:spacing w:before="8" w:line="357" w:lineRule="auto"/>
        <w:ind w:right="11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Incompetência do CADE para determinar a desconstituição dos atos de concentração: a mesma lei, no seu art. 54,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º, cit</w:t>
      </w:r>
      <w:r>
        <w:rPr>
          <w:rFonts w:ascii="Times New Roman" w:eastAsia="Times New Roman" w:hAnsi="Times New Roman" w:cs="Times New Roman"/>
          <w:sz w:val="24"/>
          <w:szCs w:val="24"/>
        </w:rPr>
        <w:t>a a possibilidade de desconstituição de atos, todavia não dispõe sobre a competência do CADE nestes casos. Ademais</w:t>
      </w:r>
      <w:proofErr w:type="gramStart"/>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mesma lei prevê que a não aprovação e consequente “condenação” à desconstituição de atos não supõe o desfazimento de sua totalidade, mas </w:t>
      </w:r>
      <w:r>
        <w:rPr>
          <w:rFonts w:ascii="Times New Roman" w:eastAsia="Times New Roman" w:hAnsi="Times New Roman" w:cs="Times New Roman"/>
          <w:sz w:val="24"/>
          <w:szCs w:val="24"/>
        </w:rPr>
        <w:t>somente do que for necessário para diminuição dos efeitos nefastos à</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economia.</w:t>
      </w:r>
    </w:p>
    <w:p w:rsidR="00AE3DD1" w:rsidRDefault="00AE3DD1">
      <w:pPr>
        <w:rPr>
          <w:rFonts w:ascii="Times New Roman" w:eastAsia="Times New Roman" w:hAnsi="Times New Roman" w:cs="Times New Roman"/>
          <w:sz w:val="20"/>
          <w:szCs w:val="20"/>
        </w:rPr>
      </w:pPr>
    </w:p>
    <w:p w:rsidR="00AE3DD1" w:rsidRDefault="00AE3DD1">
      <w:pPr>
        <w:rPr>
          <w:rFonts w:ascii="Times New Roman" w:eastAsia="Times New Roman" w:hAnsi="Times New Roman" w:cs="Times New Roman"/>
          <w:sz w:val="20"/>
          <w:szCs w:val="20"/>
        </w:rPr>
      </w:pPr>
    </w:p>
    <w:p w:rsidR="00AE3DD1" w:rsidRDefault="00125FC6">
      <w:pPr>
        <w:spacing w:before="8"/>
        <w:rPr>
          <w:rFonts w:ascii="Times New Roman" w:eastAsia="Times New Roman" w:hAnsi="Times New Roman" w:cs="Times New Roman"/>
          <w:sz w:val="19"/>
          <w:szCs w:val="19"/>
        </w:rPr>
      </w:pPr>
      <w:r>
        <w:pict>
          <v:group id="_x0000_s1030" style="position:absolute;margin-left:85.1pt;margin-top:12.65pt;width:144.05pt;height:.1pt;z-index:251658752;mso-wrap-distance-left:0;mso-wrap-distance-right:0;mso-position-horizontal-relative:page" coordorigin="1702,253" coordsize="2881,2">
            <v:shape id="_x0000_s1031" style="position:absolute;left:1702;top:253;width:2881;height:2" coordorigin="1702,253" coordsize="2881,0" path="m1702,253r2880,e" filled="f" strokeweight=".72pt">
              <v:path arrowok="t"/>
            </v:shape>
            <w10:wrap type="topAndBottom" anchorx="page"/>
          </v:group>
        </w:pict>
      </w:r>
    </w:p>
    <w:p w:rsidR="00AE3DD1" w:rsidRDefault="00125FC6">
      <w:pPr>
        <w:spacing w:before="70" w:line="230" w:lineRule="exact"/>
        <w:ind w:left="122" w:right="5134"/>
        <w:jc w:val="both"/>
        <w:rPr>
          <w:rFonts w:ascii="Times New Roman" w:eastAsia="Times New Roman" w:hAnsi="Times New Roman" w:cs="Times New Roman"/>
          <w:sz w:val="20"/>
          <w:szCs w:val="20"/>
        </w:rPr>
      </w:pPr>
      <w:proofErr w:type="gramStart"/>
      <w:r>
        <w:rPr>
          <w:rFonts w:ascii="Times New Roman" w:hAnsi="Times New Roman"/>
          <w:position w:val="9"/>
          <w:sz w:val="13"/>
        </w:rPr>
        <w:t>13</w:t>
      </w:r>
      <w:proofErr w:type="gramEnd"/>
      <w:r>
        <w:rPr>
          <w:rFonts w:ascii="Times New Roman" w:hAnsi="Times New Roman"/>
          <w:position w:val="9"/>
          <w:sz w:val="13"/>
        </w:rPr>
        <w:t xml:space="preserve"> </w:t>
      </w:r>
      <w:r>
        <w:rPr>
          <w:rFonts w:ascii="Times New Roman" w:hAnsi="Times New Roman"/>
          <w:sz w:val="20"/>
        </w:rPr>
        <w:t xml:space="preserve">RODAS, João Grandino. </w:t>
      </w:r>
      <w:r>
        <w:rPr>
          <w:rFonts w:ascii="Times New Roman" w:hAnsi="Times New Roman"/>
          <w:b/>
          <w:i/>
          <w:sz w:val="20"/>
        </w:rPr>
        <w:t xml:space="preserve">Op cit. </w:t>
      </w:r>
      <w:r>
        <w:rPr>
          <w:rFonts w:ascii="Times New Roman" w:hAnsi="Times New Roman"/>
          <w:sz w:val="20"/>
        </w:rPr>
        <w:t xml:space="preserve">P. 5.230 </w:t>
      </w:r>
      <w:r>
        <w:rPr>
          <w:rFonts w:ascii="Times New Roman" w:hAnsi="Times New Roman"/>
          <w:position w:val="9"/>
          <w:sz w:val="13"/>
        </w:rPr>
        <w:t xml:space="preserve">14 </w:t>
      </w:r>
      <w:r>
        <w:rPr>
          <w:rFonts w:ascii="Times New Roman" w:hAnsi="Times New Roman"/>
          <w:sz w:val="20"/>
        </w:rPr>
        <w:t xml:space="preserve">RODAS, João Grandino. </w:t>
      </w:r>
      <w:r>
        <w:rPr>
          <w:rFonts w:ascii="Times New Roman" w:hAnsi="Times New Roman"/>
          <w:b/>
          <w:i/>
          <w:sz w:val="20"/>
        </w:rPr>
        <w:t xml:space="preserve">Op cit. </w:t>
      </w:r>
      <w:r>
        <w:rPr>
          <w:rFonts w:ascii="Times New Roman" w:hAnsi="Times New Roman"/>
          <w:sz w:val="20"/>
        </w:rPr>
        <w:t xml:space="preserve">P. 5.230 </w:t>
      </w:r>
      <w:r>
        <w:rPr>
          <w:rFonts w:ascii="Times New Roman" w:hAnsi="Times New Roman"/>
          <w:position w:val="9"/>
          <w:sz w:val="13"/>
        </w:rPr>
        <w:t xml:space="preserve">15 </w:t>
      </w:r>
      <w:r>
        <w:rPr>
          <w:rFonts w:ascii="Times New Roman" w:hAnsi="Times New Roman"/>
          <w:sz w:val="20"/>
        </w:rPr>
        <w:t xml:space="preserve">RODAS, João Grandino. </w:t>
      </w:r>
      <w:r>
        <w:rPr>
          <w:rFonts w:ascii="Times New Roman" w:hAnsi="Times New Roman"/>
          <w:b/>
          <w:i/>
          <w:sz w:val="20"/>
        </w:rPr>
        <w:t xml:space="preserve">Op cit. </w:t>
      </w:r>
      <w:r>
        <w:rPr>
          <w:rFonts w:ascii="Times New Roman" w:hAnsi="Times New Roman"/>
          <w:sz w:val="20"/>
        </w:rPr>
        <w:t>P.</w:t>
      </w:r>
      <w:r>
        <w:rPr>
          <w:rFonts w:ascii="Times New Roman" w:hAnsi="Times New Roman"/>
          <w:spacing w:val="10"/>
          <w:sz w:val="20"/>
        </w:rPr>
        <w:t xml:space="preserve"> </w:t>
      </w:r>
      <w:r>
        <w:rPr>
          <w:rFonts w:ascii="Times New Roman" w:hAnsi="Times New Roman"/>
          <w:sz w:val="20"/>
        </w:rPr>
        <w:t>5.232</w:t>
      </w:r>
    </w:p>
    <w:p w:rsidR="00AE3DD1" w:rsidRDefault="00AE3DD1">
      <w:pPr>
        <w:spacing w:line="230" w:lineRule="exact"/>
        <w:jc w:val="both"/>
        <w:rPr>
          <w:rFonts w:ascii="Times New Roman" w:eastAsia="Times New Roman" w:hAnsi="Times New Roman" w:cs="Times New Roman"/>
          <w:sz w:val="20"/>
          <w:szCs w:val="20"/>
        </w:rPr>
        <w:sectPr w:rsidR="00AE3DD1">
          <w:pgSz w:w="11910" w:h="16840"/>
          <w:pgMar w:top="1360" w:right="1580" w:bottom="280" w:left="1580" w:header="720" w:footer="720" w:gutter="0"/>
          <w:cols w:space="720"/>
        </w:sectPr>
      </w:pPr>
    </w:p>
    <w:p w:rsidR="00AE3DD1" w:rsidRDefault="00125FC6">
      <w:pPr>
        <w:pStyle w:val="PargrafodaLista"/>
        <w:numPr>
          <w:ilvl w:val="0"/>
          <w:numId w:val="4"/>
        </w:numPr>
        <w:tabs>
          <w:tab w:val="left" w:pos="830"/>
        </w:tabs>
        <w:spacing w:before="31" w:line="352" w:lineRule="auto"/>
        <w:ind w:right="120" w:firstLine="0"/>
        <w:rPr>
          <w:rFonts w:ascii="Times New Roman" w:eastAsia="Times New Roman" w:hAnsi="Times New Roman" w:cs="Times New Roman"/>
          <w:sz w:val="24"/>
          <w:szCs w:val="24"/>
        </w:rPr>
      </w:pPr>
      <w:r>
        <w:rPr>
          <w:rFonts w:ascii="Times New Roman" w:hAnsi="Times New Roman"/>
          <w:sz w:val="24"/>
        </w:rPr>
        <w:lastRenderedPageBreak/>
        <w:t>Desnecessidade do CADE no controle da economia: André Luiz Santa Cruz Ramos defende</w:t>
      </w:r>
      <w:r>
        <w:rPr>
          <w:rFonts w:ascii="Times New Roman" w:hAnsi="Times New Roman"/>
          <w:spacing w:val="-5"/>
          <w:sz w:val="24"/>
        </w:rPr>
        <w:t xml:space="preserve"> </w:t>
      </w:r>
      <w:r>
        <w:rPr>
          <w:rFonts w:ascii="Times New Roman" w:hAnsi="Times New Roman"/>
          <w:sz w:val="24"/>
        </w:rPr>
        <w:t>que:</w:t>
      </w:r>
    </w:p>
    <w:p w:rsidR="00AE3DD1" w:rsidRDefault="00AE3DD1">
      <w:pPr>
        <w:spacing w:before="11"/>
        <w:rPr>
          <w:rFonts w:ascii="Times New Roman" w:eastAsia="Times New Roman" w:hAnsi="Times New Roman" w:cs="Times New Roman"/>
          <w:sz w:val="30"/>
          <w:szCs w:val="30"/>
        </w:rPr>
      </w:pPr>
    </w:p>
    <w:p w:rsidR="00AE3DD1" w:rsidRDefault="00125FC6">
      <w:pPr>
        <w:spacing w:line="352" w:lineRule="auto"/>
        <w:ind w:left="2390" w:right="12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“Numa economia de livre mercado genuíno, é absolutamente desnecessária a existência de um órgão antitruste, razão pela qual o CADE deveria ser extinto, e não reformul</w:t>
      </w:r>
      <w:r>
        <w:rPr>
          <w:rFonts w:ascii="Times New Roman" w:eastAsia="Times New Roman" w:hAnsi="Times New Roman" w:cs="Times New Roman"/>
          <w:sz w:val="20"/>
          <w:szCs w:val="20"/>
        </w:rPr>
        <w:t>ado por uma lei [Lei 12.529] que lhe deu ainda mais poder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para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perseguir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empresas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„planejar‟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economia”</w:t>
      </w:r>
      <w:r>
        <w:rPr>
          <w:rFonts w:ascii="Times New Roman" w:eastAsia="Times New Roman" w:hAnsi="Times New Roman" w:cs="Times New Roman"/>
          <w:position w:val="9"/>
          <w:sz w:val="13"/>
          <w:szCs w:val="13"/>
        </w:rPr>
        <w:t>16</w:t>
      </w:r>
      <w:r>
        <w:rPr>
          <w:rFonts w:ascii="Times New Roman" w:eastAsia="Times New Roman" w:hAnsi="Times New Roman" w:cs="Times New Roman"/>
          <w:sz w:val="20"/>
          <w:szCs w:val="20"/>
        </w:rPr>
        <w:t>.</w:t>
      </w:r>
    </w:p>
    <w:p w:rsidR="00AE3DD1" w:rsidRDefault="00AE3DD1">
      <w:pPr>
        <w:spacing w:before="9"/>
        <w:rPr>
          <w:rFonts w:ascii="Times New Roman" w:eastAsia="Times New Roman" w:hAnsi="Times New Roman" w:cs="Times New Roman"/>
          <w:sz w:val="29"/>
          <w:szCs w:val="29"/>
        </w:rPr>
      </w:pPr>
    </w:p>
    <w:p w:rsidR="00AE3DD1" w:rsidRDefault="00125FC6">
      <w:pPr>
        <w:pStyle w:val="PargrafodaLista"/>
        <w:numPr>
          <w:ilvl w:val="0"/>
          <w:numId w:val="4"/>
        </w:numPr>
        <w:tabs>
          <w:tab w:val="left" w:pos="830"/>
        </w:tabs>
        <w:spacing w:line="352" w:lineRule="auto"/>
        <w:ind w:right="120" w:firstLine="0"/>
        <w:rPr>
          <w:rFonts w:ascii="Times New Roman" w:eastAsia="Times New Roman" w:hAnsi="Times New Roman" w:cs="Times New Roman"/>
          <w:sz w:val="24"/>
          <w:szCs w:val="24"/>
        </w:rPr>
      </w:pPr>
      <w:r>
        <w:rPr>
          <w:rFonts w:ascii="Times New Roman" w:hAnsi="Times New Roman"/>
          <w:sz w:val="24"/>
        </w:rPr>
        <w:t>Problema do controle antitruste: o mencionado autor defende que estes problemas são suficientes para a extinção do</w:t>
      </w:r>
      <w:r>
        <w:rPr>
          <w:rFonts w:ascii="Times New Roman" w:hAnsi="Times New Roman"/>
          <w:spacing w:val="-6"/>
          <w:sz w:val="24"/>
        </w:rPr>
        <w:t xml:space="preserve"> </w:t>
      </w:r>
      <w:r>
        <w:rPr>
          <w:rFonts w:ascii="Times New Roman" w:hAnsi="Times New Roman"/>
          <w:sz w:val="24"/>
        </w:rPr>
        <w:t>CADE:</w:t>
      </w:r>
    </w:p>
    <w:p w:rsidR="00AE3DD1" w:rsidRDefault="00AE3DD1">
      <w:pPr>
        <w:spacing w:before="1"/>
        <w:rPr>
          <w:rFonts w:ascii="Times New Roman" w:eastAsia="Times New Roman" w:hAnsi="Times New Roman" w:cs="Times New Roman"/>
          <w:sz w:val="31"/>
          <w:szCs w:val="31"/>
        </w:rPr>
      </w:pPr>
    </w:p>
    <w:p w:rsidR="00AE3DD1" w:rsidRDefault="00125FC6">
      <w:pPr>
        <w:spacing w:line="355" w:lineRule="auto"/>
        <w:ind w:left="2390" w:right="11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 desrespeito à propriedade privada e à liberdade contratual; (ii) fundamentação em uma teoria econômica absolutamente equivocada, que considera o mercado uma realidade estática qie pode ser prevista e manipulada por burocratas; (iii) utilização de conc</w:t>
      </w:r>
      <w:r>
        <w:rPr>
          <w:rFonts w:ascii="Times New Roman" w:eastAsia="Times New Roman" w:hAnsi="Times New Roman" w:cs="Times New Roman"/>
          <w:sz w:val="20"/>
          <w:szCs w:val="20"/>
        </w:rPr>
        <w:t>eitos também equivocados, como concorrência perfeita e monopólio natural, os quais ignoram a criatividade empresarial; e (iv) possibilidade de ser usado politicamente para perseguir e coagir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empresários.</w:t>
      </w:r>
      <w:r>
        <w:rPr>
          <w:rFonts w:ascii="Times New Roman" w:eastAsia="Times New Roman" w:hAnsi="Times New Roman" w:cs="Times New Roman"/>
          <w:position w:val="9"/>
          <w:sz w:val="13"/>
          <w:szCs w:val="13"/>
        </w:rPr>
        <w:t>17</w:t>
      </w:r>
      <w:r>
        <w:rPr>
          <w:rFonts w:ascii="Times New Roman" w:eastAsia="Times New Roman" w:hAnsi="Times New Roman" w:cs="Times New Roman"/>
          <w:sz w:val="20"/>
          <w:szCs w:val="20"/>
        </w:rPr>
        <w:t>”</w:t>
      </w:r>
      <w:proofErr w:type="gramEnd"/>
    </w:p>
    <w:p w:rsidR="00AE3DD1" w:rsidRDefault="00AE3DD1">
      <w:pPr>
        <w:rPr>
          <w:rFonts w:ascii="Times New Roman" w:eastAsia="Times New Roman" w:hAnsi="Times New Roman" w:cs="Times New Roman"/>
        </w:rPr>
      </w:pPr>
    </w:p>
    <w:p w:rsidR="00AE3DD1" w:rsidRDefault="00125FC6">
      <w:pPr>
        <w:pStyle w:val="Ttulo1"/>
        <w:numPr>
          <w:ilvl w:val="1"/>
          <w:numId w:val="3"/>
        </w:numPr>
        <w:tabs>
          <w:tab w:val="left" w:pos="830"/>
        </w:tabs>
        <w:spacing w:before="164"/>
        <w:rPr>
          <w:b w:val="0"/>
          <w:bCs w:val="0"/>
        </w:rPr>
      </w:pPr>
      <w:r>
        <w:t>Descrição dos critérios e valores contidos em ca</w:t>
      </w:r>
      <w:r>
        <w:t>da</w:t>
      </w:r>
      <w:r>
        <w:rPr>
          <w:spacing w:val="-10"/>
        </w:rPr>
        <w:t xml:space="preserve"> </w:t>
      </w:r>
      <w:r>
        <w:t>decisão</w:t>
      </w:r>
    </w:p>
    <w:p w:rsidR="00AE3DD1" w:rsidRDefault="00125FC6">
      <w:pPr>
        <w:pStyle w:val="PargrafodaLista"/>
        <w:numPr>
          <w:ilvl w:val="2"/>
          <w:numId w:val="3"/>
        </w:numPr>
        <w:tabs>
          <w:tab w:val="left" w:pos="830"/>
        </w:tabs>
        <w:spacing w:before="132"/>
        <w:rPr>
          <w:rFonts w:ascii="Times New Roman" w:eastAsia="Times New Roman" w:hAnsi="Times New Roman" w:cs="Times New Roman"/>
          <w:sz w:val="24"/>
          <w:szCs w:val="24"/>
        </w:rPr>
      </w:pPr>
      <w:r>
        <w:rPr>
          <w:rFonts w:ascii="Times New Roman" w:hAnsi="Times New Roman"/>
          <w:sz w:val="24"/>
        </w:rPr>
        <w:t>Da adequação da decisão do</w:t>
      </w:r>
      <w:r>
        <w:rPr>
          <w:rFonts w:ascii="Times New Roman" w:hAnsi="Times New Roman"/>
          <w:spacing w:val="-4"/>
          <w:sz w:val="24"/>
        </w:rPr>
        <w:t xml:space="preserve"> </w:t>
      </w:r>
      <w:r>
        <w:rPr>
          <w:rFonts w:ascii="Times New Roman" w:hAnsi="Times New Roman"/>
          <w:sz w:val="24"/>
        </w:rPr>
        <w:t>CADE:</w:t>
      </w:r>
    </w:p>
    <w:p w:rsidR="00AE3DD1" w:rsidRDefault="00125FC6">
      <w:pPr>
        <w:pStyle w:val="PargrafodaLista"/>
        <w:numPr>
          <w:ilvl w:val="0"/>
          <w:numId w:val="2"/>
        </w:numPr>
        <w:tabs>
          <w:tab w:val="left" w:pos="550"/>
        </w:tabs>
        <w:spacing w:before="137"/>
        <w:rPr>
          <w:rFonts w:ascii="Times New Roman" w:eastAsia="Times New Roman" w:hAnsi="Times New Roman" w:cs="Times New Roman"/>
          <w:sz w:val="24"/>
          <w:szCs w:val="24"/>
        </w:rPr>
      </w:pPr>
      <w:r>
        <w:rPr>
          <w:rFonts w:ascii="Times New Roman" w:hAnsi="Times New Roman"/>
          <w:sz w:val="24"/>
        </w:rPr>
        <w:t>Elevadas barreiras à entrada de novas concorrentes no mercado de</w:t>
      </w:r>
      <w:r>
        <w:rPr>
          <w:rFonts w:ascii="Times New Roman" w:hAnsi="Times New Roman"/>
          <w:spacing w:val="-13"/>
          <w:sz w:val="24"/>
        </w:rPr>
        <w:t xml:space="preserve"> </w:t>
      </w:r>
      <w:r>
        <w:rPr>
          <w:rFonts w:ascii="Times New Roman" w:hAnsi="Times New Roman"/>
          <w:sz w:val="24"/>
        </w:rPr>
        <w:t>chocolates;</w:t>
      </w:r>
    </w:p>
    <w:p w:rsidR="00AE3DD1" w:rsidRDefault="00125FC6">
      <w:pPr>
        <w:pStyle w:val="PargrafodaLista"/>
        <w:numPr>
          <w:ilvl w:val="0"/>
          <w:numId w:val="2"/>
        </w:numPr>
        <w:tabs>
          <w:tab w:val="left" w:pos="550"/>
        </w:tabs>
        <w:spacing w:before="139" w:line="360" w:lineRule="auto"/>
        <w:ind w:right="120"/>
        <w:rPr>
          <w:rFonts w:ascii="Times New Roman" w:eastAsia="Times New Roman" w:hAnsi="Times New Roman" w:cs="Times New Roman"/>
          <w:sz w:val="24"/>
          <w:szCs w:val="24"/>
        </w:rPr>
      </w:pPr>
      <w:r>
        <w:rPr>
          <w:rFonts w:ascii="Times New Roman" w:hAnsi="Times New Roman"/>
          <w:sz w:val="24"/>
        </w:rPr>
        <w:t>Possibilidade de criação de um duopólio entre Nestlé/Garoto e Arcor, dificultando ainda mais a entrada de concorrentes no</w:t>
      </w:r>
      <w:r>
        <w:rPr>
          <w:rFonts w:ascii="Times New Roman" w:hAnsi="Times New Roman"/>
          <w:spacing w:val="-9"/>
          <w:sz w:val="24"/>
        </w:rPr>
        <w:t xml:space="preserve"> </w:t>
      </w:r>
      <w:r>
        <w:rPr>
          <w:rFonts w:ascii="Times New Roman" w:hAnsi="Times New Roman"/>
          <w:sz w:val="24"/>
        </w:rPr>
        <w:t>setor;</w:t>
      </w:r>
    </w:p>
    <w:p w:rsidR="00AE3DD1" w:rsidRDefault="00125FC6">
      <w:pPr>
        <w:pStyle w:val="PargrafodaLista"/>
        <w:numPr>
          <w:ilvl w:val="0"/>
          <w:numId w:val="2"/>
        </w:numPr>
        <w:tabs>
          <w:tab w:val="left" w:pos="550"/>
        </w:tabs>
        <w:spacing w:before="6" w:line="360" w:lineRule="auto"/>
        <w:ind w:right="119"/>
        <w:rPr>
          <w:rFonts w:ascii="Times New Roman" w:eastAsia="Times New Roman" w:hAnsi="Times New Roman" w:cs="Times New Roman"/>
          <w:sz w:val="24"/>
          <w:szCs w:val="24"/>
        </w:rPr>
      </w:pPr>
      <w:r>
        <w:rPr>
          <w:rFonts w:ascii="Times New Roman" w:hAnsi="Times New Roman"/>
          <w:sz w:val="24"/>
        </w:rPr>
        <w:t>Inexistência de mercados estáticos como os previstos nas simulações apresentadas pela</w:t>
      </w:r>
      <w:r>
        <w:rPr>
          <w:rFonts w:ascii="Times New Roman" w:hAnsi="Times New Roman"/>
          <w:spacing w:val="-4"/>
          <w:sz w:val="24"/>
        </w:rPr>
        <w:t xml:space="preserve"> </w:t>
      </w:r>
      <w:r>
        <w:rPr>
          <w:rFonts w:ascii="Times New Roman" w:hAnsi="Times New Roman"/>
          <w:sz w:val="24"/>
        </w:rPr>
        <w:t>Nestlé;</w:t>
      </w:r>
    </w:p>
    <w:p w:rsidR="00AE3DD1" w:rsidRDefault="00125FC6">
      <w:pPr>
        <w:pStyle w:val="PargrafodaLista"/>
        <w:numPr>
          <w:ilvl w:val="0"/>
          <w:numId w:val="2"/>
        </w:numPr>
        <w:tabs>
          <w:tab w:val="left" w:pos="550"/>
        </w:tabs>
        <w:spacing w:before="6" w:line="360" w:lineRule="auto"/>
        <w:ind w:right="117"/>
        <w:jc w:val="both"/>
        <w:rPr>
          <w:rFonts w:ascii="Times New Roman" w:eastAsia="Times New Roman" w:hAnsi="Times New Roman" w:cs="Times New Roman"/>
          <w:sz w:val="24"/>
          <w:szCs w:val="24"/>
        </w:rPr>
      </w:pPr>
      <w:r>
        <w:rPr>
          <w:rFonts w:ascii="Times New Roman" w:hAnsi="Times New Roman"/>
          <w:sz w:val="24"/>
        </w:rPr>
        <w:t>A aproximação dos percentuais de eficiência apresentados pelas fusionadas e impugnantes e o enquadramento destes no permitido pela lei para a manutenção dos preço</w:t>
      </w:r>
      <w:r>
        <w:rPr>
          <w:rFonts w:ascii="Times New Roman" w:hAnsi="Times New Roman"/>
          <w:sz w:val="24"/>
        </w:rPr>
        <w:t>s das</w:t>
      </w:r>
      <w:r>
        <w:rPr>
          <w:rFonts w:ascii="Times New Roman" w:hAnsi="Times New Roman"/>
          <w:spacing w:val="-6"/>
          <w:sz w:val="24"/>
        </w:rPr>
        <w:t xml:space="preserve"> </w:t>
      </w:r>
      <w:r>
        <w:rPr>
          <w:rFonts w:ascii="Times New Roman" w:hAnsi="Times New Roman"/>
          <w:sz w:val="24"/>
        </w:rPr>
        <w:t>mercadorias;</w:t>
      </w:r>
    </w:p>
    <w:p w:rsidR="00AE3DD1" w:rsidRDefault="00125FC6">
      <w:pPr>
        <w:pStyle w:val="PargrafodaLista"/>
        <w:numPr>
          <w:ilvl w:val="0"/>
          <w:numId w:val="2"/>
        </w:numPr>
        <w:tabs>
          <w:tab w:val="left" w:pos="550"/>
        </w:tabs>
        <w:spacing w:before="4" w:line="360" w:lineRule="auto"/>
        <w:ind w:right="121"/>
        <w:rPr>
          <w:rFonts w:ascii="Times New Roman" w:eastAsia="Times New Roman" w:hAnsi="Times New Roman" w:cs="Times New Roman"/>
          <w:sz w:val="24"/>
          <w:szCs w:val="24"/>
        </w:rPr>
      </w:pPr>
      <w:proofErr w:type="gramStart"/>
      <w:r>
        <w:rPr>
          <w:rFonts w:ascii="Times New Roman" w:hAnsi="Times New Roman"/>
          <w:sz w:val="24"/>
        </w:rPr>
        <w:t>A</w:t>
      </w:r>
      <w:proofErr w:type="gramEnd"/>
      <w:r>
        <w:rPr>
          <w:rFonts w:ascii="Times New Roman" w:hAnsi="Times New Roman"/>
          <w:sz w:val="24"/>
        </w:rPr>
        <w:t xml:space="preserve"> utilidade das simulações de mercado, as quais são capazes de prever quantitativamente o estado do setor atingido após as concentrações de</w:t>
      </w:r>
      <w:r>
        <w:rPr>
          <w:rFonts w:ascii="Times New Roman" w:hAnsi="Times New Roman"/>
          <w:spacing w:val="-16"/>
          <w:sz w:val="24"/>
        </w:rPr>
        <w:t xml:space="preserve"> </w:t>
      </w:r>
      <w:r>
        <w:rPr>
          <w:rFonts w:ascii="Times New Roman" w:hAnsi="Times New Roman"/>
          <w:sz w:val="24"/>
        </w:rPr>
        <w:t>empresas.</w:t>
      </w:r>
    </w:p>
    <w:p w:rsidR="00AE3DD1" w:rsidRDefault="00AE3DD1">
      <w:pPr>
        <w:rPr>
          <w:rFonts w:ascii="Times New Roman" w:eastAsia="Times New Roman" w:hAnsi="Times New Roman" w:cs="Times New Roman"/>
          <w:sz w:val="24"/>
          <w:szCs w:val="24"/>
        </w:rPr>
      </w:pPr>
    </w:p>
    <w:p w:rsidR="00AE3DD1" w:rsidRDefault="00125FC6">
      <w:pPr>
        <w:pStyle w:val="PargrafodaLista"/>
        <w:numPr>
          <w:ilvl w:val="2"/>
          <w:numId w:val="3"/>
        </w:numPr>
        <w:tabs>
          <w:tab w:val="left" w:pos="830"/>
        </w:tabs>
        <w:spacing w:before="143"/>
        <w:rPr>
          <w:rFonts w:ascii="Times New Roman" w:eastAsia="Times New Roman" w:hAnsi="Times New Roman" w:cs="Times New Roman"/>
          <w:sz w:val="24"/>
          <w:szCs w:val="24"/>
        </w:rPr>
      </w:pPr>
      <w:r>
        <w:rPr>
          <w:rFonts w:ascii="Times New Roman" w:hAnsi="Times New Roman"/>
          <w:sz w:val="24"/>
        </w:rPr>
        <w:t>Da inadequação da decisão do</w:t>
      </w:r>
      <w:r>
        <w:rPr>
          <w:rFonts w:ascii="Times New Roman" w:hAnsi="Times New Roman"/>
          <w:spacing w:val="-6"/>
          <w:sz w:val="24"/>
        </w:rPr>
        <w:t xml:space="preserve"> </w:t>
      </w:r>
      <w:r>
        <w:rPr>
          <w:rFonts w:ascii="Times New Roman" w:hAnsi="Times New Roman"/>
          <w:sz w:val="24"/>
        </w:rPr>
        <w:t>CADE:</w:t>
      </w:r>
    </w:p>
    <w:p w:rsidR="00AE3DD1" w:rsidRDefault="00125FC6">
      <w:pPr>
        <w:pStyle w:val="PargrafodaLista"/>
        <w:numPr>
          <w:ilvl w:val="0"/>
          <w:numId w:val="1"/>
        </w:numPr>
        <w:tabs>
          <w:tab w:val="left" w:pos="550"/>
        </w:tabs>
        <w:spacing w:before="137"/>
        <w:ind w:hanging="407"/>
        <w:rPr>
          <w:rFonts w:ascii="Times New Roman" w:eastAsia="Times New Roman" w:hAnsi="Times New Roman" w:cs="Times New Roman"/>
          <w:sz w:val="24"/>
          <w:szCs w:val="24"/>
        </w:rPr>
      </w:pPr>
      <w:r>
        <w:rPr>
          <w:rFonts w:ascii="Times New Roman" w:hAnsi="Times New Roman"/>
          <w:sz w:val="24"/>
        </w:rPr>
        <w:t>Inexistência de mercados estáticos e consequente inutilidade das</w:t>
      </w:r>
      <w:r>
        <w:rPr>
          <w:rFonts w:ascii="Times New Roman" w:hAnsi="Times New Roman"/>
          <w:spacing w:val="-8"/>
          <w:sz w:val="24"/>
        </w:rPr>
        <w:t xml:space="preserve"> </w:t>
      </w:r>
      <w:r>
        <w:rPr>
          <w:rFonts w:ascii="Times New Roman" w:hAnsi="Times New Roman"/>
          <w:sz w:val="24"/>
        </w:rPr>
        <w:t>simulações;</w:t>
      </w:r>
    </w:p>
    <w:p w:rsidR="00AE3DD1" w:rsidRDefault="00125FC6">
      <w:pPr>
        <w:spacing w:before="6"/>
        <w:rPr>
          <w:rFonts w:ascii="Times New Roman" w:eastAsia="Times New Roman" w:hAnsi="Times New Roman" w:cs="Times New Roman"/>
          <w:sz w:val="15"/>
          <w:szCs w:val="15"/>
        </w:rPr>
      </w:pPr>
      <w:r>
        <w:pict>
          <v:group id="_x0000_s1028" style="position:absolute;margin-left:85.1pt;margin-top:10.25pt;width:144.05pt;height:.1pt;z-index:251659776;mso-wrap-distance-left:0;mso-wrap-distance-right:0;mso-position-horizontal-relative:page" coordorigin="1702,205" coordsize="2881,2">
            <v:shape id="_x0000_s1029" style="position:absolute;left:1702;top:205;width:2881;height:2" coordorigin="1702,205" coordsize="2881,0" path="m1702,205r2880,e" filled="f" strokeweight=".72pt">
              <v:path arrowok="t"/>
            </v:shape>
            <w10:wrap type="topAndBottom" anchorx="page"/>
          </v:group>
        </w:pict>
      </w:r>
    </w:p>
    <w:p w:rsidR="00AE3DD1" w:rsidRDefault="00125FC6">
      <w:pPr>
        <w:spacing w:before="42"/>
        <w:ind w:left="122" w:right="196"/>
        <w:rPr>
          <w:rFonts w:ascii="Times New Roman" w:eastAsia="Times New Roman" w:hAnsi="Times New Roman" w:cs="Times New Roman"/>
          <w:sz w:val="20"/>
          <w:szCs w:val="20"/>
        </w:rPr>
      </w:pPr>
      <w:proofErr w:type="gramStart"/>
      <w:r>
        <w:rPr>
          <w:rFonts w:ascii="Times New Roman" w:hAnsi="Times New Roman"/>
          <w:position w:val="9"/>
          <w:sz w:val="13"/>
        </w:rPr>
        <w:t>16</w:t>
      </w:r>
      <w:proofErr w:type="gramEnd"/>
      <w:r>
        <w:rPr>
          <w:rFonts w:ascii="Times New Roman" w:hAnsi="Times New Roman"/>
          <w:position w:val="9"/>
          <w:sz w:val="13"/>
        </w:rPr>
        <w:t xml:space="preserve"> </w:t>
      </w:r>
      <w:r>
        <w:rPr>
          <w:rFonts w:ascii="Times New Roman" w:hAnsi="Times New Roman"/>
          <w:sz w:val="20"/>
        </w:rPr>
        <w:t xml:space="preserve">RAMOS, André Luiz Santa Cruz. </w:t>
      </w:r>
      <w:r>
        <w:rPr>
          <w:rFonts w:ascii="Times New Roman" w:hAnsi="Times New Roman"/>
          <w:b/>
          <w:sz w:val="20"/>
        </w:rPr>
        <w:t xml:space="preserve">Direito Empresarial Esquematizado. </w:t>
      </w:r>
      <w:r>
        <w:rPr>
          <w:rFonts w:ascii="Times New Roman" w:hAnsi="Times New Roman"/>
          <w:sz w:val="20"/>
        </w:rPr>
        <w:t xml:space="preserve">4. ed. rev., atual. </w:t>
      </w:r>
      <w:proofErr w:type="gramStart"/>
      <w:r>
        <w:rPr>
          <w:rFonts w:ascii="Times New Roman" w:hAnsi="Times New Roman"/>
          <w:sz w:val="20"/>
        </w:rPr>
        <w:t>e</w:t>
      </w:r>
      <w:proofErr w:type="gramEnd"/>
      <w:r>
        <w:rPr>
          <w:rFonts w:ascii="Times New Roman" w:hAnsi="Times New Roman"/>
          <w:sz w:val="20"/>
        </w:rPr>
        <w:t xml:space="preserve"> ampl. Rio de Janeiro: Forense; São Paulo: Método, 2014. P.</w:t>
      </w:r>
      <w:r>
        <w:rPr>
          <w:rFonts w:ascii="Times New Roman" w:hAnsi="Times New Roman"/>
          <w:spacing w:val="-12"/>
          <w:sz w:val="20"/>
        </w:rPr>
        <w:t xml:space="preserve"> </w:t>
      </w:r>
      <w:r>
        <w:rPr>
          <w:rFonts w:ascii="Times New Roman" w:hAnsi="Times New Roman"/>
          <w:sz w:val="20"/>
        </w:rPr>
        <w:t>381</w:t>
      </w:r>
    </w:p>
    <w:p w:rsidR="00AE3DD1" w:rsidRDefault="00125FC6">
      <w:pPr>
        <w:spacing w:line="230" w:lineRule="exact"/>
        <w:ind w:left="122" w:right="107"/>
        <w:rPr>
          <w:rFonts w:ascii="Times New Roman" w:eastAsia="Times New Roman" w:hAnsi="Times New Roman" w:cs="Times New Roman"/>
          <w:sz w:val="20"/>
          <w:szCs w:val="20"/>
        </w:rPr>
      </w:pPr>
      <w:proofErr w:type="gramStart"/>
      <w:r>
        <w:rPr>
          <w:rFonts w:ascii="Times New Roman" w:hAnsi="Times New Roman"/>
          <w:position w:val="9"/>
          <w:sz w:val="13"/>
        </w:rPr>
        <w:t>17</w:t>
      </w:r>
      <w:proofErr w:type="gramEnd"/>
      <w:r>
        <w:rPr>
          <w:rFonts w:ascii="Times New Roman" w:hAnsi="Times New Roman"/>
          <w:position w:val="9"/>
          <w:sz w:val="13"/>
        </w:rPr>
        <w:t xml:space="preserve"> </w:t>
      </w:r>
      <w:r>
        <w:rPr>
          <w:rFonts w:ascii="Times New Roman" w:hAnsi="Times New Roman"/>
          <w:sz w:val="20"/>
        </w:rPr>
        <w:t>RAMOS, André Luiz Sa</w:t>
      </w:r>
      <w:r>
        <w:rPr>
          <w:rFonts w:ascii="Times New Roman" w:hAnsi="Times New Roman"/>
          <w:sz w:val="20"/>
        </w:rPr>
        <w:t xml:space="preserve">nta Cruz. </w:t>
      </w:r>
      <w:r>
        <w:rPr>
          <w:rFonts w:ascii="Times New Roman" w:hAnsi="Times New Roman"/>
          <w:b/>
          <w:i/>
          <w:sz w:val="20"/>
        </w:rPr>
        <w:t>Op cit.</w:t>
      </w:r>
      <w:r>
        <w:rPr>
          <w:rFonts w:ascii="Times New Roman" w:hAnsi="Times New Roman"/>
          <w:sz w:val="20"/>
        </w:rPr>
        <w:t>P.</w:t>
      </w:r>
      <w:r>
        <w:rPr>
          <w:rFonts w:ascii="Times New Roman" w:hAnsi="Times New Roman"/>
          <w:spacing w:val="5"/>
          <w:sz w:val="20"/>
        </w:rPr>
        <w:t xml:space="preserve"> </w:t>
      </w:r>
      <w:r>
        <w:rPr>
          <w:rFonts w:ascii="Times New Roman" w:hAnsi="Times New Roman"/>
          <w:sz w:val="20"/>
        </w:rPr>
        <w:t>381</w:t>
      </w:r>
    </w:p>
    <w:p w:rsidR="00AE3DD1" w:rsidRDefault="00AE3DD1">
      <w:pPr>
        <w:spacing w:line="230" w:lineRule="exact"/>
        <w:rPr>
          <w:rFonts w:ascii="Times New Roman" w:eastAsia="Times New Roman" w:hAnsi="Times New Roman" w:cs="Times New Roman"/>
          <w:sz w:val="20"/>
          <w:szCs w:val="20"/>
        </w:rPr>
        <w:sectPr w:rsidR="00AE3DD1">
          <w:pgSz w:w="11910" w:h="16840"/>
          <w:pgMar w:top="1360" w:right="1580" w:bottom="280" w:left="1580" w:header="720" w:footer="720" w:gutter="0"/>
          <w:cols w:space="720"/>
        </w:sectPr>
      </w:pPr>
    </w:p>
    <w:p w:rsidR="00AE3DD1" w:rsidRDefault="00125FC6">
      <w:pPr>
        <w:pStyle w:val="PargrafodaLista"/>
        <w:numPr>
          <w:ilvl w:val="0"/>
          <w:numId w:val="1"/>
        </w:numPr>
        <w:tabs>
          <w:tab w:val="left" w:pos="530"/>
        </w:tabs>
        <w:spacing w:before="52" w:line="362" w:lineRule="auto"/>
        <w:ind w:right="117" w:hanging="427"/>
        <w:jc w:val="both"/>
        <w:rPr>
          <w:rFonts w:ascii="Times New Roman" w:eastAsia="Times New Roman" w:hAnsi="Times New Roman" w:cs="Times New Roman"/>
          <w:sz w:val="24"/>
          <w:szCs w:val="24"/>
        </w:rPr>
      </w:pPr>
      <w:r>
        <w:rPr>
          <w:rFonts w:ascii="Times New Roman" w:hAnsi="Times New Roman"/>
          <w:sz w:val="24"/>
        </w:rPr>
        <w:lastRenderedPageBreak/>
        <w:t xml:space="preserve">Adoção errônea do critério do </w:t>
      </w:r>
      <w:r>
        <w:rPr>
          <w:rFonts w:ascii="Times New Roman" w:hAnsi="Times New Roman"/>
          <w:i/>
          <w:sz w:val="24"/>
        </w:rPr>
        <w:t>Price Standard</w:t>
      </w:r>
      <w:r>
        <w:rPr>
          <w:rFonts w:ascii="Times New Roman" w:hAnsi="Times New Roman"/>
          <w:sz w:val="24"/>
        </w:rPr>
        <w:t>, o qual não está previsto na lei antitruste;</w:t>
      </w:r>
    </w:p>
    <w:p w:rsidR="00AE3DD1" w:rsidRDefault="00125FC6">
      <w:pPr>
        <w:pStyle w:val="PargrafodaLista"/>
        <w:numPr>
          <w:ilvl w:val="0"/>
          <w:numId w:val="1"/>
        </w:numPr>
        <w:tabs>
          <w:tab w:val="left" w:pos="530"/>
        </w:tabs>
        <w:spacing w:before="1" w:line="360" w:lineRule="auto"/>
        <w:ind w:right="123" w:hanging="427"/>
        <w:jc w:val="both"/>
        <w:rPr>
          <w:rFonts w:ascii="Times New Roman" w:eastAsia="Times New Roman" w:hAnsi="Times New Roman" w:cs="Times New Roman"/>
          <w:sz w:val="24"/>
          <w:szCs w:val="24"/>
        </w:rPr>
      </w:pPr>
      <w:r>
        <w:rPr>
          <w:rFonts w:ascii="Times New Roman" w:hAnsi="Times New Roman"/>
          <w:sz w:val="24"/>
        </w:rPr>
        <w:t>As disputas de mercado entre Nestlé/Garoto e Arcor, após a fusão, não aumentarão os preços dos produtos, mas imporão a ambas a manutenção dos baixos valores, evitando a perda de</w:t>
      </w:r>
      <w:r>
        <w:rPr>
          <w:rFonts w:ascii="Times New Roman" w:hAnsi="Times New Roman"/>
          <w:spacing w:val="-4"/>
          <w:sz w:val="24"/>
        </w:rPr>
        <w:t xml:space="preserve"> </w:t>
      </w:r>
      <w:r>
        <w:rPr>
          <w:rFonts w:ascii="Times New Roman" w:hAnsi="Times New Roman"/>
          <w:sz w:val="24"/>
        </w:rPr>
        <w:t>mercado.</w:t>
      </w:r>
    </w:p>
    <w:p w:rsidR="00AE3DD1" w:rsidRDefault="00125FC6">
      <w:pPr>
        <w:pStyle w:val="PargrafodaLista"/>
        <w:numPr>
          <w:ilvl w:val="0"/>
          <w:numId w:val="1"/>
        </w:numPr>
        <w:tabs>
          <w:tab w:val="left" w:pos="530"/>
        </w:tabs>
        <w:spacing w:before="6" w:line="360" w:lineRule="auto"/>
        <w:ind w:right="122" w:hanging="427"/>
        <w:jc w:val="both"/>
        <w:rPr>
          <w:rFonts w:ascii="Times New Roman" w:eastAsia="Times New Roman" w:hAnsi="Times New Roman" w:cs="Times New Roman"/>
          <w:sz w:val="24"/>
          <w:szCs w:val="24"/>
        </w:rPr>
      </w:pPr>
      <w:r>
        <w:rPr>
          <w:rFonts w:ascii="Times New Roman" w:hAnsi="Times New Roman"/>
          <w:sz w:val="24"/>
        </w:rPr>
        <w:t xml:space="preserve">O percentual de 58% de concentração de mercado no caso Nestlé/Garoto </w:t>
      </w:r>
      <w:r>
        <w:rPr>
          <w:rFonts w:ascii="Times New Roman" w:hAnsi="Times New Roman"/>
          <w:sz w:val="24"/>
        </w:rPr>
        <w:t>é insuficiente para a desaprovação da</w:t>
      </w:r>
      <w:r>
        <w:rPr>
          <w:rFonts w:ascii="Times New Roman" w:hAnsi="Times New Roman"/>
          <w:spacing w:val="-8"/>
          <w:sz w:val="24"/>
        </w:rPr>
        <w:t xml:space="preserve"> </w:t>
      </w:r>
      <w:r>
        <w:rPr>
          <w:rFonts w:ascii="Times New Roman" w:hAnsi="Times New Roman"/>
          <w:sz w:val="24"/>
        </w:rPr>
        <w:t>aquisição;</w:t>
      </w:r>
    </w:p>
    <w:p w:rsidR="00AE3DD1" w:rsidRDefault="00125FC6">
      <w:pPr>
        <w:pStyle w:val="PargrafodaLista"/>
        <w:numPr>
          <w:ilvl w:val="0"/>
          <w:numId w:val="1"/>
        </w:numPr>
        <w:tabs>
          <w:tab w:val="left" w:pos="530"/>
        </w:tabs>
        <w:spacing w:before="6" w:line="360" w:lineRule="auto"/>
        <w:ind w:right="118" w:hanging="427"/>
        <w:jc w:val="both"/>
        <w:rPr>
          <w:rFonts w:ascii="Times New Roman" w:eastAsia="Times New Roman" w:hAnsi="Times New Roman" w:cs="Times New Roman"/>
          <w:sz w:val="24"/>
          <w:szCs w:val="24"/>
        </w:rPr>
      </w:pPr>
      <w:r>
        <w:rPr>
          <w:rFonts w:ascii="Times New Roman" w:hAnsi="Times New Roman"/>
          <w:sz w:val="24"/>
        </w:rPr>
        <w:t>As barreiras à entrada de novas concorrentes não são tão elevadas como dito pelo Relator do Ato de Concentração, tanto que já houve tentativas de entradas de multinacionais;</w:t>
      </w:r>
    </w:p>
    <w:p w:rsidR="00AE3DD1" w:rsidRDefault="00125FC6">
      <w:pPr>
        <w:pStyle w:val="PargrafodaLista"/>
        <w:numPr>
          <w:ilvl w:val="0"/>
          <w:numId w:val="1"/>
        </w:numPr>
        <w:tabs>
          <w:tab w:val="left" w:pos="530"/>
        </w:tabs>
        <w:spacing w:before="4"/>
        <w:ind w:hanging="427"/>
        <w:rPr>
          <w:rFonts w:ascii="Times New Roman" w:eastAsia="Times New Roman" w:hAnsi="Times New Roman" w:cs="Times New Roman"/>
          <w:sz w:val="24"/>
          <w:szCs w:val="24"/>
        </w:rPr>
      </w:pPr>
      <w:r>
        <w:rPr>
          <w:rFonts w:ascii="Times New Roman" w:hAnsi="Times New Roman"/>
          <w:sz w:val="24"/>
        </w:rPr>
        <w:t>Critério de descarte de eficiências não condiz com o previsto na Lei</w:t>
      </w:r>
      <w:r>
        <w:rPr>
          <w:rFonts w:ascii="Times New Roman" w:hAnsi="Times New Roman"/>
          <w:spacing w:val="-11"/>
          <w:sz w:val="24"/>
        </w:rPr>
        <w:t xml:space="preserve"> </w:t>
      </w:r>
      <w:r>
        <w:rPr>
          <w:rFonts w:ascii="Times New Roman" w:hAnsi="Times New Roman"/>
          <w:sz w:val="24"/>
        </w:rPr>
        <w:t>8.884;</w:t>
      </w:r>
    </w:p>
    <w:p w:rsidR="00AE3DD1" w:rsidRDefault="00125FC6">
      <w:pPr>
        <w:pStyle w:val="PargrafodaLista"/>
        <w:numPr>
          <w:ilvl w:val="0"/>
          <w:numId w:val="1"/>
        </w:numPr>
        <w:tabs>
          <w:tab w:val="left" w:pos="530"/>
        </w:tabs>
        <w:spacing w:before="139"/>
        <w:ind w:hanging="427"/>
        <w:rPr>
          <w:rFonts w:ascii="Times New Roman" w:eastAsia="Times New Roman" w:hAnsi="Times New Roman" w:cs="Times New Roman"/>
          <w:sz w:val="24"/>
          <w:szCs w:val="24"/>
        </w:rPr>
      </w:pPr>
      <w:r>
        <w:rPr>
          <w:rFonts w:ascii="Times New Roman" w:hAnsi="Times New Roman"/>
          <w:sz w:val="24"/>
        </w:rPr>
        <w:t xml:space="preserve">As eficiências </w:t>
      </w:r>
      <w:proofErr w:type="gramStart"/>
      <w:r>
        <w:rPr>
          <w:rFonts w:ascii="Times New Roman" w:hAnsi="Times New Roman"/>
          <w:sz w:val="24"/>
        </w:rPr>
        <w:t>devem</w:t>
      </w:r>
      <w:proofErr w:type="gramEnd"/>
      <w:r>
        <w:rPr>
          <w:rFonts w:ascii="Times New Roman" w:hAnsi="Times New Roman"/>
          <w:sz w:val="24"/>
        </w:rPr>
        <w:t xml:space="preserve"> decorrer do ato, no caso, da fusão, e não dos envolvidos</w:t>
      </w:r>
      <w:r>
        <w:rPr>
          <w:rFonts w:ascii="Times New Roman" w:hAnsi="Times New Roman"/>
          <w:spacing w:val="-13"/>
          <w:sz w:val="24"/>
        </w:rPr>
        <w:t xml:space="preserve"> </w:t>
      </w:r>
      <w:r>
        <w:rPr>
          <w:rFonts w:ascii="Times New Roman" w:hAnsi="Times New Roman"/>
          <w:sz w:val="24"/>
        </w:rPr>
        <w:t>nele.</w:t>
      </w:r>
    </w:p>
    <w:p w:rsidR="00AE3DD1" w:rsidRDefault="00125FC6">
      <w:pPr>
        <w:pStyle w:val="PargrafodaLista"/>
        <w:numPr>
          <w:ilvl w:val="0"/>
          <w:numId w:val="1"/>
        </w:numPr>
        <w:tabs>
          <w:tab w:val="left" w:pos="530"/>
        </w:tabs>
        <w:spacing w:before="137"/>
        <w:ind w:hanging="427"/>
        <w:rPr>
          <w:rFonts w:ascii="Times New Roman" w:eastAsia="Times New Roman" w:hAnsi="Times New Roman" w:cs="Times New Roman"/>
          <w:sz w:val="24"/>
          <w:szCs w:val="24"/>
        </w:rPr>
      </w:pPr>
      <w:r>
        <w:rPr>
          <w:rFonts w:ascii="Times New Roman" w:hAnsi="Times New Roman"/>
          <w:sz w:val="24"/>
        </w:rPr>
        <w:t>Limitação constitucional do CADE na intervenção</w:t>
      </w:r>
      <w:r>
        <w:rPr>
          <w:rFonts w:ascii="Times New Roman" w:hAnsi="Times New Roman"/>
          <w:spacing w:val="-13"/>
          <w:sz w:val="24"/>
        </w:rPr>
        <w:t xml:space="preserve"> </w:t>
      </w:r>
      <w:r>
        <w:rPr>
          <w:rFonts w:ascii="Times New Roman" w:hAnsi="Times New Roman"/>
          <w:sz w:val="24"/>
        </w:rPr>
        <w:t>econômica;</w:t>
      </w:r>
    </w:p>
    <w:p w:rsidR="00AE3DD1" w:rsidRDefault="00125FC6">
      <w:pPr>
        <w:pStyle w:val="PargrafodaLista"/>
        <w:numPr>
          <w:ilvl w:val="0"/>
          <w:numId w:val="1"/>
        </w:numPr>
        <w:tabs>
          <w:tab w:val="left" w:pos="530"/>
        </w:tabs>
        <w:spacing w:before="139" w:line="360" w:lineRule="auto"/>
        <w:ind w:right="120" w:hanging="427"/>
        <w:jc w:val="both"/>
        <w:rPr>
          <w:rFonts w:ascii="Times New Roman" w:eastAsia="Times New Roman" w:hAnsi="Times New Roman" w:cs="Times New Roman"/>
          <w:sz w:val="24"/>
          <w:szCs w:val="24"/>
        </w:rPr>
      </w:pPr>
      <w:r>
        <w:rPr>
          <w:rFonts w:ascii="Times New Roman" w:hAnsi="Times New Roman"/>
          <w:sz w:val="24"/>
        </w:rPr>
        <w:t>Incompetência do CADE para determinar</w:t>
      </w:r>
      <w:r>
        <w:rPr>
          <w:rFonts w:ascii="Times New Roman" w:hAnsi="Times New Roman"/>
          <w:sz w:val="24"/>
        </w:rPr>
        <w:t xml:space="preserve"> a desconstituição total de fusões, </w:t>
      </w:r>
      <w:proofErr w:type="gramStart"/>
      <w:r>
        <w:rPr>
          <w:rFonts w:ascii="Times New Roman" w:hAnsi="Times New Roman"/>
          <w:sz w:val="24"/>
        </w:rPr>
        <w:t>mas</w:t>
      </w:r>
      <w:proofErr w:type="gramEnd"/>
      <w:r>
        <w:rPr>
          <w:rFonts w:ascii="Times New Roman" w:hAnsi="Times New Roman"/>
          <w:sz w:val="24"/>
        </w:rPr>
        <w:t xml:space="preserve"> somente de alguns atos, capazes de diminuir os prejuízos à</w:t>
      </w:r>
      <w:r>
        <w:rPr>
          <w:rFonts w:ascii="Times New Roman" w:hAnsi="Times New Roman"/>
          <w:spacing w:val="-13"/>
          <w:sz w:val="24"/>
        </w:rPr>
        <w:t xml:space="preserve"> </w:t>
      </w:r>
      <w:r>
        <w:rPr>
          <w:rFonts w:ascii="Times New Roman" w:hAnsi="Times New Roman"/>
          <w:sz w:val="24"/>
        </w:rPr>
        <w:t>economia.</w:t>
      </w:r>
    </w:p>
    <w:p w:rsidR="00AE3DD1" w:rsidRDefault="00AE3DD1">
      <w:pPr>
        <w:spacing w:line="360" w:lineRule="auto"/>
        <w:jc w:val="both"/>
        <w:rPr>
          <w:rFonts w:ascii="Times New Roman" w:eastAsia="Times New Roman" w:hAnsi="Times New Roman" w:cs="Times New Roman"/>
          <w:sz w:val="24"/>
          <w:szCs w:val="24"/>
        </w:rPr>
        <w:sectPr w:rsidR="00AE3DD1">
          <w:pgSz w:w="11910" w:h="16840"/>
          <w:pgMar w:top="1340" w:right="1580" w:bottom="280" w:left="1600" w:header="720" w:footer="720" w:gutter="0"/>
          <w:cols w:space="720"/>
        </w:sectPr>
      </w:pPr>
    </w:p>
    <w:p w:rsidR="00AE3DD1" w:rsidRDefault="00125FC6">
      <w:pPr>
        <w:pStyle w:val="Ttulo1"/>
        <w:ind w:left="102" w:right="861" w:firstLine="0"/>
        <w:rPr>
          <w:b w:val="0"/>
          <w:bCs w:val="0"/>
        </w:rPr>
      </w:pPr>
      <w:r>
        <w:lastRenderedPageBreak/>
        <w:t>REFERÊNCIAS</w:t>
      </w:r>
    </w:p>
    <w:p w:rsidR="00AE3DD1" w:rsidRDefault="00AE3DD1">
      <w:pPr>
        <w:spacing w:before="6"/>
        <w:rPr>
          <w:rFonts w:ascii="Times New Roman" w:eastAsia="Times New Roman" w:hAnsi="Times New Roman" w:cs="Times New Roman"/>
          <w:b/>
          <w:bCs/>
          <w:sz w:val="35"/>
          <w:szCs w:val="35"/>
        </w:rPr>
      </w:pPr>
    </w:p>
    <w:p w:rsidR="00AE3DD1" w:rsidRDefault="00125FC6">
      <w:pPr>
        <w:ind w:left="102" w:right="861"/>
        <w:rPr>
          <w:rFonts w:ascii="Times New Roman" w:eastAsia="Times New Roman" w:hAnsi="Times New Roman" w:cs="Times New Roman"/>
          <w:sz w:val="24"/>
          <w:szCs w:val="24"/>
        </w:rPr>
      </w:pPr>
      <w:r>
        <w:rPr>
          <w:rFonts w:ascii="Times New Roman" w:hAnsi="Times New Roman"/>
          <w:sz w:val="24"/>
        </w:rPr>
        <w:t xml:space="preserve">ANDRADE, Thompson Almeida. Relatório do Conselheiro Relator. </w:t>
      </w:r>
      <w:r>
        <w:rPr>
          <w:rFonts w:ascii="Times New Roman" w:hAnsi="Times New Roman"/>
          <w:b/>
          <w:sz w:val="24"/>
        </w:rPr>
        <w:t xml:space="preserve">Ato de Concentração nº 08012.001697/2002-89. </w:t>
      </w:r>
      <w:r>
        <w:rPr>
          <w:rFonts w:ascii="Times New Roman" w:hAnsi="Times New Roman"/>
          <w:sz w:val="24"/>
        </w:rPr>
        <w:t>CADE. Disponív</w:t>
      </w:r>
      <w:r>
        <w:rPr>
          <w:rFonts w:ascii="Times New Roman" w:hAnsi="Times New Roman"/>
          <w:sz w:val="24"/>
        </w:rPr>
        <w:t xml:space="preserve">el em: &lt; </w:t>
      </w:r>
      <w:hyperlink r:id="rId9">
        <w:r>
          <w:rPr>
            <w:rFonts w:ascii="Times New Roman" w:hAnsi="Times New Roman"/>
            <w:sz w:val="24"/>
          </w:rPr>
          <w:t>http://www.cade.gov.br/Default.aspx?e</w:t>
        </w:r>
      </w:hyperlink>
      <w:r>
        <w:rPr>
          <w:rFonts w:ascii="Times New Roman" w:hAnsi="Times New Roman"/>
          <w:sz w:val="24"/>
        </w:rPr>
        <w:t xml:space="preserve"> 142c252a3798dadb8&gt;. Acesso em</w:t>
      </w:r>
      <w:proofErr w:type="gramStart"/>
      <w:r>
        <w:rPr>
          <w:rFonts w:ascii="Times New Roman" w:hAnsi="Times New Roman"/>
          <w:sz w:val="24"/>
        </w:rPr>
        <w:t>:20</w:t>
      </w:r>
      <w:proofErr w:type="gramEnd"/>
      <w:r>
        <w:rPr>
          <w:rFonts w:ascii="Times New Roman" w:hAnsi="Times New Roman"/>
          <w:sz w:val="24"/>
        </w:rPr>
        <w:t xml:space="preserve"> de setembro de</w:t>
      </w:r>
      <w:r>
        <w:rPr>
          <w:rFonts w:ascii="Times New Roman" w:hAnsi="Times New Roman"/>
          <w:spacing w:val="-4"/>
          <w:sz w:val="24"/>
        </w:rPr>
        <w:t xml:space="preserve"> </w:t>
      </w:r>
      <w:r>
        <w:rPr>
          <w:rFonts w:ascii="Times New Roman" w:hAnsi="Times New Roman"/>
          <w:sz w:val="24"/>
        </w:rPr>
        <w:t>2014.</w:t>
      </w:r>
    </w:p>
    <w:p w:rsidR="00AE3DD1" w:rsidRDefault="00AE3DD1">
      <w:pPr>
        <w:rPr>
          <w:rFonts w:ascii="Times New Roman" w:eastAsia="Times New Roman" w:hAnsi="Times New Roman" w:cs="Times New Roman"/>
          <w:sz w:val="24"/>
          <w:szCs w:val="24"/>
        </w:rPr>
      </w:pPr>
    </w:p>
    <w:p w:rsidR="00AE3DD1" w:rsidRDefault="00125FC6">
      <w:pPr>
        <w:ind w:left="102" w:right="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Lei n.° 8.884, de 11 de junho de 1994, </w:t>
      </w:r>
      <w:r>
        <w:rPr>
          <w:rFonts w:ascii="Times New Roman" w:eastAsia="Times New Roman" w:hAnsi="Times New Roman" w:cs="Times New Roman"/>
          <w:b/>
          <w:bCs/>
          <w:sz w:val="24"/>
          <w:szCs w:val="24"/>
        </w:rPr>
        <w:t>Transforma o Conselho Administrativo de Defesa Econômica (CADE) em Autarquia, dispõe sobre a prevenção e a repressão às infrações contra a ordem econômica e dá outras providências</w:t>
      </w:r>
      <w:r>
        <w:rPr>
          <w:rFonts w:ascii="Times New Roman" w:eastAsia="Times New Roman" w:hAnsi="Times New Roman" w:cs="Times New Roman"/>
          <w:sz w:val="24"/>
          <w:szCs w:val="24"/>
        </w:rPr>
        <w:t xml:space="preserve">. Diário Oficial [da] Republica Federativa do Brasil, Brasília, DF, </w:t>
      </w:r>
      <w:proofErr w:type="gramStart"/>
      <w:r>
        <w:rPr>
          <w:rFonts w:ascii="Times New Roman" w:eastAsia="Times New Roman" w:hAnsi="Times New Roman" w:cs="Times New Roman"/>
          <w:sz w:val="24"/>
          <w:szCs w:val="24"/>
        </w:rPr>
        <w:t>13 de</w:t>
      </w:r>
      <w:proofErr w:type="gramEnd"/>
      <w:r>
        <w:rPr>
          <w:rFonts w:ascii="Times New Roman" w:eastAsia="Times New Roman" w:hAnsi="Times New Roman" w:cs="Times New Roman"/>
          <w:sz w:val="24"/>
          <w:szCs w:val="24"/>
        </w:rPr>
        <w:t xml:space="preserve"> jun</w:t>
      </w:r>
      <w:r>
        <w:rPr>
          <w:rFonts w:ascii="Times New Roman" w:eastAsia="Times New Roman" w:hAnsi="Times New Roman" w:cs="Times New Roman"/>
          <w:sz w:val="24"/>
          <w:szCs w:val="24"/>
        </w:rPr>
        <w:t>ho 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1994.</w:t>
      </w:r>
    </w:p>
    <w:p w:rsidR="00AE3DD1" w:rsidRDefault="00AE3DD1">
      <w:pPr>
        <w:spacing w:before="11"/>
        <w:rPr>
          <w:rFonts w:ascii="Times New Roman" w:eastAsia="Times New Roman" w:hAnsi="Times New Roman" w:cs="Times New Roman"/>
          <w:sz w:val="24"/>
          <w:szCs w:val="24"/>
        </w:rPr>
      </w:pPr>
    </w:p>
    <w:p w:rsidR="00AE3DD1" w:rsidRDefault="00125FC6">
      <w:pPr>
        <w:spacing w:line="228" w:lineRule="auto"/>
        <w:ind w:left="102"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Lei n.° 12.529, de 30 de novembro de 2011, </w:t>
      </w:r>
      <w:r>
        <w:rPr>
          <w:rFonts w:ascii="Times New Roman" w:eastAsia="Times New Roman" w:hAnsi="Times New Roman" w:cs="Times New Roman"/>
          <w:b/>
          <w:bCs/>
          <w:sz w:val="24"/>
          <w:szCs w:val="24"/>
        </w:rPr>
        <w:t>Estrutura o Sistema Brasileiro de Defesa da Concorrência; dispõe sobre a prevenção e repressão às infrações contra a ordem econômica; altera a Lei n</w:t>
      </w:r>
      <w:r>
        <w:rPr>
          <w:rFonts w:ascii="Times New Roman" w:eastAsia="Times New Roman" w:hAnsi="Times New Roman" w:cs="Times New Roman"/>
          <w:b/>
          <w:bCs/>
          <w:position w:val="11"/>
          <w:sz w:val="16"/>
          <w:szCs w:val="16"/>
          <w:u w:val="single" w:color="000000"/>
        </w:rPr>
        <w:t xml:space="preserve">o  </w:t>
      </w:r>
      <w:r>
        <w:rPr>
          <w:rFonts w:ascii="Times New Roman" w:eastAsia="Times New Roman" w:hAnsi="Times New Roman" w:cs="Times New Roman"/>
          <w:b/>
          <w:bCs/>
          <w:sz w:val="24"/>
          <w:szCs w:val="24"/>
        </w:rPr>
        <w:t>8.137, de 27 de dezembro de 1990,</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o</w:t>
      </w:r>
    </w:p>
    <w:p w:rsidR="00AE3DD1" w:rsidRDefault="00125FC6">
      <w:pPr>
        <w:spacing w:line="220" w:lineRule="auto"/>
        <w:ind w:left="102" w:right="113"/>
        <w:rPr>
          <w:rFonts w:ascii="Times New Roman" w:eastAsia="Times New Roman" w:hAnsi="Times New Roman" w:cs="Times New Roman"/>
          <w:sz w:val="24"/>
          <w:szCs w:val="24"/>
        </w:rPr>
      </w:pPr>
      <w:r>
        <w:pict>
          <v:group id="_x0000_s1026" style="position:absolute;left:0;text-align:left;margin-left:394.5pt;margin-top:21.4pt;width:4.1pt;height:.1pt;z-index:-251655680;mso-position-horizontal-relative:page" coordorigin="7890,428" coordsize="82,2">
            <v:shape id="_x0000_s1027" style="position:absolute;left:7890;top:428;width:82;height:2" coordorigin="7890,428" coordsize="82,0" path="m7890,428r82,e" filled="f" strokeweight=".72pt">
              <v:path arrowok="t"/>
            </v:shape>
            <w10:wrap anchorx="page"/>
          </v:group>
        </w:pict>
      </w:r>
      <w:r>
        <w:rPr>
          <w:rFonts w:ascii="Times New Roman" w:hAnsi="Times New Roman"/>
          <w:b/>
          <w:sz w:val="24"/>
        </w:rPr>
        <w:t xml:space="preserve">Decreto-Lei </w:t>
      </w:r>
      <w:proofErr w:type="gramStart"/>
      <w:r>
        <w:rPr>
          <w:rFonts w:ascii="Times New Roman" w:hAnsi="Times New Roman"/>
          <w:b/>
          <w:sz w:val="24"/>
        </w:rPr>
        <w:t>n</w:t>
      </w:r>
      <w:r>
        <w:rPr>
          <w:rFonts w:ascii="Times New Roman" w:hAnsi="Times New Roman"/>
          <w:b/>
          <w:position w:val="11"/>
          <w:sz w:val="16"/>
          <w:u w:val="single" w:color="000000"/>
        </w:rPr>
        <w:t xml:space="preserve">o  </w:t>
      </w:r>
      <w:r>
        <w:rPr>
          <w:rFonts w:ascii="Times New Roman" w:hAnsi="Times New Roman"/>
          <w:b/>
          <w:sz w:val="24"/>
        </w:rPr>
        <w:t>3.689</w:t>
      </w:r>
      <w:proofErr w:type="gramEnd"/>
      <w:r>
        <w:rPr>
          <w:rFonts w:ascii="Times New Roman" w:hAnsi="Times New Roman"/>
          <w:b/>
          <w:sz w:val="24"/>
        </w:rPr>
        <w:t>, de 3 de outubro de 1941 - Código de Processo Penal, e a Lei n</w:t>
      </w:r>
      <w:r>
        <w:rPr>
          <w:rFonts w:ascii="Times New Roman" w:hAnsi="Times New Roman"/>
          <w:b/>
          <w:position w:val="11"/>
          <w:sz w:val="16"/>
          <w:u w:val="single" w:color="000000"/>
        </w:rPr>
        <w:t xml:space="preserve">o </w:t>
      </w:r>
      <w:r>
        <w:rPr>
          <w:rFonts w:ascii="Times New Roman" w:hAnsi="Times New Roman"/>
          <w:b/>
          <w:sz w:val="24"/>
        </w:rPr>
        <w:t>7.347, de 24 de julho de 1985; revoga dispositivos da Lei n</w:t>
      </w:r>
      <w:r>
        <w:rPr>
          <w:rFonts w:ascii="Times New Roman" w:hAnsi="Times New Roman"/>
          <w:b/>
          <w:position w:val="11"/>
          <w:sz w:val="16"/>
        </w:rPr>
        <w:t xml:space="preserve">o </w:t>
      </w:r>
      <w:r>
        <w:rPr>
          <w:rFonts w:ascii="Times New Roman" w:hAnsi="Times New Roman"/>
          <w:b/>
          <w:sz w:val="24"/>
        </w:rPr>
        <w:t>8.884, de 11 de junho de 1994, e a Lei n</w:t>
      </w:r>
      <w:r>
        <w:rPr>
          <w:rFonts w:ascii="Times New Roman" w:hAnsi="Times New Roman"/>
          <w:b/>
          <w:position w:val="11"/>
          <w:sz w:val="16"/>
          <w:u w:val="single" w:color="000000"/>
        </w:rPr>
        <w:t xml:space="preserve">o </w:t>
      </w:r>
      <w:r>
        <w:rPr>
          <w:rFonts w:ascii="Times New Roman" w:hAnsi="Times New Roman"/>
          <w:b/>
          <w:sz w:val="24"/>
        </w:rPr>
        <w:t xml:space="preserve">9.781, de 19 de janeiro de 1999; e dá outras providências. </w:t>
      </w:r>
      <w:r>
        <w:rPr>
          <w:rFonts w:ascii="Times New Roman" w:hAnsi="Times New Roman"/>
          <w:sz w:val="24"/>
        </w:rPr>
        <w:t>Diário O</w:t>
      </w:r>
      <w:r>
        <w:rPr>
          <w:rFonts w:ascii="Times New Roman" w:hAnsi="Times New Roman"/>
          <w:sz w:val="24"/>
        </w:rPr>
        <w:t xml:space="preserve">ficial [da] Republica Federativa do Brasil, Brasília, DF, </w:t>
      </w:r>
      <w:proofErr w:type="gramStart"/>
      <w:r>
        <w:rPr>
          <w:rFonts w:ascii="Times New Roman" w:hAnsi="Times New Roman"/>
          <w:sz w:val="24"/>
        </w:rPr>
        <w:t>13 de</w:t>
      </w:r>
      <w:proofErr w:type="gramEnd"/>
      <w:r>
        <w:rPr>
          <w:rFonts w:ascii="Times New Roman" w:hAnsi="Times New Roman"/>
          <w:sz w:val="24"/>
        </w:rPr>
        <w:t xml:space="preserve"> junho de</w:t>
      </w:r>
      <w:r>
        <w:rPr>
          <w:rFonts w:ascii="Times New Roman" w:hAnsi="Times New Roman"/>
          <w:spacing w:val="-11"/>
          <w:sz w:val="24"/>
        </w:rPr>
        <w:t xml:space="preserve"> </w:t>
      </w:r>
      <w:r>
        <w:rPr>
          <w:rFonts w:ascii="Times New Roman" w:hAnsi="Times New Roman"/>
          <w:sz w:val="24"/>
        </w:rPr>
        <w:t>1994.</w:t>
      </w:r>
    </w:p>
    <w:p w:rsidR="00AE3DD1" w:rsidRDefault="00AE3DD1">
      <w:pPr>
        <w:spacing w:before="4"/>
        <w:rPr>
          <w:rFonts w:ascii="Times New Roman" w:eastAsia="Times New Roman" w:hAnsi="Times New Roman" w:cs="Times New Roman"/>
          <w:sz w:val="24"/>
          <w:szCs w:val="24"/>
        </w:rPr>
      </w:pPr>
    </w:p>
    <w:p w:rsidR="00AE3DD1" w:rsidRDefault="00125FC6">
      <w:pPr>
        <w:ind w:left="102" w:right="113"/>
        <w:rPr>
          <w:rFonts w:ascii="Times New Roman" w:eastAsia="Times New Roman" w:hAnsi="Times New Roman" w:cs="Times New Roman"/>
          <w:sz w:val="24"/>
          <w:szCs w:val="24"/>
        </w:rPr>
      </w:pPr>
      <w:r>
        <w:rPr>
          <w:rFonts w:ascii="Times New Roman" w:hAnsi="Times New Roman"/>
          <w:sz w:val="24"/>
        </w:rPr>
        <w:t xml:space="preserve">GUERRIERO, Ian Ramalho. </w:t>
      </w:r>
      <w:r>
        <w:rPr>
          <w:rFonts w:ascii="Times New Roman" w:hAnsi="Times New Roman"/>
          <w:b/>
          <w:sz w:val="24"/>
        </w:rPr>
        <w:t xml:space="preserve">O caso Nestlé-Garoto e reflexões para o </w:t>
      </w:r>
      <w:proofErr w:type="gramStart"/>
      <w:r>
        <w:rPr>
          <w:rFonts w:ascii="Times New Roman" w:hAnsi="Times New Roman"/>
          <w:b/>
          <w:sz w:val="24"/>
        </w:rPr>
        <w:t>uso</w:t>
      </w:r>
      <w:proofErr w:type="gramEnd"/>
      <w:r>
        <w:rPr>
          <w:rFonts w:ascii="Times New Roman" w:hAnsi="Times New Roman"/>
          <w:b/>
          <w:sz w:val="24"/>
        </w:rPr>
        <w:t xml:space="preserve"> de</w:t>
      </w:r>
      <w:r>
        <w:rPr>
          <w:rFonts w:ascii="Times New Roman" w:hAnsi="Times New Roman"/>
          <w:b/>
          <w:spacing w:val="-17"/>
          <w:sz w:val="24"/>
        </w:rPr>
        <w:t xml:space="preserve"> </w:t>
      </w:r>
      <w:r>
        <w:rPr>
          <w:rFonts w:ascii="Times New Roman" w:hAnsi="Times New Roman"/>
          <w:b/>
          <w:sz w:val="24"/>
        </w:rPr>
        <w:t xml:space="preserve">modelos de simulação na análise antitruste. </w:t>
      </w:r>
      <w:r>
        <w:rPr>
          <w:rFonts w:ascii="Times New Roman" w:hAnsi="Times New Roman"/>
          <w:sz w:val="24"/>
        </w:rPr>
        <w:t xml:space="preserve">Disponível em: &lt; </w:t>
      </w:r>
      <w:hyperlink r:id="rId10">
        <w:r>
          <w:rPr>
            <w:rFonts w:ascii="Times New Roman" w:hAnsi="Times New Roman"/>
            <w:sz w:val="24"/>
          </w:rPr>
          <w:t>http://www.anpec.org.br/encontro2010/inscricao/arquivos/000-</w:t>
        </w:r>
      </w:hyperlink>
      <w:r>
        <w:rPr>
          <w:rFonts w:ascii="Times New Roman" w:hAnsi="Times New Roman"/>
          <w:sz w:val="24"/>
        </w:rPr>
        <w:t xml:space="preserve"> </w:t>
      </w:r>
      <w:hyperlink r:id="rId11">
        <w:r>
          <w:rPr>
            <w:rFonts w:ascii="Times New Roman" w:hAnsi="Times New Roman"/>
            <w:sz w:val="24"/>
          </w:rPr>
          <w:t>eb4c37fbec5b939bcc1a312183e9609b.pdf</w:t>
        </w:r>
      </w:hyperlink>
      <w:r>
        <w:rPr>
          <w:rFonts w:ascii="Times New Roman" w:hAnsi="Times New Roman"/>
          <w:sz w:val="24"/>
        </w:rPr>
        <w:t xml:space="preserve">&gt;. Acesso em: </w:t>
      </w:r>
      <w:proofErr w:type="gramStart"/>
      <w:r>
        <w:rPr>
          <w:rFonts w:ascii="Times New Roman" w:hAnsi="Times New Roman"/>
          <w:sz w:val="24"/>
        </w:rPr>
        <w:t>20 de</w:t>
      </w:r>
      <w:proofErr w:type="gramEnd"/>
      <w:r>
        <w:rPr>
          <w:rFonts w:ascii="Times New Roman" w:hAnsi="Times New Roman"/>
          <w:sz w:val="24"/>
        </w:rPr>
        <w:t xml:space="preserve"> setembro de 2014. P.</w:t>
      </w:r>
      <w:r>
        <w:rPr>
          <w:rFonts w:ascii="Times New Roman" w:hAnsi="Times New Roman"/>
          <w:spacing w:val="-6"/>
          <w:sz w:val="24"/>
        </w:rPr>
        <w:t xml:space="preserve"> </w:t>
      </w:r>
      <w:r>
        <w:rPr>
          <w:rFonts w:ascii="Times New Roman" w:hAnsi="Times New Roman"/>
          <w:sz w:val="24"/>
        </w:rPr>
        <w:t>7</w:t>
      </w:r>
    </w:p>
    <w:p w:rsidR="00AE3DD1" w:rsidRDefault="00AE3DD1">
      <w:pPr>
        <w:spacing w:before="2"/>
        <w:rPr>
          <w:rFonts w:ascii="Times New Roman" w:eastAsia="Times New Roman" w:hAnsi="Times New Roman" w:cs="Times New Roman"/>
          <w:sz w:val="24"/>
          <w:szCs w:val="24"/>
        </w:rPr>
      </w:pPr>
    </w:p>
    <w:p w:rsidR="00AE3DD1" w:rsidRDefault="00125FC6">
      <w:pPr>
        <w:ind w:left="102" w:right="437"/>
        <w:rPr>
          <w:rFonts w:ascii="Times New Roman" w:eastAsia="Times New Roman" w:hAnsi="Times New Roman" w:cs="Times New Roman"/>
        </w:rPr>
      </w:pPr>
      <w:r>
        <w:rPr>
          <w:rFonts w:ascii="Times New Roman" w:hAnsi="Times New Roman"/>
        </w:rPr>
        <w:t xml:space="preserve">RAMOS, André Luiz Santa Cruz. </w:t>
      </w:r>
      <w:r>
        <w:rPr>
          <w:rFonts w:ascii="Times New Roman" w:hAnsi="Times New Roman"/>
          <w:b/>
        </w:rPr>
        <w:t xml:space="preserve">Direito Empresarial Esquematizado. </w:t>
      </w:r>
      <w:r>
        <w:rPr>
          <w:rFonts w:ascii="Times New Roman" w:hAnsi="Times New Roman"/>
        </w:rPr>
        <w:t xml:space="preserve">4. ed. rev., atual. </w:t>
      </w:r>
      <w:proofErr w:type="gramStart"/>
      <w:r>
        <w:rPr>
          <w:rFonts w:ascii="Times New Roman" w:hAnsi="Times New Roman"/>
        </w:rPr>
        <w:t>e</w:t>
      </w:r>
      <w:proofErr w:type="gramEnd"/>
      <w:r>
        <w:rPr>
          <w:rFonts w:ascii="Times New Roman" w:hAnsi="Times New Roman"/>
        </w:rPr>
        <w:t xml:space="preserve"> ampl. Rio de Janeiro: Forense; São Paulo: Método, 2014</w:t>
      </w:r>
      <w:r>
        <w:rPr>
          <w:rFonts w:ascii="Times New Roman" w:hAnsi="Times New Roman"/>
        </w:rPr>
        <w:t>. P.</w:t>
      </w:r>
      <w:r>
        <w:rPr>
          <w:rFonts w:ascii="Times New Roman" w:hAnsi="Times New Roman"/>
          <w:spacing w:val="-12"/>
        </w:rPr>
        <w:t xml:space="preserve"> </w:t>
      </w:r>
      <w:r>
        <w:rPr>
          <w:rFonts w:ascii="Times New Roman" w:hAnsi="Times New Roman"/>
        </w:rPr>
        <w:t>381</w:t>
      </w:r>
    </w:p>
    <w:p w:rsidR="00AE3DD1" w:rsidRDefault="00AE3DD1">
      <w:pPr>
        <w:spacing w:before="11"/>
        <w:rPr>
          <w:rFonts w:ascii="Times New Roman" w:eastAsia="Times New Roman" w:hAnsi="Times New Roman" w:cs="Times New Roman"/>
          <w:sz w:val="23"/>
          <w:szCs w:val="23"/>
        </w:rPr>
      </w:pPr>
    </w:p>
    <w:p w:rsidR="00AE3DD1" w:rsidRDefault="00125FC6">
      <w:pPr>
        <w:ind w:left="102" w:right="189"/>
        <w:rPr>
          <w:rFonts w:ascii="Times New Roman" w:eastAsia="Times New Roman" w:hAnsi="Times New Roman" w:cs="Times New Roman"/>
        </w:rPr>
      </w:pPr>
      <w:r>
        <w:rPr>
          <w:rFonts w:ascii="Times New Roman" w:hAnsi="Times New Roman"/>
        </w:rPr>
        <w:t xml:space="preserve">RODAS, João Grandino. Voto Vogal. </w:t>
      </w:r>
      <w:r>
        <w:rPr>
          <w:rFonts w:ascii="Times New Roman" w:hAnsi="Times New Roman"/>
          <w:b/>
        </w:rPr>
        <w:t xml:space="preserve">Ato de Concentração nº 08012.001697/2002-89. </w:t>
      </w:r>
      <w:r>
        <w:rPr>
          <w:rFonts w:ascii="Times New Roman" w:hAnsi="Times New Roman"/>
        </w:rPr>
        <w:t xml:space="preserve">CADE. Disponível em: </w:t>
      </w:r>
      <w:hyperlink r:id="rId12">
        <w:r>
          <w:rPr>
            <w:rFonts w:ascii="Times New Roman" w:hAnsi="Times New Roman"/>
          </w:rPr>
          <w:t>&lt;ht</w:t>
        </w:r>
      </w:hyperlink>
      <w:r>
        <w:rPr>
          <w:rFonts w:ascii="Times New Roman" w:hAnsi="Times New Roman"/>
        </w:rPr>
        <w:t>t</w:t>
      </w:r>
      <w:hyperlink r:id="rId13">
        <w:r>
          <w:rPr>
            <w:rFonts w:ascii="Times New Roman" w:hAnsi="Times New Roman"/>
          </w:rPr>
          <w:t>p://www.cade.gov.br/Default.aspx?e142c252a3798dadb8&gt;.</w:t>
        </w:r>
      </w:hyperlink>
      <w:r>
        <w:rPr>
          <w:rFonts w:ascii="Times New Roman" w:hAnsi="Times New Roman"/>
        </w:rPr>
        <w:t xml:space="preserve"> Acesso em: </w:t>
      </w:r>
      <w:proofErr w:type="gramStart"/>
      <w:r>
        <w:rPr>
          <w:rFonts w:ascii="Times New Roman" w:hAnsi="Times New Roman"/>
        </w:rPr>
        <w:t>20 de</w:t>
      </w:r>
      <w:proofErr w:type="gramEnd"/>
      <w:r>
        <w:rPr>
          <w:rFonts w:ascii="Times New Roman" w:hAnsi="Times New Roman"/>
        </w:rPr>
        <w:t xml:space="preserve"> setembro de</w:t>
      </w:r>
      <w:r>
        <w:rPr>
          <w:rFonts w:ascii="Times New Roman" w:hAnsi="Times New Roman"/>
          <w:spacing w:val="-6"/>
        </w:rPr>
        <w:t xml:space="preserve"> </w:t>
      </w:r>
      <w:r>
        <w:rPr>
          <w:rFonts w:ascii="Times New Roman" w:hAnsi="Times New Roman"/>
        </w:rPr>
        <w:t>2014.</w:t>
      </w:r>
      <w:bookmarkEnd w:id="0"/>
    </w:p>
    <w:sectPr w:rsidR="00AE3DD1">
      <w:pgSz w:w="11910" w:h="16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78E2"/>
    <w:multiLevelType w:val="hybridMultilevel"/>
    <w:tmpl w:val="AD3EB21E"/>
    <w:lvl w:ilvl="0" w:tplc="DD581C22">
      <w:start w:val="1"/>
      <w:numFmt w:val="upperRoman"/>
      <w:lvlText w:val="%1"/>
      <w:lvlJc w:val="left"/>
      <w:pPr>
        <w:ind w:left="2370" w:hanging="119"/>
        <w:jc w:val="left"/>
      </w:pPr>
      <w:rPr>
        <w:rFonts w:ascii="Times New Roman" w:eastAsia="Times New Roman" w:hAnsi="Times New Roman" w:hint="default"/>
        <w:w w:val="99"/>
        <w:sz w:val="20"/>
        <w:szCs w:val="20"/>
      </w:rPr>
    </w:lvl>
    <w:lvl w:ilvl="1" w:tplc="C64042A0">
      <w:start w:val="1"/>
      <w:numFmt w:val="bullet"/>
      <w:lvlText w:val="•"/>
      <w:lvlJc w:val="left"/>
      <w:pPr>
        <w:ind w:left="3014" w:hanging="119"/>
      </w:pPr>
      <w:rPr>
        <w:rFonts w:hint="default"/>
      </w:rPr>
    </w:lvl>
    <w:lvl w:ilvl="2" w:tplc="874CE0F2">
      <w:start w:val="1"/>
      <w:numFmt w:val="bullet"/>
      <w:lvlText w:val="•"/>
      <w:lvlJc w:val="left"/>
      <w:pPr>
        <w:ind w:left="3649" w:hanging="119"/>
      </w:pPr>
      <w:rPr>
        <w:rFonts w:hint="default"/>
      </w:rPr>
    </w:lvl>
    <w:lvl w:ilvl="3" w:tplc="4B36EDF4">
      <w:start w:val="1"/>
      <w:numFmt w:val="bullet"/>
      <w:lvlText w:val="•"/>
      <w:lvlJc w:val="left"/>
      <w:pPr>
        <w:ind w:left="4283" w:hanging="119"/>
      </w:pPr>
      <w:rPr>
        <w:rFonts w:hint="default"/>
      </w:rPr>
    </w:lvl>
    <w:lvl w:ilvl="4" w:tplc="3E12BB98">
      <w:start w:val="1"/>
      <w:numFmt w:val="bullet"/>
      <w:lvlText w:val="•"/>
      <w:lvlJc w:val="left"/>
      <w:pPr>
        <w:ind w:left="4918" w:hanging="119"/>
      </w:pPr>
      <w:rPr>
        <w:rFonts w:hint="default"/>
      </w:rPr>
    </w:lvl>
    <w:lvl w:ilvl="5" w:tplc="3FE22B4E">
      <w:start w:val="1"/>
      <w:numFmt w:val="bullet"/>
      <w:lvlText w:val="•"/>
      <w:lvlJc w:val="left"/>
      <w:pPr>
        <w:ind w:left="5553" w:hanging="119"/>
      </w:pPr>
      <w:rPr>
        <w:rFonts w:hint="default"/>
      </w:rPr>
    </w:lvl>
    <w:lvl w:ilvl="6" w:tplc="C4546338">
      <w:start w:val="1"/>
      <w:numFmt w:val="bullet"/>
      <w:lvlText w:val="•"/>
      <w:lvlJc w:val="left"/>
      <w:pPr>
        <w:ind w:left="6187" w:hanging="119"/>
      </w:pPr>
      <w:rPr>
        <w:rFonts w:hint="default"/>
      </w:rPr>
    </w:lvl>
    <w:lvl w:ilvl="7" w:tplc="B85E9382">
      <w:start w:val="1"/>
      <w:numFmt w:val="bullet"/>
      <w:lvlText w:val="•"/>
      <w:lvlJc w:val="left"/>
      <w:pPr>
        <w:ind w:left="6822" w:hanging="119"/>
      </w:pPr>
      <w:rPr>
        <w:rFonts w:hint="default"/>
      </w:rPr>
    </w:lvl>
    <w:lvl w:ilvl="8" w:tplc="7E142F1E">
      <w:start w:val="1"/>
      <w:numFmt w:val="bullet"/>
      <w:lvlText w:val="•"/>
      <w:lvlJc w:val="left"/>
      <w:pPr>
        <w:ind w:left="7457" w:hanging="119"/>
      </w:pPr>
      <w:rPr>
        <w:rFonts w:hint="default"/>
      </w:rPr>
    </w:lvl>
  </w:abstractNum>
  <w:abstractNum w:abstractNumId="1">
    <w:nsid w:val="08D92CC8"/>
    <w:multiLevelType w:val="hybridMultilevel"/>
    <w:tmpl w:val="805E39F4"/>
    <w:lvl w:ilvl="0" w:tplc="C22C9CA4">
      <w:start w:val="1"/>
      <w:numFmt w:val="decimal"/>
      <w:lvlText w:val="%1."/>
      <w:lvlJc w:val="left"/>
      <w:pPr>
        <w:ind w:left="549" w:hanging="360"/>
        <w:jc w:val="left"/>
      </w:pPr>
      <w:rPr>
        <w:rFonts w:ascii="Times New Roman" w:eastAsia="Times New Roman" w:hAnsi="Times New Roman" w:hint="default"/>
        <w:b/>
        <w:bCs/>
        <w:spacing w:val="-1"/>
        <w:w w:val="99"/>
        <w:sz w:val="24"/>
        <w:szCs w:val="24"/>
      </w:rPr>
    </w:lvl>
    <w:lvl w:ilvl="1" w:tplc="C1768534">
      <w:start w:val="1"/>
      <w:numFmt w:val="upperRoman"/>
      <w:lvlText w:val="%2"/>
      <w:lvlJc w:val="left"/>
      <w:pPr>
        <w:ind w:left="2390" w:hanging="143"/>
        <w:jc w:val="left"/>
      </w:pPr>
      <w:rPr>
        <w:rFonts w:ascii="Times New Roman" w:eastAsia="Times New Roman" w:hAnsi="Times New Roman" w:hint="default"/>
        <w:w w:val="99"/>
        <w:sz w:val="20"/>
        <w:szCs w:val="20"/>
      </w:rPr>
    </w:lvl>
    <w:lvl w:ilvl="2" w:tplc="BBF065F2">
      <w:start w:val="1"/>
      <w:numFmt w:val="bullet"/>
      <w:lvlText w:val="•"/>
      <w:lvlJc w:val="left"/>
      <w:pPr>
        <w:ind w:left="3105" w:hanging="143"/>
      </w:pPr>
      <w:rPr>
        <w:rFonts w:hint="default"/>
      </w:rPr>
    </w:lvl>
    <w:lvl w:ilvl="3" w:tplc="933867D8">
      <w:start w:val="1"/>
      <w:numFmt w:val="bullet"/>
      <w:lvlText w:val="•"/>
      <w:lvlJc w:val="left"/>
      <w:pPr>
        <w:ind w:left="3810" w:hanging="143"/>
      </w:pPr>
      <w:rPr>
        <w:rFonts w:hint="default"/>
      </w:rPr>
    </w:lvl>
    <w:lvl w:ilvl="4" w:tplc="67CED7F4">
      <w:start w:val="1"/>
      <w:numFmt w:val="bullet"/>
      <w:lvlText w:val="•"/>
      <w:lvlJc w:val="left"/>
      <w:pPr>
        <w:ind w:left="4515" w:hanging="143"/>
      </w:pPr>
      <w:rPr>
        <w:rFonts w:hint="default"/>
      </w:rPr>
    </w:lvl>
    <w:lvl w:ilvl="5" w:tplc="56FC90CC">
      <w:start w:val="1"/>
      <w:numFmt w:val="bullet"/>
      <w:lvlText w:val="•"/>
      <w:lvlJc w:val="left"/>
      <w:pPr>
        <w:ind w:left="5220" w:hanging="143"/>
      </w:pPr>
      <w:rPr>
        <w:rFonts w:hint="default"/>
      </w:rPr>
    </w:lvl>
    <w:lvl w:ilvl="6" w:tplc="890866F4">
      <w:start w:val="1"/>
      <w:numFmt w:val="bullet"/>
      <w:lvlText w:val="•"/>
      <w:lvlJc w:val="left"/>
      <w:pPr>
        <w:ind w:left="5925" w:hanging="143"/>
      </w:pPr>
      <w:rPr>
        <w:rFonts w:hint="default"/>
      </w:rPr>
    </w:lvl>
    <w:lvl w:ilvl="7" w:tplc="169A4FD4">
      <w:start w:val="1"/>
      <w:numFmt w:val="bullet"/>
      <w:lvlText w:val="•"/>
      <w:lvlJc w:val="left"/>
      <w:pPr>
        <w:ind w:left="6630" w:hanging="143"/>
      </w:pPr>
      <w:rPr>
        <w:rFonts w:hint="default"/>
      </w:rPr>
    </w:lvl>
    <w:lvl w:ilvl="8" w:tplc="E1AE951E">
      <w:start w:val="1"/>
      <w:numFmt w:val="bullet"/>
      <w:lvlText w:val="•"/>
      <w:lvlJc w:val="left"/>
      <w:pPr>
        <w:ind w:left="7336" w:hanging="143"/>
      </w:pPr>
      <w:rPr>
        <w:rFonts w:hint="default"/>
      </w:rPr>
    </w:lvl>
  </w:abstractNum>
  <w:abstractNum w:abstractNumId="2">
    <w:nsid w:val="0FF016FC"/>
    <w:multiLevelType w:val="multilevel"/>
    <w:tmpl w:val="211EE882"/>
    <w:lvl w:ilvl="0">
      <w:start w:val="2"/>
      <w:numFmt w:val="decimal"/>
      <w:lvlText w:val="%1"/>
      <w:lvlJc w:val="left"/>
      <w:pPr>
        <w:ind w:left="830" w:hanging="708"/>
        <w:jc w:val="left"/>
      </w:pPr>
      <w:rPr>
        <w:rFonts w:hint="default"/>
      </w:rPr>
    </w:lvl>
    <w:lvl w:ilvl="1">
      <w:start w:val="3"/>
      <w:numFmt w:val="decimal"/>
      <w:lvlText w:val="%1.%2"/>
      <w:lvlJc w:val="left"/>
      <w:pPr>
        <w:ind w:left="830" w:hanging="708"/>
        <w:jc w:val="left"/>
      </w:pPr>
      <w:rPr>
        <w:rFonts w:ascii="Times New Roman" w:eastAsia="Times New Roman" w:hAnsi="Times New Roman" w:hint="default"/>
        <w:b/>
        <w:bCs/>
        <w:spacing w:val="-2"/>
        <w:w w:val="99"/>
        <w:sz w:val="24"/>
        <w:szCs w:val="24"/>
      </w:rPr>
    </w:lvl>
    <w:lvl w:ilvl="2">
      <w:start w:val="1"/>
      <w:numFmt w:val="decimal"/>
      <w:lvlText w:val="%1.%2.%3"/>
      <w:lvlJc w:val="left"/>
      <w:pPr>
        <w:ind w:left="830" w:hanging="720"/>
        <w:jc w:val="left"/>
      </w:pPr>
      <w:rPr>
        <w:rFonts w:ascii="Times New Roman" w:eastAsia="Times New Roman" w:hAnsi="Times New Roman" w:hint="default"/>
        <w:spacing w:val="-2"/>
        <w:w w:val="99"/>
        <w:sz w:val="24"/>
        <w:szCs w:val="24"/>
      </w:rPr>
    </w:lvl>
    <w:lvl w:ilvl="3">
      <w:start w:val="1"/>
      <w:numFmt w:val="bullet"/>
      <w:lvlText w:val="•"/>
      <w:lvlJc w:val="left"/>
      <w:pPr>
        <w:ind w:left="3211" w:hanging="720"/>
      </w:pPr>
      <w:rPr>
        <w:rFonts w:hint="default"/>
      </w:rPr>
    </w:lvl>
    <w:lvl w:ilvl="4">
      <w:start w:val="1"/>
      <w:numFmt w:val="bullet"/>
      <w:lvlText w:val="•"/>
      <w:lvlJc w:val="left"/>
      <w:pPr>
        <w:ind w:left="4002" w:hanging="720"/>
      </w:pPr>
      <w:rPr>
        <w:rFonts w:hint="default"/>
      </w:rPr>
    </w:lvl>
    <w:lvl w:ilvl="5">
      <w:start w:val="1"/>
      <w:numFmt w:val="bullet"/>
      <w:lvlText w:val="•"/>
      <w:lvlJc w:val="left"/>
      <w:pPr>
        <w:ind w:left="4793" w:hanging="720"/>
      </w:pPr>
      <w:rPr>
        <w:rFonts w:hint="default"/>
      </w:rPr>
    </w:lvl>
    <w:lvl w:ilvl="6">
      <w:start w:val="1"/>
      <w:numFmt w:val="bullet"/>
      <w:lvlText w:val="•"/>
      <w:lvlJc w:val="left"/>
      <w:pPr>
        <w:ind w:left="5583" w:hanging="720"/>
      </w:pPr>
      <w:rPr>
        <w:rFonts w:hint="default"/>
      </w:rPr>
    </w:lvl>
    <w:lvl w:ilvl="7">
      <w:start w:val="1"/>
      <w:numFmt w:val="bullet"/>
      <w:lvlText w:val="•"/>
      <w:lvlJc w:val="left"/>
      <w:pPr>
        <w:ind w:left="6374" w:hanging="720"/>
      </w:pPr>
      <w:rPr>
        <w:rFonts w:hint="default"/>
      </w:rPr>
    </w:lvl>
    <w:lvl w:ilvl="8">
      <w:start w:val="1"/>
      <w:numFmt w:val="bullet"/>
      <w:lvlText w:val="•"/>
      <w:lvlJc w:val="left"/>
      <w:pPr>
        <w:ind w:left="7165" w:hanging="720"/>
      </w:pPr>
      <w:rPr>
        <w:rFonts w:hint="default"/>
      </w:rPr>
    </w:lvl>
  </w:abstractNum>
  <w:abstractNum w:abstractNumId="3">
    <w:nsid w:val="275C2E4E"/>
    <w:multiLevelType w:val="multilevel"/>
    <w:tmpl w:val="501E12F4"/>
    <w:lvl w:ilvl="0">
      <w:start w:val="2"/>
      <w:numFmt w:val="decimal"/>
      <w:lvlText w:val="%1"/>
      <w:lvlJc w:val="left"/>
      <w:pPr>
        <w:ind w:left="549" w:hanging="360"/>
        <w:jc w:val="left"/>
      </w:pPr>
      <w:rPr>
        <w:rFonts w:hint="default"/>
      </w:rPr>
    </w:lvl>
    <w:lvl w:ilvl="1">
      <w:start w:val="1"/>
      <w:numFmt w:val="decimal"/>
      <w:lvlText w:val="%1.%2"/>
      <w:lvlJc w:val="left"/>
      <w:pPr>
        <w:ind w:left="549" w:hanging="360"/>
        <w:jc w:val="left"/>
      </w:pPr>
      <w:rPr>
        <w:rFonts w:ascii="Times New Roman" w:eastAsia="Times New Roman" w:hAnsi="Times New Roman" w:hint="default"/>
        <w:b/>
        <w:bCs/>
        <w:w w:val="100"/>
        <w:sz w:val="24"/>
        <w:szCs w:val="24"/>
      </w:rPr>
    </w:lvl>
    <w:lvl w:ilvl="2">
      <w:start w:val="1"/>
      <w:numFmt w:val="lowerLetter"/>
      <w:lvlText w:val="%3."/>
      <w:lvlJc w:val="left"/>
      <w:pPr>
        <w:ind w:left="1614" w:hanging="360"/>
        <w:jc w:val="left"/>
      </w:pPr>
      <w:rPr>
        <w:rFonts w:ascii="Times New Roman" w:eastAsia="Times New Roman" w:hAnsi="Times New Roman" w:hint="default"/>
        <w:spacing w:val="-2"/>
        <w:w w:val="99"/>
        <w:sz w:val="24"/>
        <w:szCs w:val="24"/>
      </w:rPr>
    </w:lvl>
    <w:lvl w:ilvl="3">
      <w:start w:val="1"/>
      <w:numFmt w:val="bullet"/>
      <w:lvlText w:val="•"/>
      <w:lvlJc w:val="left"/>
      <w:pPr>
        <w:ind w:left="3203" w:hanging="360"/>
      </w:pPr>
      <w:rPr>
        <w:rFonts w:hint="default"/>
      </w:rPr>
    </w:lvl>
    <w:lvl w:ilvl="4">
      <w:start w:val="1"/>
      <w:numFmt w:val="bullet"/>
      <w:lvlText w:val="•"/>
      <w:lvlJc w:val="left"/>
      <w:pPr>
        <w:ind w:left="3995" w:hanging="360"/>
      </w:pPr>
      <w:rPr>
        <w:rFonts w:hint="default"/>
      </w:rPr>
    </w:lvl>
    <w:lvl w:ilvl="5">
      <w:start w:val="1"/>
      <w:numFmt w:val="bullet"/>
      <w:lvlText w:val="•"/>
      <w:lvlJc w:val="left"/>
      <w:pPr>
        <w:ind w:left="4787" w:hanging="360"/>
      </w:pPr>
      <w:rPr>
        <w:rFonts w:hint="default"/>
      </w:rPr>
    </w:lvl>
    <w:lvl w:ilvl="6">
      <w:start w:val="1"/>
      <w:numFmt w:val="bullet"/>
      <w:lvlText w:val="•"/>
      <w:lvlJc w:val="left"/>
      <w:pPr>
        <w:ind w:left="5579" w:hanging="360"/>
      </w:pPr>
      <w:rPr>
        <w:rFonts w:hint="default"/>
      </w:rPr>
    </w:lvl>
    <w:lvl w:ilvl="7">
      <w:start w:val="1"/>
      <w:numFmt w:val="bullet"/>
      <w:lvlText w:val="•"/>
      <w:lvlJc w:val="left"/>
      <w:pPr>
        <w:ind w:left="6370" w:hanging="360"/>
      </w:pPr>
      <w:rPr>
        <w:rFonts w:hint="default"/>
      </w:rPr>
    </w:lvl>
    <w:lvl w:ilvl="8">
      <w:start w:val="1"/>
      <w:numFmt w:val="bullet"/>
      <w:lvlText w:val="•"/>
      <w:lvlJc w:val="left"/>
      <w:pPr>
        <w:ind w:left="7162" w:hanging="360"/>
      </w:pPr>
      <w:rPr>
        <w:rFonts w:hint="default"/>
      </w:rPr>
    </w:lvl>
  </w:abstractNum>
  <w:abstractNum w:abstractNumId="4">
    <w:nsid w:val="3FBB2365"/>
    <w:multiLevelType w:val="multilevel"/>
    <w:tmpl w:val="79368D38"/>
    <w:lvl w:ilvl="0">
      <w:start w:val="2"/>
      <w:numFmt w:val="decimal"/>
      <w:lvlText w:val="%1"/>
      <w:lvlJc w:val="left"/>
      <w:pPr>
        <w:ind w:left="830" w:hanging="720"/>
        <w:jc w:val="left"/>
      </w:pPr>
      <w:rPr>
        <w:rFonts w:hint="default"/>
      </w:rPr>
    </w:lvl>
    <w:lvl w:ilvl="1">
      <w:start w:val="2"/>
      <w:numFmt w:val="decimal"/>
      <w:lvlText w:val="%1.%2"/>
      <w:lvlJc w:val="left"/>
      <w:pPr>
        <w:ind w:left="830" w:hanging="720"/>
        <w:jc w:val="left"/>
      </w:pPr>
      <w:rPr>
        <w:rFonts w:hint="default"/>
      </w:rPr>
    </w:lvl>
    <w:lvl w:ilvl="2">
      <w:start w:val="1"/>
      <w:numFmt w:val="decimal"/>
      <w:lvlText w:val="%1.%2.%3"/>
      <w:lvlJc w:val="left"/>
      <w:pPr>
        <w:ind w:left="830" w:hanging="720"/>
        <w:jc w:val="left"/>
      </w:pPr>
      <w:rPr>
        <w:rFonts w:ascii="Times New Roman" w:eastAsia="Times New Roman" w:hAnsi="Times New Roman" w:hint="default"/>
        <w:spacing w:val="-2"/>
        <w:w w:val="99"/>
        <w:sz w:val="24"/>
        <w:szCs w:val="24"/>
      </w:rPr>
    </w:lvl>
    <w:lvl w:ilvl="3">
      <w:start w:val="1"/>
      <w:numFmt w:val="bullet"/>
      <w:lvlText w:val="•"/>
      <w:lvlJc w:val="left"/>
      <w:pPr>
        <w:ind w:left="3211" w:hanging="720"/>
      </w:pPr>
      <w:rPr>
        <w:rFonts w:hint="default"/>
      </w:rPr>
    </w:lvl>
    <w:lvl w:ilvl="4">
      <w:start w:val="1"/>
      <w:numFmt w:val="bullet"/>
      <w:lvlText w:val="•"/>
      <w:lvlJc w:val="left"/>
      <w:pPr>
        <w:ind w:left="4002" w:hanging="720"/>
      </w:pPr>
      <w:rPr>
        <w:rFonts w:hint="default"/>
      </w:rPr>
    </w:lvl>
    <w:lvl w:ilvl="5">
      <w:start w:val="1"/>
      <w:numFmt w:val="bullet"/>
      <w:lvlText w:val="•"/>
      <w:lvlJc w:val="left"/>
      <w:pPr>
        <w:ind w:left="4793" w:hanging="720"/>
      </w:pPr>
      <w:rPr>
        <w:rFonts w:hint="default"/>
      </w:rPr>
    </w:lvl>
    <w:lvl w:ilvl="6">
      <w:start w:val="1"/>
      <w:numFmt w:val="bullet"/>
      <w:lvlText w:val="•"/>
      <w:lvlJc w:val="left"/>
      <w:pPr>
        <w:ind w:left="5583" w:hanging="720"/>
      </w:pPr>
      <w:rPr>
        <w:rFonts w:hint="default"/>
      </w:rPr>
    </w:lvl>
    <w:lvl w:ilvl="7">
      <w:start w:val="1"/>
      <w:numFmt w:val="bullet"/>
      <w:lvlText w:val="•"/>
      <w:lvlJc w:val="left"/>
      <w:pPr>
        <w:ind w:left="6374" w:hanging="720"/>
      </w:pPr>
      <w:rPr>
        <w:rFonts w:hint="default"/>
      </w:rPr>
    </w:lvl>
    <w:lvl w:ilvl="8">
      <w:start w:val="1"/>
      <w:numFmt w:val="bullet"/>
      <w:lvlText w:val="•"/>
      <w:lvlJc w:val="left"/>
      <w:pPr>
        <w:ind w:left="7165" w:hanging="720"/>
      </w:pPr>
      <w:rPr>
        <w:rFonts w:hint="default"/>
      </w:rPr>
    </w:lvl>
  </w:abstractNum>
  <w:abstractNum w:abstractNumId="5">
    <w:nsid w:val="4AA31E5E"/>
    <w:multiLevelType w:val="hybridMultilevel"/>
    <w:tmpl w:val="8B9E9774"/>
    <w:lvl w:ilvl="0" w:tplc="BDB0A9D0">
      <w:start w:val="1"/>
      <w:numFmt w:val="lowerLetter"/>
      <w:lvlText w:val="%1."/>
      <w:lvlJc w:val="left"/>
      <w:pPr>
        <w:ind w:left="549" w:hanging="360"/>
        <w:jc w:val="left"/>
      </w:pPr>
      <w:rPr>
        <w:rFonts w:ascii="Times New Roman" w:eastAsia="Times New Roman" w:hAnsi="Times New Roman" w:hint="default"/>
        <w:spacing w:val="-2"/>
        <w:w w:val="99"/>
        <w:sz w:val="24"/>
        <w:szCs w:val="24"/>
      </w:rPr>
    </w:lvl>
    <w:lvl w:ilvl="1" w:tplc="19400E9E">
      <w:start w:val="1"/>
      <w:numFmt w:val="bullet"/>
      <w:lvlText w:val="•"/>
      <w:lvlJc w:val="left"/>
      <w:pPr>
        <w:ind w:left="1360" w:hanging="360"/>
      </w:pPr>
      <w:rPr>
        <w:rFonts w:hint="default"/>
      </w:rPr>
    </w:lvl>
    <w:lvl w:ilvl="2" w:tplc="32B239C6">
      <w:start w:val="1"/>
      <w:numFmt w:val="bullet"/>
      <w:lvlText w:val="•"/>
      <w:lvlJc w:val="left"/>
      <w:pPr>
        <w:ind w:left="2181" w:hanging="360"/>
      </w:pPr>
      <w:rPr>
        <w:rFonts w:hint="default"/>
      </w:rPr>
    </w:lvl>
    <w:lvl w:ilvl="3" w:tplc="E0F472C2">
      <w:start w:val="1"/>
      <w:numFmt w:val="bullet"/>
      <w:lvlText w:val="•"/>
      <w:lvlJc w:val="left"/>
      <w:pPr>
        <w:ind w:left="3001" w:hanging="360"/>
      </w:pPr>
      <w:rPr>
        <w:rFonts w:hint="default"/>
      </w:rPr>
    </w:lvl>
    <w:lvl w:ilvl="4" w:tplc="E5360804">
      <w:start w:val="1"/>
      <w:numFmt w:val="bullet"/>
      <w:lvlText w:val="•"/>
      <w:lvlJc w:val="left"/>
      <w:pPr>
        <w:ind w:left="3822" w:hanging="360"/>
      </w:pPr>
      <w:rPr>
        <w:rFonts w:hint="default"/>
      </w:rPr>
    </w:lvl>
    <w:lvl w:ilvl="5" w:tplc="BF1E7236">
      <w:start w:val="1"/>
      <w:numFmt w:val="bullet"/>
      <w:lvlText w:val="•"/>
      <w:lvlJc w:val="left"/>
      <w:pPr>
        <w:ind w:left="4643" w:hanging="360"/>
      </w:pPr>
      <w:rPr>
        <w:rFonts w:hint="default"/>
      </w:rPr>
    </w:lvl>
    <w:lvl w:ilvl="6" w:tplc="1CFC43B6">
      <w:start w:val="1"/>
      <w:numFmt w:val="bullet"/>
      <w:lvlText w:val="•"/>
      <w:lvlJc w:val="left"/>
      <w:pPr>
        <w:ind w:left="5463" w:hanging="360"/>
      </w:pPr>
      <w:rPr>
        <w:rFonts w:hint="default"/>
      </w:rPr>
    </w:lvl>
    <w:lvl w:ilvl="7" w:tplc="134CA0A6">
      <w:start w:val="1"/>
      <w:numFmt w:val="bullet"/>
      <w:lvlText w:val="•"/>
      <w:lvlJc w:val="left"/>
      <w:pPr>
        <w:ind w:left="6284" w:hanging="360"/>
      </w:pPr>
      <w:rPr>
        <w:rFonts w:hint="default"/>
      </w:rPr>
    </w:lvl>
    <w:lvl w:ilvl="8" w:tplc="98A8F406">
      <w:start w:val="1"/>
      <w:numFmt w:val="bullet"/>
      <w:lvlText w:val="•"/>
      <w:lvlJc w:val="left"/>
      <w:pPr>
        <w:ind w:left="7105" w:hanging="360"/>
      </w:pPr>
      <w:rPr>
        <w:rFonts w:hint="default"/>
      </w:rPr>
    </w:lvl>
  </w:abstractNum>
  <w:abstractNum w:abstractNumId="6">
    <w:nsid w:val="60224DCC"/>
    <w:multiLevelType w:val="hybridMultilevel"/>
    <w:tmpl w:val="90A0ED54"/>
    <w:lvl w:ilvl="0" w:tplc="64B04860">
      <w:start w:val="1"/>
      <w:numFmt w:val="lowerLetter"/>
      <w:lvlText w:val="%1."/>
      <w:lvlJc w:val="left"/>
      <w:pPr>
        <w:ind w:left="529" w:hanging="428"/>
        <w:jc w:val="left"/>
      </w:pPr>
      <w:rPr>
        <w:rFonts w:ascii="Times New Roman" w:eastAsia="Times New Roman" w:hAnsi="Times New Roman" w:hint="default"/>
        <w:spacing w:val="-4"/>
        <w:w w:val="99"/>
        <w:sz w:val="24"/>
        <w:szCs w:val="24"/>
      </w:rPr>
    </w:lvl>
    <w:lvl w:ilvl="1" w:tplc="FE8843E6">
      <w:start w:val="1"/>
      <w:numFmt w:val="bullet"/>
      <w:lvlText w:val="•"/>
      <w:lvlJc w:val="left"/>
      <w:pPr>
        <w:ind w:left="1342" w:hanging="428"/>
      </w:pPr>
      <w:rPr>
        <w:rFonts w:hint="default"/>
      </w:rPr>
    </w:lvl>
    <w:lvl w:ilvl="2" w:tplc="1D022C1A">
      <w:start w:val="1"/>
      <w:numFmt w:val="bullet"/>
      <w:lvlText w:val="•"/>
      <w:lvlJc w:val="left"/>
      <w:pPr>
        <w:ind w:left="2165" w:hanging="428"/>
      </w:pPr>
      <w:rPr>
        <w:rFonts w:hint="default"/>
      </w:rPr>
    </w:lvl>
    <w:lvl w:ilvl="3" w:tplc="4DF88D20">
      <w:start w:val="1"/>
      <w:numFmt w:val="bullet"/>
      <w:lvlText w:val="•"/>
      <w:lvlJc w:val="left"/>
      <w:pPr>
        <w:ind w:left="2987" w:hanging="428"/>
      </w:pPr>
      <w:rPr>
        <w:rFonts w:hint="default"/>
      </w:rPr>
    </w:lvl>
    <w:lvl w:ilvl="4" w:tplc="6D7476BA">
      <w:start w:val="1"/>
      <w:numFmt w:val="bullet"/>
      <w:lvlText w:val="•"/>
      <w:lvlJc w:val="left"/>
      <w:pPr>
        <w:ind w:left="3810" w:hanging="428"/>
      </w:pPr>
      <w:rPr>
        <w:rFonts w:hint="default"/>
      </w:rPr>
    </w:lvl>
    <w:lvl w:ilvl="5" w:tplc="6000668A">
      <w:start w:val="1"/>
      <w:numFmt w:val="bullet"/>
      <w:lvlText w:val="•"/>
      <w:lvlJc w:val="left"/>
      <w:pPr>
        <w:ind w:left="4633" w:hanging="428"/>
      </w:pPr>
      <w:rPr>
        <w:rFonts w:hint="default"/>
      </w:rPr>
    </w:lvl>
    <w:lvl w:ilvl="6" w:tplc="4AA27DC0">
      <w:start w:val="1"/>
      <w:numFmt w:val="bullet"/>
      <w:lvlText w:val="•"/>
      <w:lvlJc w:val="left"/>
      <w:pPr>
        <w:ind w:left="5455" w:hanging="428"/>
      </w:pPr>
      <w:rPr>
        <w:rFonts w:hint="default"/>
      </w:rPr>
    </w:lvl>
    <w:lvl w:ilvl="7" w:tplc="B41898FA">
      <w:start w:val="1"/>
      <w:numFmt w:val="bullet"/>
      <w:lvlText w:val="•"/>
      <w:lvlJc w:val="left"/>
      <w:pPr>
        <w:ind w:left="6278" w:hanging="428"/>
      </w:pPr>
      <w:rPr>
        <w:rFonts w:hint="default"/>
      </w:rPr>
    </w:lvl>
    <w:lvl w:ilvl="8" w:tplc="3508E8FC">
      <w:start w:val="1"/>
      <w:numFmt w:val="bullet"/>
      <w:lvlText w:val="•"/>
      <w:lvlJc w:val="left"/>
      <w:pPr>
        <w:ind w:left="7101" w:hanging="428"/>
      </w:pPr>
      <w:rPr>
        <w:rFonts w:hint="default"/>
      </w:rPr>
    </w:lvl>
  </w:abstractNum>
  <w:abstractNum w:abstractNumId="7">
    <w:nsid w:val="685A1002"/>
    <w:multiLevelType w:val="hybridMultilevel"/>
    <w:tmpl w:val="B2026234"/>
    <w:lvl w:ilvl="0" w:tplc="E57AF752">
      <w:start w:val="1"/>
      <w:numFmt w:val="bullet"/>
      <w:lvlText w:val=""/>
      <w:lvlJc w:val="left"/>
      <w:pPr>
        <w:ind w:left="122" w:hanging="708"/>
      </w:pPr>
      <w:rPr>
        <w:rFonts w:ascii="Symbol" w:eastAsia="Symbol" w:hAnsi="Symbol" w:hint="default"/>
        <w:w w:val="100"/>
        <w:sz w:val="24"/>
        <w:szCs w:val="24"/>
      </w:rPr>
    </w:lvl>
    <w:lvl w:ilvl="1" w:tplc="8626FC56">
      <w:start w:val="1"/>
      <w:numFmt w:val="bullet"/>
      <w:lvlText w:val="•"/>
      <w:lvlJc w:val="left"/>
      <w:pPr>
        <w:ind w:left="982" w:hanging="708"/>
      </w:pPr>
      <w:rPr>
        <w:rFonts w:hint="default"/>
      </w:rPr>
    </w:lvl>
    <w:lvl w:ilvl="2" w:tplc="F59600DA">
      <w:start w:val="1"/>
      <w:numFmt w:val="bullet"/>
      <w:lvlText w:val="•"/>
      <w:lvlJc w:val="left"/>
      <w:pPr>
        <w:ind w:left="1845" w:hanging="708"/>
      </w:pPr>
      <w:rPr>
        <w:rFonts w:hint="default"/>
      </w:rPr>
    </w:lvl>
    <w:lvl w:ilvl="3" w:tplc="08309D76">
      <w:start w:val="1"/>
      <w:numFmt w:val="bullet"/>
      <w:lvlText w:val="•"/>
      <w:lvlJc w:val="left"/>
      <w:pPr>
        <w:ind w:left="2707" w:hanging="708"/>
      </w:pPr>
      <w:rPr>
        <w:rFonts w:hint="default"/>
      </w:rPr>
    </w:lvl>
    <w:lvl w:ilvl="4" w:tplc="2F94AED4">
      <w:start w:val="1"/>
      <w:numFmt w:val="bullet"/>
      <w:lvlText w:val="•"/>
      <w:lvlJc w:val="left"/>
      <w:pPr>
        <w:ind w:left="3570" w:hanging="708"/>
      </w:pPr>
      <w:rPr>
        <w:rFonts w:hint="default"/>
      </w:rPr>
    </w:lvl>
    <w:lvl w:ilvl="5" w:tplc="97028F06">
      <w:start w:val="1"/>
      <w:numFmt w:val="bullet"/>
      <w:lvlText w:val="•"/>
      <w:lvlJc w:val="left"/>
      <w:pPr>
        <w:ind w:left="4433" w:hanging="708"/>
      </w:pPr>
      <w:rPr>
        <w:rFonts w:hint="default"/>
      </w:rPr>
    </w:lvl>
    <w:lvl w:ilvl="6" w:tplc="4E96511A">
      <w:start w:val="1"/>
      <w:numFmt w:val="bullet"/>
      <w:lvlText w:val="•"/>
      <w:lvlJc w:val="left"/>
      <w:pPr>
        <w:ind w:left="5295" w:hanging="708"/>
      </w:pPr>
      <w:rPr>
        <w:rFonts w:hint="default"/>
      </w:rPr>
    </w:lvl>
    <w:lvl w:ilvl="7" w:tplc="BDFC2678">
      <w:start w:val="1"/>
      <w:numFmt w:val="bullet"/>
      <w:lvlText w:val="•"/>
      <w:lvlJc w:val="left"/>
      <w:pPr>
        <w:ind w:left="6158" w:hanging="708"/>
      </w:pPr>
      <w:rPr>
        <w:rFonts w:hint="default"/>
      </w:rPr>
    </w:lvl>
    <w:lvl w:ilvl="8" w:tplc="53461EB6">
      <w:start w:val="1"/>
      <w:numFmt w:val="bullet"/>
      <w:lvlText w:val="•"/>
      <w:lvlJc w:val="left"/>
      <w:pPr>
        <w:ind w:left="7021" w:hanging="708"/>
      </w:pPr>
      <w:rPr>
        <w:rFonts w:hint="default"/>
      </w:rPr>
    </w:lvl>
  </w:abstractNum>
  <w:num w:numId="1">
    <w:abstractNumId w:val="6"/>
  </w:num>
  <w:num w:numId="2">
    <w:abstractNumId w:val="5"/>
  </w:num>
  <w:num w:numId="3">
    <w:abstractNumId w:val="2"/>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AE3DD1"/>
    <w:rsid w:val="00125FC6"/>
    <w:rsid w:val="00AE3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3DB2BF50-01D3-42C5-A93C-072F0EFF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56"/>
      <w:ind w:left="549" w:hanging="360"/>
      <w:outlineLvl w:val="0"/>
    </w:pPr>
    <w:rPr>
      <w:rFonts w:ascii="Times New Roman" w:eastAsia="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pPr>
    <w:rPr>
      <w:rFonts w:ascii="Times New Roman" w:eastAsia="Times New Roman" w:hAnsi="Times New Roman"/>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de.gov.br/Default.aspx?e142c252a3798dadb8" TargetMode="External"/><Relationship Id="rId13" Type="http://schemas.openxmlformats.org/officeDocument/2006/relationships/hyperlink" Target="http://www.cade.gov.br/Default.aspx?e142c252a3798dadb8" TargetMode="External"/><Relationship Id="rId3" Type="http://schemas.openxmlformats.org/officeDocument/2006/relationships/settings" Target="settings.xml"/><Relationship Id="rId7" Type="http://schemas.openxmlformats.org/officeDocument/2006/relationships/hyperlink" Target="http://www.anpec.org.br/encontro2010/inscricao/arquivos/000-eb4c37fbec5b939bcc1a312183e9609b.pdf" TargetMode="External"/><Relationship Id="rId12" Type="http://schemas.openxmlformats.org/officeDocument/2006/relationships/hyperlink" Target="http://www.cade.gov.br/Default.aspx?e142c252a3798dad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pec.org.br/encontro2010/inscricao/arquivos/000-eb4c37fbec5b939bcc1a312183e9609b.pdf" TargetMode="External"/><Relationship Id="rId11" Type="http://schemas.openxmlformats.org/officeDocument/2006/relationships/hyperlink" Target="http://www.anpec.org.br/encontro2010/inscricao/arquivos/000-eb4c37fbec5b939bcc1a312183e9609b.pdf" TargetMode="External"/><Relationship Id="rId5" Type="http://schemas.openxmlformats.org/officeDocument/2006/relationships/hyperlink" Target="http://www.cade.gov.br/Default.aspx?e" TargetMode="External"/><Relationship Id="rId15" Type="http://schemas.openxmlformats.org/officeDocument/2006/relationships/theme" Target="theme/theme1.xml"/><Relationship Id="rId10" Type="http://schemas.openxmlformats.org/officeDocument/2006/relationships/hyperlink" Target="http://www.anpec.org.br/encontro2010/inscricao/arquivos/000-eb4c37fbec5b939bcc1a312183e9609b.pdf" TargetMode="External"/><Relationship Id="rId4" Type="http://schemas.openxmlformats.org/officeDocument/2006/relationships/webSettings" Target="webSettings.xml"/><Relationship Id="rId9" Type="http://schemas.openxmlformats.org/officeDocument/2006/relationships/hyperlink" Target="http://www.cade.gov.br/Default.aspx?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3141</Words>
  <Characters>16964</Characters>
  <Application>Microsoft Office Word</Application>
  <DocSecurity>0</DocSecurity>
  <Lines>141</Lines>
  <Paragraphs>40</Paragraphs>
  <ScaleCrop>false</ScaleCrop>
  <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Muniz Neto .</cp:lastModifiedBy>
  <cp:revision>2</cp:revision>
  <dcterms:created xsi:type="dcterms:W3CDTF">2015-11-24T15:45:00Z</dcterms:created>
  <dcterms:modified xsi:type="dcterms:W3CDTF">2015-11-24T14:51:00Z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2014-09-25T00:00:00Z</vt:filetime>
  </property>
  <property fmtid="{D5CDD505-2E9C-101B-9397-08002B2CF9AE}" pid="3" name="Creator">
    <vt:lpwstr>Microsoft® Word 2010</vt:lpwstr>
  </property>
  <property fmtid="{D5CDD505-2E9C-101B-9397-08002B2CF9AE}" pid="4" name="LastSaved">
    <vt:filetime>2015-11-24T00:00:00Z</vt:filetime>
  </property>
</Properties>
</file>