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08" w:rsidRDefault="005F2A08" w:rsidP="00925490">
      <w:pPr>
        <w:jc w:val="center"/>
        <w:rPr>
          <w:rFonts w:ascii="Times New Roman" w:hAnsi="Times New Roman" w:cs="Times New Roman"/>
          <w:b/>
          <w:sz w:val="24"/>
        </w:rPr>
      </w:pPr>
      <w:r>
        <w:rPr>
          <w:rFonts w:ascii="Times New Roman" w:hAnsi="Times New Roman" w:cs="Times New Roman"/>
          <w:b/>
          <w:sz w:val="24"/>
        </w:rPr>
        <w:t>ESTUDO DE CASO</w:t>
      </w:r>
    </w:p>
    <w:p w:rsidR="00B6609E" w:rsidRPr="00925490" w:rsidRDefault="00925490" w:rsidP="00925490">
      <w:pPr>
        <w:jc w:val="center"/>
        <w:rPr>
          <w:b/>
          <w:sz w:val="24"/>
        </w:rPr>
      </w:pPr>
      <w:bookmarkStart w:id="0" w:name="_GoBack"/>
      <w:r w:rsidRPr="00925490">
        <w:rPr>
          <w:rFonts w:ascii="Times New Roman" w:hAnsi="Times New Roman" w:cs="Times New Roman"/>
          <w:b/>
          <w:sz w:val="24"/>
        </w:rPr>
        <w:t>CRIME FALIMENTAR EM FACE DE SIMULAÇÃO DE AUMENTO DE CAPITAL SOCIAL</w:t>
      </w:r>
      <w:bookmarkEnd w:id="0"/>
      <w:r w:rsidR="00042C17">
        <w:rPr>
          <w:rStyle w:val="Refdenotaderodap"/>
          <w:rFonts w:ascii="Times New Roman" w:hAnsi="Times New Roman" w:cs="Times New Roman"/>
          <w:b/>
          <w:sz w:val="28"/>
          <w:szCs w:val="28"/>
        </w:rPr>
        <w:footnoteReference w:id="1"/>
      </w:r>
    </w:p>
    <w:p w:rsidR="00B6609E" w:rsidRPr="007F7D06" w:rsidRDefault="00943126" w:rsidP="007F2025">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José Muniz Neto</w:t>
      </w:r>
      <w:r w:rsidR="004C0972" w:rsidRPr="007F7D06">
        <w:rPr>
          <w:rStyle w:val="Refdenotaderodap"/>
          <w:rFonts w:ascii="Times New Roman" w:hAnsi="Times New Roman" w:cs="Times New Roman"/>
          <w:i/>
          <w:sz w:val="24"/>
          <w:szCs w:val="24"/>
        </w:rPr>
        <w:footnoteReference w:id="2"/>
      </w:r>
    </w:p>
    <w:p w:rsidR="007F2025" w:rsidRDefault="007F2025" w:rsidP="00EC2FD0">
      <w:pPr>
        <w:spacing w:after="0" w:line="360" w:lineRule="auto"/>
        <w:jc w:val="center"/>
        <w:rPr>
          <w:rFonts w:ascii="Times New Roman" w:hAnsi="Times New Roman" w:cs="Times New Roman"/>
          <w:b/>
          <w:sz w:val="24"/>
          <w:szCs w:val="24"/>
        </w:rPr>
      </w:pPr>
    </w:p>
    <w:p w:rsidR="005F45FE" w:rsidRPr="002C0ACD" w:rsidRDefault="005F45FE" w:rsidP="005F45FE">
      <w:pPr>
        <w:pStyle w:val="PargrafodaLista"/>
        <w:spacing w:after="0" w:line="360" w:lineRule="auto"/>
        <w:ind w:left="426"/>
        <w:jc w:val="both"/>
        <w:rPr>
          <w:rFonts w:ascii="Times New Roman" w:hAnsi="Times New Roman" w:cs="Times New Roman"/>
          <w:b/>
          <w:sz w:val="24"/>
          <w:szCs w:val="24"/>
        </w:rPr>
      </w:pPr>
    </w:p>
    <w:p w:rsidR="001D7045" w:rsidRDefault="001454E9" w:rsidP="00F26DFF">
      <w:pPr>
        <w:pStyle w:val="PargrafodaLista"/>
        <w:numPr>
          <w:ilvl w:val="0"/>
          <w:numId w:val="9"/>
        </w:numPr>
        <w:spacing w:after="0" w:line="360" w:lineRule="auto"/>
        <w:ind w:left="426"/>
        <w:jc w:val="both"/>
        <w:rPr>
          <w:rFonts w:ascii="Times New Roman" w:hAnsi="Times New Roman" w:cs="Times New Roman"/>
          <w:b/>
          <w:sz w:val="24"/>
          <w:szCs w:val="24"/>
        </w:rPr>
      </w:pPr>
      <w:r w:rsidRPr="002C0ACD">
        <w:rPr>
          <w:rFonts w:ascii="Times New Roman" w:hAnsi="Times New Roman" w:cs="Times New Roman"/>
          <w:b/>
          <w:sz w:val="24"/>
          <w:szCs w:val="24"/>
        </w:rPr>
        <w:t>DESCRIÇÃO DO CASO</w:t>
      </w:r>
    </w:p>
    <w:p w:rsidR="00943126" w:rsidRDefault="00D340B6" w:rsidP="00943126">
      <w:pPr>
        <w:spacing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Batistaka</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Batitambore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Batikartera</w:t>
      </w:r>
      <w:proofErr w:type="spellEnd"/>
      <w:r>
        <w:rPr>
          <w:rFonts w:ascii="Times New Roman" w:hAnsi="Times New Roman" w:cs="Times New Roman"/>
          <w:sz w:val="24"/>
          <w:szCs w:val="24"/>
        </w:rPr>
        <w:t xml:space="preserve">, sócios da </w:t>
      </w:r>
      <w:proofErr w:type="spellStart"/>
      <w:r>
        <w:rPr>
          <w:rFonts w:ascii="Times New Roman" w:hAnsi="Times New Roman" w:cs="Times New Roman"/>
          <w:sz w:val="24"/>
          <w:szCs w:val="24"/>
        </w:rPr>
        <w:t>Ene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Ergúmenos</w:t>
      </w:r>
      <w:proofErr w:type="spellEnd"/>
      <w:r>
        <w:rPr>
          <w:rFonts w:ascii="Times New Roman" w:hAnsi="Times New Roman" w:cs="Times New Roman"/>
          <w:sz w:val="24"/>
          <w:szCs w:val="24"/>
        </w:rPr>
        <w:t xml:space="preserve"> Empreendimentos Hoteleiros LTDA, simularam aumento de capital social, despesas extraordinárias, dívidas ativas/passivas e perdas de sua empresa, no intuito de se beneficiar de crédito especial em face de s</w:t>
      </w:r>
      <w:r w:rsidR="00536A44">
        <w:rPr>
          <w:rFonts w:ascii="Times New Roman" w:hAnsi="Times New Roman" w:cs="Times New Roman"/>
          <w:sz w:val="24"/>
          <w:szCs w:val="24"/>
        </w:rPr>
        <w:t>eu novo valor de capital social, alterando-o de R$66.666,00 para R$666.666,00</w:t>
      </w:r>
      <w:r w:rsidR="00132772">
        <w:rPr>
          <w:rFonts w:ascii="Times New Roman" w:hAnsi="Times New Roman" w:cs="Times New Roman"/>
          <w:sz w:val="24"/>
          <w:szCs w:val="24"/>
        </w:rPr>
        <w:t>, com cotas a integralizar</w:t>
      </w:r>
      <w:r w:rsidR="00536A44">
        <w:rPr>
          <w:rFonts w:ascii="Times New Roman" w:hAnsi="Times New Roman" w:cs="Times New Roman"/>
          <w:sz w:val="24"/>
          <w:szCs w:val="24"/>
        </w:rPr>
        <w:t xml:space="preserve">. </w:t>
      </w:r>
      <w:r w:rsidR="00132772">
        <w:rPr>
          <w:rFonts w:ascii="Times New Roman" w:hAnsi="Times New Roman" w:cs="Times New Roman"/>
          <w:sz w:val="24"/>
          <w:szCs w:val="24"/>
        </w:rPr>
        <w:t xml:space="preserve">Além disso, também </w:t>
      </w:r>
      <w:r w:rsidR="00524B94">
        <w:rPr>
          <w:rFonts w:ascii="Times New Roman" w:hAnsi="Times New Roman" w:cs="Times New Roman"/>
          <w:sz w:val="24"/>
          <w:szCs w:val="24"/>
        </w:rPr>
        <w:t>se constatou</w:t>
      </w:r>
      <w:r w:rsidR="00132772">
        <w:rPr>
          <w:rFonts w:ascii="Times New Roman" w:hAnsi="Times New Roman" w:cs="Times New Roman"/>
          <w:sz w:val="24"/>
          <w:szCs w:val="24"/>
        </w:rPr>
        <w:t xml:space="preserve"> o aumento do capital de bens imóveis e dos equipamentos da empresa. Após </w:t>
      </w:r>
      <w:r w:rsidR="00DA6224">
        <w:rPr>
          <w:rFonts w:ascii="Times New Roman" w:hAnsi="Times New Roman" w:cs="Times New Roman"/>
          <w:sz w:val="24"/>
          <w:szCs w:val="24"/>
        </w:rPr>
        <w:t xml:space="preserve">60 dias da referida simulação, foi proferida sentença de decretação de falência dos empresários supracitados e, por conta </w:t>
      </w:r>
      <w:proofErr w:type="gramStart"/>
      <w:r w:rsidR="00DA6224">
        <w:rPr>
          <w:rFonts w:ascii="Times New Roman" w:hAnsi="Times New Roman" w:cs="Times New Roman"/>
          <w:sz w:val="24"/>
          <w:szCs w:val="24"/>
        </w:rPr>
        <w:t>disto</w:t>
      </w:r>
      <w:proofErr w:type="gramEnd"/>
      <w:r w:rsidR="00DA6224">
        <w:rPr>
          <w:rFonts w:ascii="Times New Roman" w:hAnsi="Times New Roman" w:cs="Times New Roman"/>
          <w:sz w:val="24"/>
          <w:szCs w:val="24"/>
        </w:rPr>
        <w:t>, os credores alegam o cometimento de crime falimentar visando a responsabilização tantos dos sócios quanto da própria empresa enquanto pessoa jurídica de direito privado.</w:t>
      </w:r>
    </w:p>
    <w:p w:rsidR="00435A6A" w:rsidRDefault="00435A6A" w:rsidP="0029606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Conforme exposto, foi decretada a falência da referida empresa. A falência é um meio extinti</w:t>
      </w:r>
      <w:r w:rsidR="002D6117">
        <w:rPr>
          <w:rFonts w:ascii="Times New Roman" w:hAnsi="Times New Roman" w:cs="Times New Roman"/>
          <w:sz w:val="24"/>
          <w:szCs w:val="24"/>
        </w:rPr>
        <w:t xml:space="preserve">vo da pessoa jurídica. </w:t>
      </w:r>
      <w:r w:rsidR="00F64F30">
        <w:rPr>
          <w:rFonts w:ascii="Times New Roman" w:hAnsi="Times New Roman" w:cs="Times New Roman"/>
          <w:sz w:val="24"/>
          <w:szCs w:val="24"/>
        </w:rPr>
        <w:t>Ensina-nos</w:t>
      </w:r>
      <w:r w:rsidR="008C51B3">
        <w:rPr>
          <w:rFonts w:ascii="Times New Roman" w:hAnsi="Times New Roman" w:cs="Times New Roman"/>
          <w:sz w:val="24"/>
          <w:szCs w:val="24"/>
        </w:rPr>
        <w:t xml:space="preserve"> </w:t>
      </w:r>
      <w:r w:rsidR="00F575D0">
        <w:rPr>
          <w:rFonts w:ascii="Times New Roman" w:hAnsi="Times New Roman" w:cs="Times New Roman"/>
          <w:sz w:val="24"/>
          <w:szCs w:val="24"/>
        </w:rPr>
        <w:t>José Francelino de Araújo</w:t>
      </w:r>
      <w:r w:rsidR="008C51B3">
        <w:rPr>
          <w:rFonts w:ascii="Times New Roman" w:hAnsi="Times New Roman" w:cs="Times New Roman"/>
          <w:sz w:val="24"/>
          <w:szCs w:val="24"/>
        </w:rPr>
        <w:t xml:space="preserve"> </w:t>
      </w:r>
      <w:r w:rsidR="002D6117">
        <w:rPr>
          <w:rFonts w:ascii="Times New Roman" w:hAnsi="Times New Roman" w:cs="Times New Roman"/>
          <w:sz w:val="24"/>
          <w:szCs w:val="24"/>
        </w:rPr>
        <w:t>que</w:t>
      </w:r>
      <w:r w:rsidR="00A563C1">
        <w:rPr>
          <w:rFonts w:ascii="Times New Roman" w:hAnsi="Times New Roman" w:cs="Times New Roman"/>
          <w:sz w:val="24"/>
          <w:szCs w:val="24"/>
        </w:rPr>
        <w:t xml:space="preserve"> falência consiste em</w:t>
      </w:r>
      <w:r w:rsidR="002D6117">
        <w:rPr>
          <w:rFonts w:ascii="Times New Roman" w:hAnsi="Times New Roman" w:cs="Times New Roman"/>
          <w:sz w:val="24"/>
          <w:szCs w:val="24"/>
        </w:rPr>
        <w:t xml:space="preserve"> </w:t>
      </w:r>
      <w:r w:rsidR="0029606B" w:rsidRPr="0029606B">
        <w:rPr>
          <w:rFonts w:ascii="Times New Roman" w:eastAsia="Times New Roman" w:hAnsi="Times New Roman" w:cs="Times New Roman"/>
          <w:color w:val="000000"/>
          <w:sz w:val="24"/>
          <w:szCs w:val="24"/>
          <w:lang w:eastAsia="pt-BR"/>
        </w:rPr>
        <w:t xml:space="preserve">“um conjunto de bens de execução forçada coletiva patrocinada pelo Estado, que, visando à proteção do crédito, como fator de riqueza, cumpre a promessa de partilhar os bens do devedor para que haja a </w:t>
      </w:r>
      <w:r w:rsidR="0029606B" w:rsidRPr="0029606B">
        <w:rPr>
          <w:rFonts w:ascii="Times New Roman" w:eastAsia="Times New Roman" w:hAnsi="Times New Roman" w:cs="Times New Roman"/>
          <w:i/>
          <w:color w:val="000000"/>
          <w:sz w:val="24"/>
          <w:szCs w:val="24"/>
          <w:lang w:eastAsia="pt-BR"/>
        </w:rPr>
        <w:t xml:space="preserve">par conditio </w:t>
      </w:r>
      <w:proofErr w:type="spellStart"/>
      <w:r w:rsidR="0029606B" w:rsidRPr="007F2025">
        <w:rPr>
          <w:rFonts w:ascii="Times New Roman" w:eastAsia="Times New Roman" w:hAnsi="Times New Roman" w:cs="Times New Roman"/>
          <w:i/>
          <w:color w:val="000000" w:themeColor="text1"/>
          <w:sz w:val="24"/>
          <w:szCs w:val="24"/>
          <w:lang w:eastAsia="pt-BR"/>
        </w:rPr>
        <w:t>creditorum</w:t>
      </w:r>
      <w:proofErr w:type="spellEnd"/>
      <w:r w:rsidR="0029606B" w:rsidRPr="007F2025">
        <w:rPr>
          <w:rFonts w:ascii="Times New Roman" w:eastAsia="Times New Roman" w:hAnsi="Times New Roman" w:cs="Times New Roman"/>
          <w:color w:val="000000" w:themeColor="text1"/>
          <w:sz w:val="24"/>
          <w:szCs w:val="24"/>
          <w:lang w:eastAsia="pt-BR"/>
        </w:rPr>
        <w:t>”</w:t>
      </w:r>
      <w:r w:rsidRPr="007F2025">
        <w:rPr>
          <w:rFonts w:ascii="Times New Roman" w:hAnsi="Times New Roman" w:cs="Times New Roman"/>
          <w:i/>
          <w:color w:val="000000" w:themeColor="text1"/>
          <w:sz w:val="24"/>
          <w:szCs w:val="24"/>
        </w:rPr>
        <w:t xml:space="preserve"> </w:t>
      </w:r>
      <w:r w:rsidRPr="007F2025">
        <w:rPr>
          <w:rFonts w:ascii="Times New Roman" w:hAnsi="Times New Roman" w:cs="Times New Roman"/>
          <w:color w:val="000000" w:themeColor="text1"/>
          <w:sz w:val="24"/>
          <w:szCs w:val="24"/>
        </w:rPr>
        <w:t>(</w:t>
      </w:r>
      <w:r w:rsidR="00913F8F" w:rsidRPr="007F2025">
        <w:rPr>
          <w:rFonts w:ascii="Times New Roman" w:hAnsi="Times New Roman" w:cs="Times New Roman"/>
          <w:color w:val="000000" w:themeColor="text1"/>
          <w:sz w:val="24"/>
          <w:szCs w:val="24"/>
        </w:rPr>
        <w:t>ARAÚJO, 2009</w:t>
      </w:r>
      <w:r w:rsidRPr="007F2025">
        <w:rPr>
          <w:rFonts w:ascii="Times New Roman" w:hAnsi="Times New Roman" w:cs="Times New Roman"/>
          <w:color w:val="000000" w:themeColor="text1"/>
          <w:sz w:val="24"/>
          <w:szCs w:val="24"/>
        </w:rPr>
        <w:t>. p</w:t>
      </w:r>
      <w:r w:rsidR="00913F8F" w:rsidRPr="007F2025">
        <w:rPr>
          <w:rFonts w:ascii="Times New Roman" w:hAnsi="Times New Roman" w:cs="Times New Roman"/>
          <w:color w:val="000000" w:themeColor="text1"/>
          <w:sz w:val="24"/>
          <w:szCs w:val="24"/>
        </w:rPr>
        <w:t>. 25</w:t>
      </w:r>
      <w:r w:rsidRPr="007F2025">
        <w:rPr>
          <w:rFonts w:ascii="Times New Roman" w:hAnsi="Times New Roman" w:cs="Times New Roman"/>
          <w:color w:val="000000" w:themeColor="text1"/>
          <w:sz w:val="24"/>
          <w:szCs w:val="24"/>
        </w:rPr>
        <w:t>).</w:t>
      </w:r>
      <w:r w:rsidR="000347D5">
        <w:rPr>
          <w:rFonts w:ascii="Times New Roman" w:hAnsi="Times New Roman" w:cs="Times New Roman"/>
          <w:sz w:val="24"/>
          <w:szCs w:val="24"/>
        </w:rPr>
        <w:t xml:space="preserve"> De acordo com o conceito exposto, cabe processo falimentar às empresas</w:t>
      </w:r>
      <w:r w:rsidR="00524B94">
        <w:rPr>
          <w:rFonts w:ascii="Times New Roman" w:hAnsi="Times New Roman" w:cs="Times New Roman"/>
          <w:sz w:val="24"/>
          <w:szCs w:val="24"/>
        </w:rPr>
        <w:t xml:space="preserve"> individuais e sociedades empresárias</w:t>
      </w:r>
      <w:r w:rsidR="000347D5">
        <w:rPr>
          <w:rFonts w:ascii="Times New Roman" w:hAnsi="Times New Roman" w:cs="Times New Roman"/>
          <w:sz w:val="24"/>
          <w:szCs w:val="24"/>
        </w:rPr>
        <w:t>, entretanto o art. 2º da Lei de Falência exclui algumas da possibilidade de decretação de falência.</w:t>
      </w:r>
      <w:r w:rsidR="00606093">
        <w:rPr>
          <w:rFonts w:ascii="Times New Roman" w:hAnsi="Times New Roman" w:cs="Times New Roman"/>
          <w:sz w:val="24"/>
          <w:szCs w:val="24"/>
        </w:rPr>
        <w:t xml:space="preserve"> </w:t>
      </w:r>
      <w:r w:rsidR="004B3F2A">
        <w:rPr>
          <w:rFonts w:ascii="Times New Roman" w:hAnsi="Times New Roman" w:cs="Times New Roman"/>
          <w:sz w:val="24"/>
          <w:szCs w:val="24"/>
        </w:rPr>
        <w:t xml:space="preserve">Desta forma, é visível a possibilidade de decretação falimentar em face da </w:t>
      </w:r>
      <w:r w:rsidR="00F45253">
        <w:rPr>
          <w:rFonts w:ascii="Times New Roman" w:hAnsi="Times New Roman" w:cs="Times New Roman"/>
          <w:sz w:val="24"/>
          <w:szCs w:val="24"/>
        </w:rPr>
        <w:t>sociedade empresária em questão</w:t>
      </w:r>
      <w:r w:rsidR="004B3F2A">
        <w:rPr>
          <w:rFonts w:ascii="Times New Roman" w:hAnsi="Times New Roman" w:cs="Times New Roman"/>
          <w:sz w:val="24"/>
          <w:szCs w:val="24"/>
        </w:rPr>
        <w:t>, pelo fato desta se tratar de uma sociedade limitada.</w:t>
      </w:r>
    </w:p>
    <w:p w:rsidR="002D6117" w:rsidRDefault="00AB290C" w:rsidP="008C51B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falência tem como características primordiais que o devedor seja empresário (individual ou sociedade empresarial) e a existência de impontualidade com protesto. A esta última cabe maiores elucidações, visto que a insolvência cabível no processo falimentar é a financeira, ou seja, aquela consistente na </w:t>
      </w:r>
      <w:r w:rsidR="00134280">
        <w:rPr>
          <w:rFonts w:ascii="Times New Roman" w:hAnsi="Times New Roman" w:cs="Times New Roman"/>
          <w:sz w:val="24"/>
          <w:szCs w:val="24"/>
        </w:rPr>
        <w:t>falta de expectativa</w:t>
      </w:r>
      <w:r>
        <w:rPr>
          <w:rFonts w:ascii="Times New Roman" w:hAnsi="Times New Roman" w:cs="Times New Roman"/>
          <w:sz w:val="24"/>
          <w:szCs w:val="24"/>
        </w:rPr>
        <w:t xml:space="preserve"> </w:t>
      </w:r>
      <w:r w:rsidR="00134280">
        <w:rPr>
          <w:rFonts w:ascii="Times New Roman" w:hAnsi="Times New Roman" w:cs="Times New Roman"/>
          <w:sz w:val="24"/>
          <w:szCs w:val="24"/>
        </w:rPr>
        <w:t xml:space="preserve">de recebimento </w:t>
      </w:r>
      <w:r>
        <w:rPr>
          <w:rFonts w:ascii="Times New Roman" w:hAnsi="Times New Roman" w:cs="Times New Roman"/>
          <w:sz w:val="24"/>
          <w:szCs w:val="24"/>
        </w:rPr>
        <w:t>de capital para honrar com suas dívidas. Esta é a insolvência definitiva do empresário.</w:t>
      </w:r>
      <w:r w:rsidR="00134280">
        <w:rPr>
          <w:rFonts w:ascii="Times New Roman" w:hAnsi="Times New Roman" w:cs="Times New Roman"/>
          <w:sz w:val="24"/>
          <w:szCs w:val="24"/>
        </w:rPr>
        <w:t xml:space="preserve"> </w:t>
      </w:r>
      <w:r w:rsidR="0009256C">
        <w:rPr>
          <w:rFonts w:ascii="Times New Roman" w:hAnsi="Times New Roman" w:cs="Times New Roman"/>
          <w:sz w:val="24"/>
          <w:szCs w:val="24"/>
        </w:rPr>
        <w:t>Os efeitos deste processo</w:t>
      </w:r>
      <w:r w:rsidR="003D38A9">
        <w:rPr>
          <w:rFonts w:ascii="Times New Roman" w:hAnsi="Times New Roman" w:cs="Times New Roman"/>
          <w:sz w:val="24"/>
          <w:szCs w:val="24"/>
        </w:rPr>
        <w:t xml:space="preserve"> são vistos no art. 99 da Lei de Falências, conforme </w:t>
      </w:r>
      <w:r w:rsidR="00943849">
        <w:rPr>
          <w:rFonts w:ascii="Times New Roman" w:hAnsi="Times New Roman" w:cs="Times New Roman"/>
          <w:sz w:val="24"/>
          <w:szCs w:val="24"/>
        </w:rPr>
        <w:t>se pode</w:t>
      </w:r>
      <w:r w:rsidR="003D38A9">
        <w:rPr>
          <w:rFonts w:ascii="Times New Roman" w:hAnsi="Times New Roman" w:cs="Times New Roman"/>
          <w:sz w:val="24"/>
          <w:szCs w:val="24"/>
        </w:rPr>
        <w:t xml:space="preserve"> ver: </w:t>
      </w:r>
    </w:p>
    <w:p w:rsidR="00B530A0" w:rsidRDefault="006B0CFA" w:rsidP="004100A9">
      <w:pPr>
        <w:spacing w:after="0" w:line="240" w:lineRule="auto"/>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w:t>
      </w:r>
      <w:r w:rsidR="003D38A9" w:rsidRPr="003D38A9">
        <w:rPr>
          <w:rFonts w:ascii="Times New Roman" w:eastAsia="Times New Roman" w:hAnsi="Times New Roman" w:cs="Times New Roman"/>
          <w:color w:val="000000"/>
          <w:sz w:val="20"/>
          <w:szCs w:val="20"/>
          <w:lang w:eastAsia="pt-BR"/>
        </w:rPr>
        <w:t>Art. 99. A sentença que decretar a falência do devedor, dentre outras determinações:</w:t>
      </w:r>
      <w:r w:rsidR="0085394F">
        <w:rPr>
          <w:rFonts w:ascii="Times New Roman" w:eastAsia="Times New Roman" w:hAnsi="Times New Roman" w:cs="Times New Roman"/>
          <w:color w:val="000000"/>
          <w:sz w:val="27"/>
          <w:szCs w:val="27"/>
          <w:lang w:eastAsia="pt-BR"/>
        </w:rPr>
        <w:t xml:space="preserve"> </w:t>
      </w:r>
      <w:r w:rsidR="003D38A9" w:rsidRPr="003C4006">
        <w:rPr>
          <w:rFonts w:ascii="Times New Roman" w:eastAsia="Times New Roman" w:hAnsi="Times New Roman" w:cs="Times New Roman"/>
          <w:color w:val="000000"/>
          <w:sz w:val="20"/>
          <w:szCs w:val="20"/>
          <w:lang w:eastAsia="pt-BR"/>
        </w:rPr>
        <w:t>[...]</w:t>
      </w:r>
      <w:r w:rsidR="003D38A9" w:rsidRPr="003D38A9">
        <w:rPr>
          <w:rFonts w:ascii="Times New Roman" w:eastAsia="Times New Roman" w:hAnsi="Times New Roman" w:cs="Times New Roman"/>
          <w:color w:val="000000"/>
          <w:sz w:val="20"/>
          <w:szCs w:val="20"/>
          <w:lang w:eastAsia="pt-BR"/>
        </w:rPr>
        <w:t xml:space="preserve"> II – </w:t>
      </w:r>
      <w:r w:rsidR="003D38A9" w:rsidRPr="003D38A9">
        <w:rPr>
          <w:rFonts w:ascii="Times New Roman" w:eastAsia="Times New Roman" w:hAnsi="Times New Roman" w:cs="Times New Roman"/>
          <w:b/>
          <w:color w:val="000000"/>
          <w:sz w:val="20"/>
          <w:szCs w:val="20"/>
          <w:lang w:eastAsia="pt-BR"/>
        </w:rPr>
        <w:t>fixará o termo legal da falência</w:t>
      </w:r>
      <w:r w:rsidR="003D38A9" w:rsidRPr="003D38A9">
        <w:rPr>
          <w:rFonts w:ascii="Times New Roman" w:eastAsia="Times New Roman" w:hAnsi="Times New Roman" w:cs="Times New Roman"/>
          <w:color w:val="000000"/>
          <w:sz w:val="20"/>
          <w:szCs w:val="20"/>
          <w:lang w:eastAsia="pt-BR"/>
        </w:rPr>
        <w:t>, sem poder retrotraí-lo por mais de 90 (noventa) dias contados do pedido de falência, do pedido de recuperação judicial ou do 1</w:t>
      </w:r>
      <w:r w:rsidR="003D38A9" w:rsidRPr="003D38A9">
        <w:rPr>
          <w:rFonts w:ascii="Times New Roman" w:eastAsia="Times New Roman" w:hAnsi="Times New Roman" w:cs="Times New Roman"/>
          <w:color w:val="000000"/>
          <w:sz w:val="20"/>
          <w:szCs w:val="20"/>
          <w:u w:val="single"/>
          <w:vertAlign w:val="superscript"/>
          <w:lang w:eastAsia="pt-BR"/>
        </w:rPr>
        <w:t>o</w:t>
      </w:r>
      <w:r w:rsidR="003D38A9" w:rsidRPr="003C4006">
        <w:rPr>
          <w:rFonts w:ascii="Times New Roman" w:eastAsia="Times New Roman" w:hAnsi="Times New Roman" w:cs="Times New Roman"/>
          <w:color w:val="000000"/>
          <w:sz w:val="20"/>
          <w:szCs w:val="20"/>
          <w:lang w:eastAsia="pt-BR"/>
        </w:rPr>
        <w:t> </w:t>
      </w:r>
      <w:r w:rsidR="003D38A9" w:rsidRPr="003D38A9">
        <w:rPr>
          <w:rFonts w:ascii="Times New Roman" w:eastAsia="Times New Roman" w:hAnsi="Times New Roman" w:cs="Times New Roman"/>
          <w:color w:val="000000"/>
          <w:sz w:val="20"/>
          <w:szCs w:val="20"/>
          <w:lang w:eastAsia="pt-BR"/>
        </w:rPr>
        <w:t xml:space="preserve">(primeiro) protesto por falta de pagamento, excluindo-se, para esta finalidade, os protestos que tenham sido cancelados; III </w:t>
      </w:r>
      <w:r w:rsidR="003D38A9" w:rsidRPr="003D38A9">
        <w:rPr>
          <w:rFonts w:ascii="Times New Roman" w:eastAsia="Times New Roman" w:hAnsi="Times New Roman" w:cs="Times New Roman"/>
          <w:b/>
          <w:color w:val="000000"/>
          <w:sz w:val="20"/>
          <w:szCs w:val="20"/>
          <w:lang w:eastAsia="pt-BR"/>
        </w:rPr>
        <w:t>– ordenará ao falido que apresente</w:t>
      </w:r>
      <w:r w:rsidR="003D38A9" w:rsidRPr="003D38A9">
        <w:rPr>
          <w:rFonts w:ascii="Times New Roman" w:eastAsia="Times New Roman" w:hAnsi="Times New Roman" w:cs="Times New Roman"/>
          <w:color w:val="000000"/>
          <w:sz w:val="20"/>
          <w:szCs w:val="20"/>
          <w:lang w:eastAsia="pt-BR"/>
        </w:rPr>
        <w:t xml:space="preserve">, no prazo máximo de 5 (cinco) dias, </w:t>
      </w:r>
      <w:r w:rsidR="003D38A9" w:rsidRPr="003D38A9">
        <w:rPr>
          <w:rFonts w:ascii="Times New Roman" w:eastAsia="Times New Roman" w:hAnsi="Times New Roman" w:cs="Times New Roman"/>
          <w:b/>
          <w:color w:val="000000"/>
          <w:sz w:val="20"/>
          <w:szCs w:val="20"/>
          <w:lang w:eastAsia="pt-BR"/>
        </w:rPr>
        <w:t>relação nominal dos credores</w:t>
      </w:r>
      <w:r w:rsidR="003D38A9" w:rsidRPr="003D38A9">
        <w:rPr>
          <w:rFonts w:ascii="Times New Roman" w:eastAsia="Times New Roman" w:hAnsi="Times New Roman" w:cs="Times New Roman"/>
          <w:color w:val="000000"/>
          <w:sz w:val="20"/>
          <w:szCs w:val="20"/>
          <w:lang w:eastAsia="pt-BR"/>
        </w:rPr>
        <w:t>, indicando endereço, importância, natureza e classificação dos respectivos créditos, se esta já não se encontrar nos autos, sob pena de desobediência;</w:t>
      </w:r>
      <w:r w:rsidR="0085394F">
        <w:rPr>
          <w:rFonts w:ascii="Times New Roman" w:eastAsia="Times New Roman" w:hAnsi="Times New Roman" w:cs="Times New Roman"/>
          <w:color w:val="000000"/>
          <w:sz w:val="20"/>
          <w:szCs w:val="20"/>
          <w:lang w:eastAsia="pt-BR"/>
        </w:rPr>
        <w:t xml:space="preserve"> </w:t>
      </w:r>
      <w:r w:rsidR="005822F4" w:rsidRPr="003C4006">
        <w:rPr>
          <w:rFonts w:ascii="Times New Roman" w:eastAsia="Times New Roman" w:hAnsi="Times New Roman" w:cs="Times New Roman"/>
          <w:color w:val="000000"/>
          <w:sz w:val="20"/>
          <w:szCs w:val="20"/>
          <w:lang w:eastAsia="pt-BR"/>
        </w:rPr>
        <w:t>[...]</w:t>
      </w:r>
      <w:r w:rsidR="0085394F">
        <w:rPr>
          <w:rFonts w:ascii="Times New Roman" w:eastAsia="Times New Roman" w:hAnsi="Times New Roman" w:cs="Times New Roman"/>
          <w:color w:val="000000"/>
          <w:sz w:val="20"/>
          <w:szCs w:val="20"/>
          <w:lang w:eastAsia="pt-BR"/>
        </w:rPr>
        <w:t> </w:t>
      </w:r>
      <w:r w:rsidR="003D38A9" w:rsidRPr="003D38A9">
        <w:rPr>
          <w:rFonts w:ascii="Times New Roman" w:eastAsia="Times New Roman" w:hAnsi="Times New Roman" w:cs="Times New Roman"/>
          <w:color w:val="000000"/>
          <w:sz w:val="20"/>
          <w:szCs w:val="20"/>
          <w:lang w:eastAsia="pt-BR"/>
        </w:rPr>
        <w:t xml:space="preserve">V – </w:t>
      </w:r>
      <w:r w:rsidR="003D38A9" w:rsidRPr="003D38A9">
        <w:rPr>
          <w:rFonts w:ascii="Times New Roman" w:eastAsia="Times New Roman" w:hAnsi="Times New Roman" w:cs="Times New Roman"/>
          <w:b/>
          <w:color w:val="000000"/>
          <w:sz w:val="20"/>
          <w:szCs w:val="20"/>
          <w:lang w:eastAsia="pt-BR"/>
        </w:rPr>
        <w:t>ordenará a suspensão de todas as ações ou execuções contra o falido</w:t>
      </w:r>
      <w:r w:rsidR="003D38A9" w:rsidRPr="003D38A9">
        <w:rPr>
          <w:rFonts w:ascii="Times New Roman" w:eastAsia="Times New Roman" w:hAnsi="Times New Roman" w:cs="Times New Roman"/>
          <w:color w:val="000000"/>
          <w:sz w:val="20"/>
          <w:szCs w:val="20"/>
          <w:lang w:eastAsia="pt-BR"/>
        </w:rPr>
        <w:t>, ressalvadas as hipóteses previstas nos §§ 1</w:t>
      </w:r>
      <w:r w:rsidR="003D38A9" w:rsidRPr="003D38A9">
        <w:rPr>
          <w:rFonts w:ascii="Times New Roman" w:eastAsia="Times New Roman" w:hAnsi="Times New Roman" w:cs="Times New Roman"/>
          <w:color w:val="000000"/>
          <w:sz w:val="20"/>
          <w:szCs w:val="20"/>
          <w:u w:val="single"/>
          <w:vertAlign w:val="superscript"/>
          <w:lang w:eastAsia="pt-BR"/>
        </w:rPr>
        <w:t>o</w:t>
      </w:r>
      <w:r w:rsidR="003D38A9" w:rsidRPr="003C4006">
        <w:rPr>
          <w:rFonts w:ascii="Times New Roman" w:eastAsia="Times New Roman" w:hAnsi="Times New Roman" w:cs="Times New Roman"/>
          <w:color w:val="000000"/>
          <w:sz w:val="20"/>
          <w:szCs w:val="20"/>
          <w:lang w:eastAsia="pt-BR"/>
        </w:rPr>
        <w:t> </w:t>
      </w:r>
      <w:r w:rsidR="003D38A9" w:rsidRPr="003D38A9">
        <w:rPr>
          <w:rFonts w:ascii="Times New Roman" w:eastAsia="Times New Roman" w:hAnsi="Times New Roman" w:cs="Times New Roman"/>
          <w:color w:val="000000"/>
          <w:sz w:val="20"/>
          <w:szCs w:val="20"/>
          <w:lang w:eastAsia="pt-BR"/>
        </w:rPr>
        <w:t>e 2</w:t>
      </w:r>
      <w:r w:rsidR="003D38A9" w:rsidRPr="003D38A9">
        <w:rPr>
          <w:rFonts w:ascii="Times New Roman" w:eastAsia="Times New Roman" w:hAnsi="Times New Roman" w:cs="Times New Roman"/>
          <w:color w:val="000000"/>
          <w:sz w:val="20"/>
          <w:szCs w:val="20"/>
          <w:u w:val="single"/>
          <w:vertAlign w:val="superscript"/>
          <w:lang w:eastAsia="pt-BR"/>
        </w:rPr>
        <w:t>o</w:t>
      </w:r>
      <w:r w:rsidR="003D38A9" w:rsidRPr="003C4006">
        <w:rPr>
          <w:rFonts w:ascii="Times New Roman" w:eastAsia="Times New Roman" w:hAnsi="Times New Roman" w:cs="Times New Roman"/>
          <w:color w:val="000000"/>
          <w:sz w:val="20"/>
          <w:szCs w:val="20"/>
          <w:lang w:eastAsia="pt-BR"/>
        </w:rPr>
        <w:t> </w:t>
      </w:r>
      <w:r w:rsidR="003D38A9" w:rsidRPr="003D38A9">
        <w:rPr>
          <w:rFonts w:ascii="Times New Roman" w:eastAsia="Times New Roman" w:hAnsi="Times New Roman" w:cs="Times New Roman"/>
          <w:color w:val="000000"/>
          <w:sz w:val="20"/>
          <w:szCs w:val="20"/>
          <w:lang w:eastAsia="pt-BR"/>
        </w:rPr>
        <w:t>do art. 6</w:t>
      </w:r>
      <w:r w:rsidR="003D38A9" w:rsidRPr="003D38A9">
        <w:rPr>
          <w:rFonts w:ascii="Times New Roman" w:eastAsia="Times New Roman" w:hAnsi="Times New Roman" w:cs="Times New Roman"/>
          <w:color w:val="000000"/>
          <w:sz w:val="20"/>
          <w:szCs w:val="20"/>
          <w:u w:val="single"/>
          <w:vertAlign w:val="superscript"/>
          <w:lang w:eastAsia="pt-BR"/>
        </w:rPr>
        <w:t>o</w:t>
      </w:r>
      <w:r w:rsidR="003D38A9" w:rsidRPr="003C4006">
        <w:rPr>
          <w:rFonts w:ascii="Times New Roman" w:eastAsia="Times New Roman" w:hAnsi="Times New Roman" w:cs="Times New Roman"/>
          <w:color w:val="000000"/>
          <w:sz w:val="20"/>
          <w:szCs w:val="20"/>
          <w:lang w:eastAsia="pt-BR"/>
        </w:rPr>
        <w:t> </w:t>
      </w:r>
      <w:r w:rsidR="003D38A9" w:rsidRPr="003D38A9">
        <w:rPr>
          <w:rFonts w:ascii="Times New Roman" w:eastAsia="Times New Roman" w:hAnsi="Times New Roman" w:cs="Times New Roman"/>
          <w:color w:val="000000"/>
          <w:sz w:val="20"/>
          <w:szCs w:val="20"/>
          <w:lang w:eastAsia="pt-BR"/>
        </w:rPr>
        <w:t>desta Lei;</w:t>
      </w:r>
      <w:r w:rsidR="0085394F">
        <w:rPr>
          <w:rFonts w:ascii="Times New Roman" w:eastAsia="Times New Roman" w:hAnsi="Times New Roman" w:cs="Times New Roman"/>
          <w:color w:val="000000"/>
          <w:sz w:val="20"/>
          <w:szCs w:val="20"/>
          <w:lang w:eastAsia="pt-BR"/>
        </w:rPr>
        <w:t xml:space="preserve"> </w:t>
      </w:r>
      <w:r w:rsidR="003A7D1D" w:rsidRPr="003C4006">
        <w:rPr>
          <w:rFonts w:ascii="Times New Roman" w:eastAsia="Times New Roman" w:hAnsi="Times New Roman" w:cs="Times New Roman"/>
          <w:color w:val="000000"/>
          <w:sz w:val="20"/>
          <w:szCs w:val="20"/>
          <w:lang w:eastAsia="pt-BR"/>
        </w:rPr>
        <w:t>[...]</w:t>
      </w:r>
      <w:r w:rsidR="0085394F">
        <w:rPr>
          <w:rFonts w:ascii="Times New Roman" w:eastAsia="Times New Roman" w:hAnsi="Times New Roman" w:cs="Times New Roman"/>
          <w:color w:val="000000"/>
          <w:sz w:val="20"/>
          <w:szCs w:val="20"/>
          <w:lang w:eastAsia="pt-BR"/>
        </w:rPr>
        <w:t xml:space="preserve"> </w:t>
      </w:r>
      <w:r w:rsidR="003D38A9" w:rsidRPr="003D38A9">
        <w:rPr>
          <w:rFonts w:ascii="Times New Roman" w:eastAsia="Times New Roman" w:hAnsi="Times New Roman" w:cs="Times New Roman"/>
          <w:color w:val="000000"/>
          <w:sz w:val="20"/>
          <w:szCs w:val="20"/>
          <w:lang w:eastAsia="pt-BR"/>
        </w:rPr>
        <w:t>VIII</w:t>
      </w:r>
      <w:r w:rsidR="003D38A9" w:rsidRPr="003D38A9">
        <w:rPr>
          <w:rFonts w:ascii="Times New Roman" w:eastAsia="Times New Roman" w:hAnsi="Times New Roman" w:cs="Times New Roman"/>
          <w:b/>
          <w:color w:val="000000"/>
          <w:sz w:val="20"/>
          <w:szCs w:val="20"/>
          <w:lang w:eastAsia="pt-BR"/>
        </w:rPr>
        <w:t xml:space="preserve"> –</w:t>
      </w:r>
      <w:r w:rsidR="003D38A9" w:rsidRPr="003D38A9">
        <w:rPr>
          <w:rFonts w:ascii="Times New Roman" w:eastAsia="Times New Roman" w:hAnsi="Times New Roman" w:cs="Times New Roman"/>
          <w:color w:val="000000"/>
          <w:sz w:val="20"/>
          <w:szCs w:val="20"/>
          <w:lang w:eastAsia="pt-BR"/>
        </w:rPr>
        <w:t xml:space="preserve"> </w:t>
      </w:r>
      <w:r w:rsidR="003D38A9" w:rsidRPr="003D38A9">
        <w:rPr>
          <w:rFonts w:ascii="Times New Roman" w:eastAsia="Times New Roman" w:hAnsi="Times New Roman" w:cs="Times New Roman"/>
          <w:b/>
          <w:color w:val="000000"/>
          <w:sz w:val="20"/>
          <w:szCs w:val="20"/>
          <w:lang w:eastAsia="pt-BR"/>
        </w:rPr>
        <w:t>ordenará ao Registro Público de Empresas que proceda à anotação da falência no registro do devedor, para que conste a expressão "Falido", a data da decretação da falência e a inabilitação de que trata o art. 102 desta Lei</w:t>
      </w:r>
      <w:r w:rsidR="003C4006" w:rsidRPr="003C4006">
        <w:rPr>
          <w:rFonts w:ascii="Times New Roman" w:eastAsia="Times New Roman" w:hAnsi="Times New Roman" w:cs="Times New Roman"/>
          <w:color w:val="000000"/>
          <w:sz w:val="20"/>
          <w:szCs w:val="20"/>
          <w:lang w:eastAsia="pt-BR"/>
        </w:rPr>
        <w:t>.</w:t>
      </w:r>
      <w:r w:rsidR="0085394F">
        <w:rPr>
          <w:rFonts w:ascii="Times New Roman" w:eastAsia="Times New Roman" w:hAnsi="Times New Roman" w:cs="Times New Roman"/>
          <w:color w:val="000000"/>
          <w:sz w:val="20"/>
          <w:szCs w:val="20"/>
          <w:lang w:eastAsia="pt-BR"/>
        </w:rPr>
        <w:t xml:space="preserve"> </w:t>
      </w:r>
      <w:r w:rsidR="00CA018C" w:rsidRPr="003C4006">
        <w:rPr>
          <w:rFonts w:ascii="Times New Roman" w:eastAsia="Times New Roman" w:hAnsi="Times New Roman" w:cs="Times New Roman"/>
          <w:color w:val="000000"/>
          <w:sz w:val="20"/>
          <w:szCs w:val="20"/>
          <w:lang w:eastAsia="pt-BR"/>
        </w:rPr>
        <w:t>[...]</w:t>
      </w:r>
      <w:r w:rsidR="003D38A9" w:rsidRPr="003D38A9">
        <w:rPr>
          <w:rFonts w:ascii="Times New Roman" w:eastAsia="Times New Roman" w:hAnsi="Times New Roman" w:cs="Times New Roman"/>
          <w:color w:val="000000"/>
          <w:sz w:val="20"/>
          <w:szCs w:val="20"/>
          <w:lang w:eastAsia="pt-BR"/>
        </w:rPr>
        <w:t xml:space="preserve"> X – </w:t>
      </w:r>
      <w:r w:rsidR="003D38A9" w:rsidRPr="003D38A9">
        <w:rPr>
          <w:rFonts w:ascii="Times New Roman" w:eastAsia="Times New Roman" w:hAnsi="Times New Roman" w:cs="Times New Roman"/>
          <w:b/>
          <w:color w:val="000000"/>
          <w:sz w:val="20"/>
          <w:szCs w:val="20"/>
          <w:lang w:eastAsia="pt-BR"/>
        </w:rPr>
        <w:t>determinará a expedição de ofícios aos órgãos e repartições públicas e outras entidades</w:t>
      </w:r>
      <w:r w:rsidR="003D38A9" w:rsidRPr="003D38A9">
        <w:rPr>
          <w:rFonts w:ascii="Times New Roman" w:eastAsia="Times New Roman" w:hAnsi="Times New Roman" w:cs="Times New Roman"/>
          <w:color w:val="000000"/>
          <w:sz w:val="20"/>
          <w:szCs w:val="20"/>
          <w:lang w:eastAsia="pt-BR"/>
        </w:rPr>
        <w:t xml:space="preserve"> para que informem a existência de bens e direitos do falido;</w:t>
      </w:r>
      <w:r w:rsidR="0085394F">
        <w:rPr>
          <w:rFonts w:ascii="Times New Roman" w:eastAsia="Times New Roman" w:hAnsi="Times New Roman" w:cs="Times New Roman"/>
          <w:color w:val="000000"/>
          <w:sz w:val="20"/>
          <w:szCs w:val="20"/>
          <w:lang w:eastAsia="pt-BR"/>
        </w:rPr>
        <w:t xml:space="preserve"> </w:t>
      </w:r>
      <w:r w:rsidR="003D38A9" w:rsidRPr="003D38A9">
        <w:rPr>
          <w:rFonts w:ascii="Times New Roman" w:eastAsia="Times New Roman" w:hAnsi="Times New Roman" w:cs="Times New Roman"/>
          <w:color w:val="000000"/>
          <w:sz w:val="20"/>
          <w:szCs w:val="20"/>
          <w:lang w:eastAsia="pt-BR"/>
        </w:rPr>
        <w:t xml:space="preserve">XI – </w:t>
      </w:r>
      <w:r w:rsidR="003D38A9" w:rsidRPr="003D38A9">
        <w:rPr>
          <w:rFonts w:ascii="Times New Roman" w:eastAsia="Times New Roman" w:hAnsi="Times New Roman" w:cs="Times New Roman"/>
          <w:b/>
          <w:color w:val="000000"/>
          <w:sz w:val="20"/>
          <w:szCs w:val="20"/>
          <w:lang w:eastAsia="pt-BR"/>
        </w:rPr>
        <w:t>pronunciar-se-á a respeito da continuação provisória das atividades do falido com o administrador judicial ou da lacração dos estabelecimentos</w:t>
      </w:r>
      <w:r w:rsidR="003D38A9" w:rsidRPr="003D38A9">
        <w:rPr>
          <w:rFonts w:ascii="Times New Roman" w:eastAsia="Times New Roman" w:hAnsi="Times New Roman" w:cs="Times New Roman"/>
          <w:color w:val="000000"/>
          <w:sz w:val="20"/>
          <w:szCs w:val="20"/>
          <w:lang w:eastAsia="pt-BR"/>
        </w:rPr>
        <w:t>, observado o</w:t>
      </w:r>
      <w:r>
        <w:rPr>
          <w:rFonts w:ascii="Times New Roman" w:eastAsia="Times New Roman" w:hAnsi="Times New Roman" w:cs="Times New Roman"/>
          <w:color w:val="000000"/>
          <w:sz w:val="20"/>
          <w:szCs w:val="20"/>
          <w:lang w:eastAsia="pt-BR"/>
        </w:rPr>
        <w:t xml:space="preserve"> disposto no art. 109 desta </w:t>
      </w:r>
      <w:proofErr w:type="gramStart"/>
      <w:r>
        <w:rPr>
          <w:rFonts w:ascii="Times New Roman" w:eastAsia="Times New Roman" w:hAnsi="Times New Roman" w:cs="Times New Roman"/>
          <w:color w:val="000000"/>
          <w:sz w:val="20"/>
          <w:szCs w:val="20"/>
          <w:lang w:eastAsia="pt-BR"/>
        </w:rPr>
        <w:t>Lei;</w:t>
      </w:r>
      <w:r w:rsidR="00761AF3" w:rsidRPr="003C4006">
        <w:rPr>
          <w:rFonts w:ascii="Times New Roman" w:eastAsia="Times New Roman" w:hAnsi="Times New Roman" w:cs="Times New Roman"/>
          <w:color w:val="000000"/>
          <w:sz w:val="20"/>
          <w:szCs w:val="20"/>
          <w:lang w:eastAsia="pt-BR"/>
        </w:rPr>
        <w:t>[...]</w:t>
      </w:r>
      <w:proofErr w:type="gramEnd"/>
      <w:r>
        <w:rPr>
          <w:rFonts w:ascii="Times New Roman" w:eastAsia="Times New Roman" w:hAnsi="Times New Roman" w:cs="Times New Roman"/>
          <w:color w:val="000000"/>
          <w:sz w:val="20"/>
          <w:szCs w:val="20"/>
          <w:lang w:eastAsia="pt-BR"/>
        </w:rPr>
        <w:t>”</w:t>
      </w:r>
      <w:r w:rsidR="00761AF3" w:rsidRPr="003C4006">
        <w:rPr>
          <w:rFonts w:ascii="Times New Roman" w:eastAsia="Times New Roman" w:hAnsi="Times New Roman" w:cs="Times New Roman"/>
          <w:color w:val="000000"/>
          <w:sz w:val="20"/>
          <w:szCs w:val="20"/>
          <w:lang w:eastAsia="pt-BR"/>
        </w:rPr>
        <w:t xml:space="preserve"> (LEI 11.101, 2005)</w:t>
      </w:r>
      <w:r w:rsidR="00F6268C">
        <w:rPr>
          <w:rFonts w:ascii="Times New Roman" w:eastAsia="Times New Roman" w:hAnsi="Times New Roman" w:cs="Times New Roman"/>
          <w:color w:val="000000"/>
          <w:sz w:val="20"/>
          <w:szCs w:val="20"/>
          <w:lang w:eastAsia="pt-BR"/>
        </w:rPr>
        <w:t>(grifei.)</w:t>
      </w:r>
      <w:r w:rsidR="00761AF3" w:rsidRPr="003C4006">
        <w:rPr>
          <w:rFonts w:ascii="Times New Roman" w:eastAsia="Times New Roman" w:hAnsi="Times New Roman" w:cs="Times New Roman"/>
          <w:color w:val="000000"/>
          <w:sz w:val="20"/>
          <w:szCs w:val="20"/>
          <w:lang w:eastAsia="pt-BR"/>
        </w:rPr>
        <w:t>.</w:t>
      </w:r>
    </w:p>
    <w:p w:rsidR="00524B94" w:rsidRDefault="00524B94" w:rsidP="004100A9">
      <w:pPr>
        <w:spacing w:after="0" w:line="240" w:lineRule="auto"/>
        <w:ind w:left="2268"/>
        <w:jc w:val="both"/>
        <w:rPr>
          <w:rFonts w:ascii="Times New Roman" w:eastAsia="Times New Roman" w:hAnsi="Times New Roman" w:cs="Times New Roman"/>
          <w:color w:val="000000"/>
          <w:sz w:val="20"/>
          <w:szCs w:val="20"/>
          <w:lang w:eastAsia="pt-BR"/>
        </w:rPr>
      </w:pPr>
    </w:p>
    <w:p w:rsidR="00B530A0" w:rsidRDefault="00B530A0" w:rsidP="00A813BE">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Além de</w:t>
      </w:r>
      <w:r w:rsidR="005D4A06">
        <w:rPr>
          <w:rFonts w:ascii="Times New Roman" w:eastAsia="Times New Roman" w:hAnsi="Times New Roman" w:cs="Times New Roman"/>
          <w:color w:val="000000"/>
          <w:sz w:val="24"/>
          <w:szCs w:val="24"/>
          <w:lang w:eastAsia="pt-BR"/>
        </w:rPr>
        <w:t>stes efeitos, cabe-nos elencar também a impossibilidade do empresário em procedimento falimentar</w:t>
      </w:r>
      <w:r w:rsidR="004100A9">
        <w:rPr>
          <w:rFonts w:ascii="Times New Roman" w:eastAsia="Times New Roman" w:hAnsi="Times New Roman" w:cs="Times New Roman"/>
          <w:color w:val="000000"/>
          <w:sz w:val="24"/>
          <w:szCs w:val="24"/>
          <w:lang w:eastAsia="pt-BR"/>
        </w:rPr>
        <w:t xml:space="preserve"> de exercer a função empresarial até o adimplemento das dívidas, antecipação dos créditos vincendos, suspensão da fluência de juros (art. 124 da Lei de Falência) e da prescrição, </w:t>
      </w:r>
      <w:r w:rsidR="009A7A36">
        <w:rPr>
          <w:rFonts w:ascii="Times New Roman" w:eastAsia="Times New Roman" w:hAnsi="Times New Roman" w:cs="Times New Roman"/>
          <w:color w:val="000000"/>
          <w:sz w:val="24"/>
          <w:szCs w:val="24"/>
          <w:lang w:eastAsia="pt-BR"/>
        </w:rPr>
        <w:t>formação da massa falida objetiva, a qual consiste na arrecadação dos bens do devedor.</w:t>
      </w:r>
    </w:p>
    <w:p w:rsidR="00676F6A" w:rsidRDefault="003050E0" w:rsidP="00A813BE">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Por fim, é relevante frisar que a falência </w:t>
      </w:r>
      <w:r w:rsidR="00666A19">
        <w:rPr>
          <w:rFonts w:ascii="Times New Roman" w:eastAsia="Times New Roman" w:hAnsi="Times New Roman" w:cs="Times New Roman"/>
          <w:color w:val="000000"/>
          <w:sz w:val="24"/>
          <w:szCs w:val="24"/>
          <w:lang w:eastAsia="pt-BR"/>
        </w:rPr>
        <w:t xml:space="preserve">apresenta quatro </w:t>
      </w:r>
      <w:r w:rsidR="00B2743E">
        <w:rPr>
          <w:rFonts w:ascii="Times New Roman" w:eastAsia="Times New Roman" w:hAnsi="Times New Roman" w:cs="Times New Roman"/>
          <w:color w:val="000000"/>
          <w:sz w:val="24"/>
          <w:szCs w:val="24"/>
          <w:lang w:eastAsia="pt-BR"/>
        </w:rPr>
        <w:t>legitimado</w:t>
      </w:r>
      <w:r w:rsidR="00666A19">
        <w:rPr>
          <w:rFonts w:ascii="Times New Roman" w:eastAsia="Times New Roman" w:hAnsi="Times New Roman" w:cs="Times New Roman"/>
          <w:color w:val="000000"/>
          <w:sz w:val="24"/>
          <w:szCs w:val="24"/>
          <w:lang w:eastAsia="pt-BR"/>
        </w:rPr>
        <w:t xml:space="preserve">s </w:t>
      </w:r>
      <w:r w:rsidR="008E3743">
        <w:rPr>
          <w:rFonts w:ascii="Times New Roman" w:eastAsia="Times New Roman" w:hAnsi="Times New Roman" w:cs="Times New Roman"/>
          <w:color w:val="000000"/>
          <w:sz w:val="24"/>
          <w:szCs w:val="24"/>
          <w:lang w:eastAsia="pt-BR"/>
        </w:rPr>
        <w:t>para propor a liquidação da empresa</w:t>
      </w:r>
      <w:r w:rsidR="00D9011A">
        <w:rPr>
          <w:rFonts w:ascii="Times New Roman" w:eastAsia="Times New Roman" w:hAnsi="Times New Roman" w:cs="Times New Roman"/>
          <w:color w:val="000000"/>
          <w:sz w:val="24"/>
          <w:szCs w:val="24"/>
          <w:lang w:eastAsia="pt-BR"/>
        </w:rPr>
        <w:t>. Fábio Ulhôa Coelho nos afirma que cabe concorrentemente ao próprio empresário requerer sua autofalência, quando for perceptível a impossibilidade de recuperação judicial, aos sócios ou acionistas da sociedade empresária e, por fim, aos credores, os maiores interessados no processo concursal (COELHO, 2011. p. 243).</w:t>
      </w:r>
    </w:p>
    <w:p w:rsidR="00943126" w:rsidRDefault="009235D9" w:rsidP="004E4BE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disposto no caso em tela, a</w:t>
      </w:r>
      <w:r w:rsidR="002002C5">
        <w:rPr>
          <w:rFonts w:ascii="Times New Roman" w:hAnsi="Times New Roman" w:cs="Times New Roman"/>
          <w:sz w:val="24"/>
          <w:szCs w:val="24"/>
        </w:rPr>
        <w:t xml:space="preserve"> conduta mencionada pelos </w:t>
      </w:r>
      <w:r w:rsidR="00DF4BD2">
        <w:rPr>
          <w:rFonts w:ascii="Times New Roman" w:hAnsi="Times New Roman" w:cs="Times New Roman"/>
          <w:sz w:val="24"/>
          <w:szCs w:val="24"/>
        </w:rPr>
        <w:t>sócios</w:t>
      </w:r>
      <w:r w:rsidR="002002C5">
        <w:rPr>
          <w:rFonts w:ascii="Times New Roman" w:hAnsi="Times New Roman" w:cs="Times New Roman"/>
          <w:sz w:val="24"/>
          <w:szCs w:val="24"/>
        </w:rPr>
        <w:t xml:space="preserve"> </w:t>
      </w:r>
      <w:proofErr w:type="spellStart"/>
      <w:r w:rsidR="002002C5">
        <w:rPr>
          <w:rFonts w:ascii="Times New Roman" w:hAnsi="Times New Roman" w:cs="Times New Roman"/>
          <w:sz w:val="24"/>
          <w:szCs w:val="24"/>
        </w:rPr>
        <w:t>subsume-se</w:t>
      </w:r>
      <w:proofErr w:type="spellEnd"/>
      <w:r w:rsidR="002002C5">
        <w:rPr>
          <w:rFonts w:ascii="Times New Roman" w:hAnsi="Times New Roman" w:cs="Times New Roman"/>
          <w:sz w:val="24"/>
          <w:szCs w:val="24"/>
        </w:rPr>
        <w:t xml:space="preserve"> no artigo 168, §1º, IV, da Lei 11.101, a qual tutela o procedimento falimentar e de recuperação de empresas</w:t>
      </w:r>
      <w:r w:rsidR="00DF4BD2">
        <w:rPr>
          <w:rFonts w:ascii="Times New Roman" w:hAnsi="Times New Roman" w:cs="Times New Roman"/>
          <w:sz w:val="24"/>
          <w:szCs w:val="24"/>
        </w:rPr>
        <w:t>, conhecido como fraude contra credores</w:t>
      </w:r>
      <w:r w:rsidR="00943126" w:rsidRPr="00943126">
        <w:rPr>
          <w:rFonts w:ascii="Times New Roman" w:hAnsi="Times New Roman" w:cs="Times New Roman"/>
          <w:sz w:val="24"/>
          <w:szCs w:val="24"/>
        </w:rPr>
        <w:t>.</w:t>
      </w:r>
      <w:r w:rsidR="002002C5">
        <w:rPr>
          <w:rFonts w:ascii="Times New Roman" w:hAnsi="Times New Roman" w:cs="Times New Roman"/>
          <w:sz w:val="24"/>
          <w:szCs w:val="24"/>
        </w:rPr>
        <w:t xml:space="preserve"> O artigo dispõe:</w:t>
      </w:r>
    </w:p>
    <w:p w:rsidR="004A778D" w:rsidRDefault="003E2678" w:rsidP="004F72D8">
      <w:pPr>
        <w:spacing w:after="0" w:line="240" w:lineRule="auto"/>
        <w:ind w:left="2268"/>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r w:rsidR="002002C5" w:rsidRPr="002002C5">
        <w:rPr>
          <w:rFonts w:ascii="Times New Roman" w:eastAsia="Times New Roman" w:hAnsi="Times New Roman" w:cs="Times New Roman"/>
          <w:color w:val="000000"/>
          <w:sz w:val="20"/>
          <w:szCs w:val="20"/>
          <w:lang w:eastAsia="pt-BR"/>
        </w:rPr>
        <w:t xml:space="preserve">Art. 168. </w:t>
      </w:r>
      <w:r w:rsidR="002002C5" w:rsidRPr="002002C5">
        <w:rPr>
          <w:rFonts w:ascii="Times New Roman" w:eastAsia="Times New Roman" w:hAnsi="Times New Roman" w:cs="Times New Roman"/>
          <w:b/>
          <w:color w:val="000000"/>
          <w:sz w:val="20"/>
          <w:szCs w:val="20"/>
          <w:lang w:eastAsia="pt-BR"/>
        </w:rPr>
        <w:t>Praticar</w:t>
      </w:r>
      <w:r w:rsidR="002002C5" w:rsidRPr="002002C5">
        <w:rPr>
          <w:rFonts w:ascii="Times New Roman" w:eastAsia="Times New Roman" w:hAnsi="Times New Roman" w:cs="Times New Roman"/>
          <w:color w:val="000000"/>
          <w:sz w:val="20"/>
          <w:szCs w:val="20"/>
          <w:lang w:eastAsia="pt-BR"/>
        </w:rPr>
        <w:t xml:space="preserve">, </w:t>
      </w:r>
      <w:r w:rsidR="002002C5" w:rsidRPr="002002C5">
        <w:rPr>
          <w:rFonts w:ascii="Times New Roman" w:eastAsia="Times New Roman" w:hAnsi="Times New Roman" w:cs="Times New Roman"/>
          <w:b/>
          <w:color w:val="000000"/>
          <w:sz w:val="20"/>
          <w:szCs w:val="20"/>
          <w:lang w:eastAsia="pt-BR"/>
        </w:rPr>
        <w:t>antes</w:t>
      </w:r>
      <w:r w:rsidR="002002C5" w:rsidRPr="002002C5">
        <w:rPr>
          <w:rFonts w:ascii="Times New Roman" w:eastAsia="Times New Roman" w:hAnsi="Times New Roman" w:cs="Times New Roman"/>
          <w:color w:val="000000"/>
          <w:sz w:val="20"/>
          <w:szCs w:val="20"/>
          <w:lang w:eastAsia="pt-BR"/>
        </w:rPr>
        <w:t xml:space="preserve"> ou depois </w:t>
      </w:r>
      <w:r w:rsidR="002002C5" w:rsidRPr="002002C5">
        <w:rPr>
          <w:rFonts w:ascii="Times New Roman" w:eastAsia="Times New Roman" w:hAnsi="Times New Roman" w:cs="Times New Roman"/>
          <w:b/>
          <w:color w:val="000000"/>
          <w:sz w:val="20"/>
          <w:szCs w:val="20"/>
          <w:lang w:eastAsia="pt-BR"/>
        </w:rPr>
        <w:t>da sentença que decretar a falência</w:t>
      </w:r>
      <w:r w:rsidR="002002C5" w:rsidRPr="002002C5">
        <w:rPr>
          <w:rFonts w:ascii="Times New Roman" w:eastAsia="Times New Roman" w:hAnsi="Times New Roman" w:cs="Times New Roman"/>
          <w:color w:val="000000"/>
          <w:sz w:val="20"/>
          <w:szCs w:val="20"/>
          <w:lang w:eastAsia="pt-BR"/>
        </w:rPr>
        <w:t xml:space="preserve">, conceder a recuperação judicial ou homologar a recuperação extrajudicial, </w:t>
      </w:r>
      <w:r w:rsidR="002002C5" w:rsidRPr="002002C5">
        <w:rPr>
          <w:rFonts w:ascii="Times New Roman" w:eastAsia="Times New Roman" w:hAnsi="Times New Roman" w:cs="Times New Roman"/>
          <w:b/>
          <w:color w:val="000000"/>
          <w:sz w:val="20"/>
          <w:szCs w:val="20"/>
          <w:lang w:eastAsia="pt-BR"/>
        </w:rPr>
        <w:t>ato fraudulento de que resulte ou possa resultar prejuízo aos credores, com o fim de obter ou assegurar vantagem indevida para si ou para outrem</w:t>
      </w:r>
      <w:r w:rsidR="002002C5" w:rsidRPr="002002C5">
        <w:rPr>
          <w:rFonts w:ascii="Times New Roman" w:eastAsia="Times New Roman" w:hAnsi="Times New Roman" w:cs="Times New Roman"/>
          <w:color w:val="000000"/>
          <w:sz w:val="20"/>
          <w:szCs w:val="20"/>
          <w:lang w:eastAsia="pt-BR"/>
        </w:rPr>
        <w:t>.</w:t>
      </w:r>
    </w:p>
    <w:p w:rsidR="004A778D" w:rsidRDefault="002002C5" w:rsidP="004F72D8">
      <w:pPr>
        <w:spacing w:after="0" w:line="240" w:lineRule="auto"/>
        <w:ind w:left="2268"/>
        <w:jc w:val="both"/>
        <w:rPr>
          <w:rFonts w:ascii="Times New Roman" w:eastAsia="Times New Roman" w:hAnsi="Times New Roman" w:cs="Times New Roman"/>
          <w:color w:val="000000"/>
          <w:sz w:val="20"/>
          <w:szCs w:val="20"/>
          <w:lang w:eastAsia="pt-BR"/>
        </w:rPr>
      </w:pPr>
      <w:r w:rsidRPr="002002C5">
        <w:rPr>
          <w:rFonts w:ascii="Times New Roman" w:eastAsia="Times New Roman" w:hAnsi="Times New Roman" w:cs="Times New Roman"/>
          <w:color w:val="000000"/>
          <w:sz w:val="20"/>
          <w:szCs w:val="20"/>
          <w:lang w:eastAsia="pt-BR"/>
        </w:rPr>
        <w:t>Pena – reclusão, de 3 (três) a 6 (seis) anos, e multa.</w:t>
      </w:r>
    </w:p>
    <w:p w:rsidR="004A778D" w:rsidRDefault="002002C5" w:rsidP="004F72D8">
      <w:pPr>
        <w:spacing w:after="0" w:line="240" w:lineRule="auto"/>
        <w:ind w:left="2268"/>
        <w:jc w:val="both"/>
        <w:rPr>
          <w:rFonts w:ascii="Times New Roman" w:eastAsia="Times New Roman" w:hAnsi="Times New Roman" w:cs="Times New Roman"/>
          <w:color w:val="000000"/>
          <w:sz w:val="20"/>
          <w:szCs w:val="20"/>
          <w:lang w:eastAsia="pt-BR"/>
        </w:rPr>
      </w:pPr>
      <w:r w:rsidRPr="002002C5">
        <w:rPr>
          <w:rFonts w:ascii="Times New Roman" w:eastAsia="Times New Roman" w:hAnsi="Times New Roman" w:cs="Times New Roman"/>
          <w:color w:val="000000"/>
          <w:sz w:val="20"/>
          <w:szCs w:val="20"/>
          <w:lang w:eastAsia="pt-BR"/>
        </w:rPr>
        <w:t>Aumento da pena</w:t>
      </w:r>
    </w:p>
    <w:p w:rsidR="00DF53B9" w:rsidRDefault="002002C5" w:rsidP="000F7EB7">
      <w:pPr>
        <w:spacing w:after="0" w:line="240" w:lineRule="auto"/>
        <w:ind w:left="2268"/>
        <w:jc w:val="both"/>
        <w:rPr>
          <w:rFonts w:ascii="Times New Roman" w:eastAsia="Times New Roman" w:hAnsi="Times New Roman" w:cs="Times New Roman"/>
          <w:color w:val="000000"/>
          <w:sz w:val="20"/>
          <w:szCs w:val="20"/>
          <w:lang w:eastAsia="pt-BR"/>
        </w:rPr>
      </w:pPr>
      <w:r w:rsidRPr="002002C5">
        <w:rPr>
          <w:rFonts w:ascii="Times New Roman" w:eastAsia="Times New Roman" w:hAnsi="Times New Roman" w:cs="Times New Roman"/>
          <w:color w:val="000000"/>
          <w:sz w:val="20"/>
          <w:szCs w:val="20"/>
          <w:lang w:eastAsia="pt-BR"/>
        </w:rPr>
        <w:t>§ 1</w:t>
      </w:r>
      <w:r w:rsidRPr="002002C5">
        <w:rPr>
          <w:rFonts w:ascii="Times New Roman" w:eastAsia="Times New Roman" w:hAnsi="Times New Roman" w:cs="Times New Roman"/>
          <w:color w:val="000000"/>
          <w:sz w:val="20"/>
          <w:szCs w:val="20"/>
          <w:u w:val="single"/>
          <w:vertAlign w:val="superscript"/>
          <w:lang w:eastAsia="pt-BR"/>
        </w:rPr>
        <w:t>o</w:t>
      </w:r>
      <w:r w:rsidRPr="002002C5">
        <w:rPr>
          <w:rFonts w:ascii="Times New Roman" w:eastAsia="Times New Roman" w:hAnsi="Times New Roman" w:cs="Times New Roman"/>
          <w:color w:val="000000"/>
          <w:sz w:val="20"/>
          <w:szCs w:val="20"/>
          <w:lang w:eastAsia="pt-BR"/>
        </w:rPr>
        <w:t> A pena aumenta-se de 1/6 (um sexto) a 1/3 (um terço), se o agente:</w:t>
      </w:r>
      <w:r>
        <w:rPr>
          <w:rFonts w:ascii="Times New Roman" w:eastAsia="Times New Roman" w:hAnsi="Times New Roman" w:cs="Times New Roman"/>
          <w:b/>
          <w:color w:val="000000"/>
          <w:sz w:val="20"/>
          <w:szCs w:val="20"/>
          <w:lang w:eastAsia="pt-BR"/>
        </w:rPr>
        <w:t>[...]</w:t>
      </w:r>
      <w:r w:rsidR="000F7EB7">
        <w:rPr>
          <w:rFonts w:ascii="Times New Roman" w:eastAsia="Times New Roman" w:hAnsi="Times New Roman" w:cs="Times New Roman"/>
          <w:b/>
          <w:color w:val="000000"/>
          <w:sz w:val="20"/>
          <w:szCs w:val="20"/>
          <w:lang w:eastAsia="pt-BR"/>
        </w:rPr>
        <w:t xml:space="preserve"> </w:t>
      </w:r>
      <w:r w:rsidR="00050D2C">
        <w:rPr>
          <w:rFonts w:ascii="Times New Roman" w:eastAsia="Times New Roman" w:hAnsi="Times New Roman" w:cs="Times New Roman"/>
          <w:b/>
          <w:color w:val="000000"/>
          <w:sz w:val="20"/>
          <w:szCs w:val="20"/>
          <w:lang w:eastAsia="pt-BR"/>
        </w:rPr>
        <w:t>IV. S</w:t>
      </w:r>
      <w:r w:rsidRPr="002002C5">
        <w:rPr>
          <w:rFonts w:ascii="Times New Roman" w:eastAsia="Times New Roman" w:hAnsi="Times New Roman" w:cs="Times New Roman"/>
          <w:b/>
          <w:color w:val="000000"/>
          <w:sz w:val="20"/>
          <w:szCs w:val="20"/>
          <w:lang w:eastAsia="pt-BR"/>
        </w:rPr>
        <w:t>imula a composição do capital social;</w:t>
      </w:r>
      <w:r w:rsidR="003E2678">
        <w:rPr>
          <w:rFonts w:ascii="Times New Roman" w:eastAsia="Times New Roman" w:hAnsi="Times New Roman" w:cs="Times New Roman"/>
          <w:color w:val="000000"/>
          <w:sz w:val="20"/>
          <w:szCs w:val="20"/>
          <w:lang w:eastAsia="pt-BR"/>
        </w:rPr>
        <w:t>”</w:t>
      </w:r>
      <w:r w:rsidR="00022BA4">
        <w:rPr>
          <w:rFonts w:ascii="Times New Roman" w:eastAsia="Times New Roman" w:hAnsi="Times New Roman" w:cs="Times New Roman"/>
          <w:b/>
          <w:color w:val="000000"/>
          <w:sz w:val="20"/>
          <w:szCs w:val="20"/>
          <w:lang w:eastAsia="pt-BR"/>
        </w:rPr>
        <w:t xml:space="preserve"> </w:t>
      </w:r>
      <w:r w:rsidR="00022BA4">
        <w:rPr>
          <w:rFonts w:ascii="Times New Roman" w:eastAsia="Times New Roman" w:hAnsi="Times New Roman" w:cs="Times New Roman"/>
          <w:color w:val="000000"/>
          <w:sz w:val="20"/>
          <w:szCs w:val="20"/>
          <w:lang w:eastAsia="pt-BR"/>
        </w:rPr>
        <w:t>(</w:t>
      </w:r>
      <w:r w:rsidR="00461112">
        <w:rPr>
          <w:rFonts w:ascii="Times New Roman" w:eastAsia="Times New Roman" w:hAnsi="Times New Roman" w:cs="Times New Roman"/>
          <w:color w:val="000000"/>
          <w:sz w:val="20"/>
          <w:szCs w:val="20"/>
          <w:lang w:eastAsia="pt-BR"/>
        </w:rPr>
        <w:t>LEI 11.101</w:t>
      </w:r>
      <w:r w:rsidR="00022BA4">
        <w:rPr>
          <w:rFonts w:ascii="Times New Roman" w:eastAsia="Times New Roman" w:hAnsi="Times New Roman" w:cs="Times New Roman"/>
          <w:color w:val="000000"/>
          <w:sz w:val="20"/>
          <w:szCs w:val="20"/>
          <w:lang w:eastAsia="pt-BR"/>
        </w:rPr>
        <w:t>, 2005)</w:t>
      </w:r>
      <w:r w:rsidR="00C97401">
        <w:rPr>
          <w:rFonts w:ascii="Times New Roman" w:eastAsia="Times New Roman" w:hAnsi="Times New Roman" w:cs="Times New Roman"/>
          <w:color w:val="000000"/>
          <w:sz w:val="20"/>
          <w:szCs w:val="20"/>
          <w:lang w:eastAsia="pt-BR"/>
        </w:rPr>
        <w:t xml:space="preserve"> (grifei.)</w:t>
      </w:r>
      <w:r w:rsidR="00B276EA">
        <w:rPr>
          <w:rFonts w:ascii="Times New Roman" w:eastAsia="Times New Roman" w:hAnsi="Times New Roman" w:cs="Times New Roman"/>
          <w:color w:val="000000"/>
          <w:sz w:val="20"/>
          <w:szCs w:val="20"/>
          <w:lang w:eastAsia="pt-BR"/>
        </w:rPr>
        <w:t>.</w:t>
      </w:r>
    </w:p>
    <w:p w:rsidR="007F2025" w:rsidRDefault="007F2025" w:rsidP="00DF53B9">
      <w:pPr>
        <w:spacing w:after="0" w:line="240" w:lineRule="auto"/>
        <w:ind w:left="2268"/>
        <w:jc w:val="both"/>
        <w:rPr>
          <w:rFonts w:ascii="Times New Roman" w:eastAsia="Times New Roman" w:hAnsi="Times New Roman" w:cs="Times New Roman"/>
          <w:color w:val="000000"/>
          <w:sz w:val="20"/>
          <w:szCs w:val="20"/>
          <w:lang w:eastAsia="pt-BR"/>
        </w:rPr>
      </w:pPr>
    </w:p>
    <w:p w:rsidR="004E4BEE" w:rsidRDefault="00DF53B9" w:rsidP="001E2662">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De acordo com este dispositivo podemos fazer a análise da conduta cujo </w:t>
      </w:r>
      <w:r>
        <w:rPr>
          <w:rFonts w:ascii="Times New Roman" w:eastAsia="Times New Roman" w:hAnsi="Times New Roman" w:cs="Times New Roman"/>
          <w:i/>
          <w:color w:val="000000"/>
          <w:sz w:val="24"/>
          <w:szCs w:val="24"/>
          <w:lang w:eastAsia="pt-BR"/>
        </w:rPr>
        <w:t>nomen iuris</w:t>
      </w:r>
      <w:r>
        <w:rPr>
          <w:rFonts w:ascii="Times New Roman" w:eastAsia="Times New Roman" w:hAnsi="Times New Roman" w:cs="Times New Roman"/>
          <w:color w:val="000000"/>
          <w:sz w:val="24"/>
          <w:szCs w:val="24"/>
          <w:lang w:eastAsia="pt-BR"/>
        </w:rPr>
        <w:t xml:space="preserve"> é fraude contra credores.</w:t>
      </w:r>
      <w:r w:rsidR="00601F05">
        <w:rPr>
          <w:rFonts w:ascii="Times New Roman" w:eastAsia="Times New Roman" w:hAnsi="Times New Roman" w:cs="Times New Roman"/>
          <w:color w:val="000000"/>
          <w:sz w:val="24"/>
          <w:szCs w:val="24"/>
          <w:lang w:eastAsia="pt-BR"/>
        </w:rPr>
        <w:t xml:space="preserve"> </w:t>
      </w:r>
      <w:r w:rsidR="001E2662">
        <w:rPr>
          <w:rFonts w:ascii="Times New Roman" w:eastAsia="Times New Roman" w:hAnsi="Times New Roman" w:cs="Times New Roman"/>
          <w:color w:val="000000"/>
          <w:sz w:val="24"/>
          <w:szCs w:val="24"/>
          <w:lang w:eastAsia="pt-BR"/>
        </w:rPr>
        <w:t xml:space="preserve">Como </w:t>
      </w:r>
      <w:r w:rsidR="002458F4">
        <w:rPr>
          <w:rFonts w:ascii="Times New Roman" w:eastAsia="Times New Roman" w:hAnsi="Times New Roman" w:cs="Times New Roman"/>
          <w:color w:val="000000"/>
          <w:sz w:val="24"/>
          <w:szCs w:val="24"/>
          <w:lang w:eastAsia="pt-BR"/>
        </w:rPr>
        <w:t xml:space="preserve">elementar normativa pode </w:t>
      </w:r>
      <w:r w:rsidR="001E2662">
        <w:rPr>
          <w:rFonts w:ascii="Times New Roman" w:eastAsia="Times New Roman" w:hAnsi="Times New Roman" w:cs="Times New Roman"/>
          <w:color w:val="000000"/>
          <w:sz w:val="24"/>
          <w:szCs w:val="24"/>
          <w:lang w:eastAsia="pt-BR"/>
        </w:rPr>
        <w:t>s</w:t>
      </w:r>
      <w:r w:rsidR="002458F4">
        <w:rPr>
          <w:rFonts w:ascii="Times New Roman" w:eastAsia="Times New Roman" w:hAnsi="Times New Roman" w:cs="Times New Roman"/>
          <w:color w:val="000000"/>
          <w:sz w:val="24"/>
          <w:szCs w:val="24"/>
          <w:lang w:eastAsia="pt-BR"/>
        </w:rPr>
        <w:t>e</w:t>
      </w:r>
      <w:r w:rsidR="001E2662">
        <w:rPr>
          <w:rFonts w:ascii="Times New Roman" w:eastAsia="Times New Roman" w:hAnsi="Times New Roman" w:cs="Times New Roman"/>
          <w:color w:val="000000"/>
          <w:sz w:val="24"/>
          <w:szCs w:val="24"/>
          <w:lang w:eastAsia="pt-BR"/>
        </w:rPr>
        <w:t xml:space="preserve"> </w:t>
      </w:r>
      <w:r w:rsidR="002458F4">
        <w:rPr>
          <w:rFonts w:ascii="Times New Roman" w:eastAsia="Times New Roman" w:hAnsi="Times New Roman" w:cs="Times New Roman"/>
          <w:color w:val="000000"/>
          <w:sz w:val="24"/>
          <w:szCs w:val="24"/>
          <w:lang w:eastAsia="pt-BR"/>
        </w:rPr>
        <w:t>afirmar a necessidade de decretação da sentença declaratória de falência</w:t>
      </w:r>
      <w:r w:rsidR="005348FB">
        <w:rPr>
          <w:rFonts w:ascii="Times New Roman" w:eastAsia="Times New Roman" w:hAnsi="Times New Roman" w:cs="Times New Roman"/>
          <w:color w:val="000000"/>
          <w:sz w:val="24"/>
          <w:szCs w:val="24"/>
          <w:lang w:eastAsia="pt-BR"/>
        </w:rPr>
        <w:t>, conceder a recuperação judicial ou homologar a recuperação extrajudicial</w:t>
      </w:r>
      <w:r w:rsidR="002458F4">
        <w:rPr>
          <w:rFonts w:ascii="Times New Roman" w:eastAsia="Times New Roman" w:hAnsi="Times New Roman" w:cs="Times New Roman"/>
          <w:color w:val="000000"/>
          <w:sz w:val="24"/>
          <w:szCs w:val="24"/>
          <w:lang w:eastAsia="pt-BR"/>
        </w:rPr>
        <w:t xml:space="preserve">. Não ocorrendo </w:t>
      </w:r>
      <w:r w:rsidR="00BB44A9">
        <w:rPr>
          <w:rFonts w:ascii="Times New Roman" w:eastAsia="Times New Roman" w:hAnsi="Times New Roman" w:cs="Times New Roman"/>
          <w:color w:val="000000"/>
          <w:sz w:val="24"/>
          <w:szCs w:val="24"/>
          <w:lang w:eastAsia="pt-BR"/>
        </w:rPr>
        <w:t>tais fatos</w:t>
      </w:r>
      <w:r w:rsidR="002458F4">
        <w:rPr>
          <w:rFonts w:ascii="Times New Roman" w:eastAsia="Times New Roman" w:hAnsi="Times New Roman" w:cs="Times New Roman"/>
          <w:color w:val="000000"/>
          <w:sz w:val="24"/>
          <w:szCs w:val="24"/>
          <w:lang w:eastAsia="pt-BR"/>
        </w:rPr>
        <w:t xml:space="preserve">, portanto, o ilícito perderia sua elementar </w:t>
      </w:r>
      <w:r w:rsidR="002458F4">
        <w:rPr>
          <w:rFonts w:ascii="Times New Roman" w:eastAsia="Times New Roman" w:hAnsi="Times New Roman" w:cs="Times New Roman"/>
          <w:color w:val="000000"/>
          <w:sz w:val="24"/>
          <w:szCs w:val="24"/>
          <w:lang w:eastAsia="pt-BR"/>
        </w:rPr>
        <w:lastRenderedPageBreak/>
        <w:t>normativa, não podendo ser punido nesta seara.</w:t>
      </w:r>
      <w:r w:rsidR="00D62D3C">
        <w:rPr>
          <w:rFonts w:ascii="Times New Roman" w:eastAsia="Times New Roman" w:hAnsi="Times New Roman" w:cs="Times New Roman"/>
          <w:color w:val="000000"/>
          <w:sz w:val="24"/>
          <w:szCs w:val="24"/>
          <w:lang w:eastAsia="pt-BR"/>
        </w:rPr>
        <w:t xml:space="preserve"> </w:t>
      </w:r>
      <w:r w:rsidR="00842CA6">
        <w:rPr>
          <w:rFonts w:ascii="Times New Roman" w:eastAsia="Times New Roman" w:hAnsi="Times New Roman" w:cs="Times New Roman"/>
          <w:color w:val="000000"/>
          <w:sz w:val="24"/>
          <w:szCs w:val="24"/>
          <w:lang w:eastAsia="pt-BR"/>
        </w:rPr>
        <w:t xml:space="preserve">Quanto ao elemento subjetivo, afirma-nos </w:t>
      </w:r>
      <w:proofErr w:type="spellStart"/>
      <w:r w:rsidR="00C22C85">
        <w:rPr>
          <w:rFonts w:ascii="Times New Roman" w:eastAsia="Times New Roman" w:hAnsi="Times New Roman" w:cs="Times New Roman"/>
          <w:color w:val="000000"/>
          <w:sz w:val="24"/>
          <w:szCs w:val="24"/>
          <w:lang w:eastAsia="pt-BR"/>
        </w:rPr>
        <w:t>Menegon</w:t>
      </w:r>
      <w:proofErr w:type="spellEnd"/>
      <w:r w:rsidR="00842CA6">
        <w:rPr>
          <w:rFonts w:ascii="Times New Roman" w:eastAsia="Times New Roman" w:hAnsi="Times New Roman" w:cs="Times New Roman"/>
          <w:color w:val="000000"/>
          <w:sz w:val="24"/>
          <w:szCs w:val="24"/>
          <w:lang w:eastAsia="pt-BR"/>
        </w:rPr>
        <w:t>:</w:t>
      </w:r>
    </w:p>
    <w:p w:rsidR="00524B94" w:rsidRDefault="00524B94" w:rsidP="001E2662">
      <w:pPr>
        <w:spacing w:after="0" w:line="360" w:lineRule="auto"/>
        <w:ind w:firstLine="851"/>
        <w:jc w:val="both"/>
        <w:rPr>
          <w:rFonts w:ascii="Times New Roman" w:eastAsia="Times New Roman" w:hAnsi="Times New Roman" w:cs="Times New Roman"/>
          <w:color w:val="000000"/>
          <w:sz w:val="24"/>
          <w:szCs w:val="24"/>
          <w:lang w:eastAsia="pt-BR"/>
        </w:rPr>
      </w:pPr>
    </w:p>
    <w:p w:rsidR="002002C5" w:rsidRDefault="00842CA6" w:rsidP="00C22C85">
      <w:pPr>
        <w:autoSpaceDE w:val="0"/>
        <w:autoSpaceDN w:val="0"/>
        <w:adjustRightInd w:val="0"/>
        <w:spacing w:after="0" w:line="240" w:lineRule="auto"/>
        <w:ind w:left="2268"/>
        <w:jc w:val="both"/>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w:t>
      </w:r>
      <w:r w:rsidRPr="00842CA6">
        <w:rPr>
          <w:rFonts w:ascii="Times New Roman" w:hAnsi="Times New Roman" w:cs="Times New Roman"/>
          <w:sz w:val="20"/>
          <w:szCs w:val="20"/>
        </w:rPr>
        <w:t>O elemento subjetivo geral do delito é o dolo, identificado na livre e consciente vontade do agente em praticar o ato fraudulento. Ainda, existe a previsão no dispositivo de conduta específica, devendo ser a fraude realizada com o fim específico de obter ou assegura vantagem indevida para si ou outros. Trata-se de elemento-conduta indispensável na configuração de finalidade específica, pois, mesmo que praticado o ato fraudulento e configurado o prejuízo real não se constatar a intenção específica de obter ou assegurar vantagem indevida, não existirá o crime.</w:t>
      </w:r>
      <w:r w:rsidR="00176A27">
        <w:rPr>
          <w:rFonts w:ascii="Times New Roman" w:hAnsi="Times New Roman" w:cs="Times New Roman"/>
          <w:sz w:val="20"/>
          <w:szCs w:val="20"/>
        </w:rPr>
        <w:t>” (MENEGON, 2007</w:t>
      </w:r>
      <w:r>
        <w:rPr>
          <w:rFonts w:ascii="Times New Roman" w:hAnsi="Times New Roman" w:cs="Times New Roman"/>
          <w:sz w:val="20"/>
          <w:szCs w:val="20"/>
        </w:rPr>
        <w:t>. p. 25)</w:t>
      </w:r>
    </w:p>
    <w:p w:rsidR="00C22C85" w:rsidRPr="00C22C85" w:rsidRDefault="00C22C85" w:rsidP="00C22C85">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0E201F" w:rsidRDefault="00A95E75" w:rsidP="008F5856">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Conforme exposto, podemos frisar a necessidade de </w:t>
      </w:r>
      <w:r>
        <w:rPr>
          <w:rFonts w:ascii="Times New Roman" w:hAnsi="Times New Roman" w:cs="Times New Roman"/>
          <w:i/>
          <w:sz w:val="24"/>
          <w:szCs w:val="24"/>
        </w:rPr>
        <w:t xml:space="preserve">animus </w:t>
      </w:r>
      <w:proofErr w:type="spellStart"/>
      <w:r>
        <w:rPr>
          <w:rFonts w:ascii="Times New Roman" w:hAnsi="Times New Roman" w:cs="Times New Roman"/>
          <w:i/>
          <w:sz w:val="24"/>
          <w:szCs w:val="24"/>
        </w:rPr>
        <w:t>damni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 de </w:t>
      </w:r>
      <w:r>
        <w:rPr>
          <w:rFonts w:ascii="Times New Roman" w:hAnsi="Times New Roman" w:cs="Times New Roman"/>
          <w:i/>
          <w:sz w:val="24"/>
          <w:szCs w:val="24"/>
        </w:rPr>
        <w:t>consilium fraudis</w:t>
      </w:r>
      <w:r>
        <w:rPr>
          <w:rFonts w:ascii="Times New Roman" w:hAnsi="Times New Roman" w:cs="Times New Roman"/>
          <w:sz w:val="24"/>
          <w:szCs w:val="24"/>
        </w:rPr>
        <w:t>. Neste sentido, nos elucida</w:t>
      </w:r>
      <w:r w:rsidR="00633B25">
        <w:rPr>
          <w:rFonts w:ascii="Times New Roman" w:hAnsi="Times New Roman" w:cs="Times New Roman"/>
          <w:sz w:val="24"/>
          <w:szCs w:val="24"/>
        </w:rPr>
        <w:t xml:space="preserve"> Marcelo Aguiar Pereira</w:t>
      </w:r>
      <w:r>
        <w:rPr>
          <w:rFonts w:ascii="Times New Roman" w:hAnsi="Times New Roman" w:cs="Times New Roman"/>
          <w:sz w:val="24"/>
          <w:szCs w:val="24"/>
        </w:rPr>
        <w:t xml:space="preserve">: </w:t>
      </w:r>
    </w:p>
    <w:p w:rsidR="000E201F" w:rsidRDefault="000E201F" w:rsidP="000E201F">
      <w:pPr>
        <w:autoSpaceDE w:val="0"/>
        <w:autoSpaceDN w:val="0"/>
        <w:adjustRightInd w:val="0"/>
        <w:spacing w:after="0" w:line="240" w:lineRule="auto"/>
        <w:ind w:left="2268"/>
        <w:jc w:val="both"/>
        <w:rPr>
          <w:rFonts w:ascii="Times New Roman" w:hAnsi="Times New Roman" w:cs="Times New Roman"/>
          <w:sz w:val="24"/>
          <w:szCs w:val="24"/>
        </w:rPr>
      </w:pPr>
    </w:p>
    <w:p w:rsidR="00A95E75" w:rsidRPr="00A95E75" w:rsidRDefault="00633B25" w:rsidP="000E201F">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A95E75" w:rsidRPr="00A95E75">
        <w:rPr>
          <w:rFonts w:ascii="Times New Roman" w:hAnsi="Times New Roman" w:cs="Times New Roman"/>
          <w:sz w:val="20"/>
          <w:szCs w:val="20"/>
        </w:rPr>
        <w:t xml:space="preserve">Na fraude contra credores ou fraude </w:t>
      </w:r>
      <w:proofErr w:type="spellStart"/>
      <w:r w:rsidR="00A95E75" w:rsidRPr="00A95E75">
        <w:rPr>
          <w:rFonts w:ascii="Times New Roman" w:hAnsi="Times New Roman" w:cs="Times New Roman"/>
          <w:sz w:val="20"/>
          <w:szCs w:val="20"/>
        </w:rPr>
        <w:t>pauliana</w:t>
      </w:r>
      <w:proofErr w:type="spellEnd"/>
      <w:r w:rsidR="00A95E75" w:rsidRPr="00A95E75">
        <w:rPr>
          <w:rFonts w:ascii="Times New Roman" w:hAnsi="Times New Roman" w:cs="Times New Roman"/>
          <w:sz w:val="20"/>
          <w:szCs w:val="20"/>
        </w:rPr>
        <w:t xml:space="preserve"> há de se observar o elemento objetivo, qual seja, o </w:t>
      </w:r>
      <w:proofErr w:type="spellStart"/>
      <w:r w:rsidR="00A95E75" w:rsidRPr="00A95E75">
        <w:rPr>
          <w:rFonts w:ascii="Times New Roman" w:hAnsi="Times New Roman" w:cs="Times New Roman"/>
          <w:i/>
          <w:iCs/>
          <w:sz w:val="20"/>
          <w:szCs w:val="20"/>
        </w:rPr>
        <w:t>eventus</w:t>
      </w:r>
      <w:proofErr w:type="spellEnd"/>
      <w:r w:rsidR="00A95E75" w:rsidRPr="00A95E75">
        <w:rPr>
          <w:rFonts w:ascii="Times New Roman" w:hAnsi="Times New Roman" w:cs="Times New Roman"/>
          <w:i/>
          <w:iCs/>
          <w:sz w:val="20"/>
          <w:szCs w:val="20"/>
        </w:rPr>
        <w:t xml:space="preserve"> </w:t>
      </w:r>
      <w:proofErr w:type="spellStart"/>
      <w:r w:rsidR="00A95E75" w:rsidRPr="00A95E75">
        <w:rPr>
          <w:rFonts w:ascii="Times New Roman" w:hAnsi="Times New Roman" w:cs="Times New Roman"/>
          <w:i/>
          <w:iCs/>
          <w:sz w:val="20"/>
          <w:szCs w:val="20"/>
        </w:rPr>
        <w:t>damni</w:t>
      </w:r>
      <w:proofErr w:type="spellEnd"/>
      <w:r w:rsidR="00A95E75" w:rsidRPr="00A95E75">
        <w:rPr>
          <w:rFonts w:ascii="Times New Roman" w:hAnsi="Times New Roman" w:cs="Times New Roman"/>
          <w:i/>
          <w:iCs/>
          <w:sz w:val="20"/>
          <w:szCs w:val="20"/>
        </w:rPr>
        <w:t xml:space="preserve">, </w:t>
      </w:r>
      <w:r w:rsidR="00A95E75" w:rsidRPr="00A95E75">
        <w:rPr>
          <w:rFonts w:ascii="Times New Roman" w:hAnsi="Times New Roman" w:cs="Times New Roman"/>
          <w:sz w:val="20"/>
          <w:szCs w:val="20"/>
        </w:rPr>
        <w:t>consistente na diminuição</w:t>
      </w:r>
      <w:r w:rsidR="00A95E75">
        <w:rPr>
          <w:rFonts w:ascii="Times New Roman" w:hAnsi="Times New Roman" w:cs="Times New Roman"/>
          <w:sz w:val="20"/>
          <w:szCs w:val="20"/>
        </w:rPr>
        <w:t xml:space="preserve"> </w:t>
      </w:r>
      <w:r w:rsidR="00A95E75" w:rsidRPr="00A95E75">
        <w:rPr>
          <w:rFonts w:ascii="Times New Roman" w:hAnsi="Times New Roman" w:cs="Times New Roman"/>
          <w:sz w:val="20"/>
          <w:szCs w:val="20"/>
        </w:rPr>
        <w:t>ou esvaziamento do patrimônio do devedor já insolvente, ou pelo negócio</w:t>
      </w:r>
      <w:r w:rsidR="00A95E75">
        <w:rPr>
          <w:rFonts w:ascii="Times New Roman" w:hAnsi="Times New Roman" w:cs="Times New Roman"/>
          <w:sz w:val="20"/>
          <w:szCs w:val="20"/>
        </w:rPr>
        <w:t xml:space="preserve"> </w:t>
      </w:r>
      <w:r w:rsidR="00A95E75" w:rsidRPr="00A95E75">
        <w:rPr>
          <w:rFonts w:ascii="Times New Roman" w:hAnsi="Times New Roman" w:cs="Times New Roman"/>
          <w:sz w:val="20"/>
          <w:szCs w:val="20"/>
        </w:rPr>
        <w:t xml:space="preserve">jurídico reduzido à insolvência; e o elemento subjetivo, ou </w:t>
      </w:r>
      <w:r w:rsidR="00A95E75" w:rsidRPr="00A95E75">
        <w:rPr>
          <w:rFonts w:ascii="Times New Roman" w:hAnsi="Times New Roman" w:cs="Times New Roman"/>
          <w:i/>
          <w:iCs/>
          <w:sz w:val="20"/>
          <w:szCs w:val="20"/>
        </w:rPr>
        <w:t>consilium</w:t>
      </w:r>
      <w:r w:rsidR="00A95E75">
        <w:rPr>
          <w:rFonts w:ascii="Times New Roman" w:hAnsi="Times New Roman" w:cs="Times New Roman"/>
          <w:i/>
          <w:iCs/>
          <w:sz w:val="20"/>
          <w:szCs w:val="20"/>
        </w:rPr>
        <w:t xml:space="preserve"> </w:t>
      </w:r>
      <w:r w:rsidR="00A95E75" w:rsidRPr="00A95E75">
        <w:rPr>
          <w:rFonts w:ascii="Times New Roman" w:hAnsi="Times New Roman" w:cs="Times New Roman"/>
          <w:i/>
          <w:iCs/>
          <w:sz w:val="20"/>
          <w:szCs w:val="20"/>
        </w:rPr>
        <w:t xml:space="preserve">fraudis, </w:t>
      </w:r>
      <w:r w:rsidR="00A95E75" w:rsidRPr="00A95E75">
        <w:rPr>
          <w:rFonts w:ascii="Times New Roman" w:hAnsi="Times New Roman" w:cs="Times New Roman"/>
          <w:sz w:val="20"/>
          <w:szCs w:val="20"/>
        </w:rPr>
        <w:t xml:space="preserve">que se caracteriza pela </w:t>
      </w:r>
      <w:proofErr w:type="spellStart"/>
      <w:r w:rsidR="00A95E75" w:rsidRPr="00A95E75">
        <w:rPr>
          <w:rFonts w:ascii="Times New Roman" w:hAnsi="Times New Roman" w:cs="Times New Roman"/>
          <w:sz w:val="20"/>
          <w:szCs w:val="20"/>
        </w:rPr>
        <w:t>ma-fé</w:t>
      </w:r>
      <w:proofErr w:type="spellEnd"/>
      <w:r w:rsidR="00A95E75" w:rsidRPr="00A95E75">
        <w:rPr>
          <w:rFonts w:ascii="Times New Roman" w:hAnsi="Times New Roman" w:cs="Times New Roman"/>
          <w:sz w:val="20"/>
          <w:szCs w:val="20"/>
        </w:rPr>
        <w:t>, pelo intuito fraudulento. Em</w:t>
      </w:r>
      <w:r w:rsidR="00A95E75">
        <w:rPr>
          <w:rFonts w:ascii="Times New Roman" w:hAnsi="Times New Roman" w:cs="Times New Roman"/>
          <w:sz w:val="20"/>
          <w:szCs w:val="20"/>
        </w:rPr>
        <w:t xml:space="preserve"> </w:t>
      </w:r>
      <w:r w:rsidR="00A95E75" w:rsidRPr="00A95E75">
        <w:rPr>
          <w:rFonts w:ascii="Times New Roman" w:hAnsi="Times New Roman" w:cs="Times New Roman"/>
          <w:sz w:val="20"/>
          <w:szCs w:val="20"/>
        </w:rPr>
        <w:t xml:space="preserve">contraposição ao que defendia </w:t>
      </w:r>
      <w:proofErr w:type="spellStart"/>
      <w:r w:rsidR="00A95E75" w:rsidRPr="00A95E75">
        <w:rPr>
          <w:rFonts w:ascii="Times New Roman" w:hAnsi="Times New Roman" w:cs="Times New Roman"/>
          <w:sz w:val="20"/>
          <w:szCs w:val="20"/>
        </w:rPr>
        <w:t>Beviláqua</w:t>
      </w:r>
      <w:proofErr w:type="spellEnd"/>
      <w:r w:rsidR="00A95E75" w:rsidRPr="00A95E75">
        <w:rPr>
          <w:rFonts w:ascii="Times New Roman" w:hAnsi="Times New Roman" w:cs="Times New Roman"/>
          <w:sz w:val="20"/>
          <w:szCs w:val="20"/>
        </w:rPr>
        <w:t xml:space="preserve">, o </w:t>
      </w:r>
      <w:r w:rsidR="00A95E75" w:rsidRPr="00A95E75">
        <w:rPr>
          <w:rFonts w:ascii="Times New Roman" w:hAnsi="Times New Roman" w:cs="Times New Roman"/>
          <w:i/>
          <w:iCs/>
          <w:sz w:val="20"/>
          <w:szCs w:val="20"/>
        </w:rPr>
        <w:t xml:space="preserve">consilium fraudis </w:t>
      </w:r>
      <w:r w:rsidR="00A95E75" w:rsidRPr="00A95E75">
        <w:rPr>
          <w:rFonts w:ascii="Times New Roman" w:hAnsi="Times New Roman" w:cs="Times New Roman"/>
          <w:sz w:val="20"/>
          <w:szCs w:val="20"/>
        </w:rPr>
        <w:t>é essencial</w:t>
      </w:r>
      <w:r w:rsidR="00A95E75">
        <w:rPr>
          <w:rFonts w:ascii="Times New Roman" w:hAnsi="Times New Roman" w:cs="Times New Roman"/>
          <w:sz w:val="20"/>
          <w:szCs w:val="20"/>
        </w:rPr>
        <w:t xml:space="preserve"> </w:t>
      </w:r>
      <w:r w:rsidR="00A95E75" w:rsidRPr="00A95E75">
        <w:rPr>
          <w:rFonts w:ascii="Times New Roman" w:hAnsi="Times New Roman" w:cs="Times New Roman"/>
          <w:sz w:val="20"/>
          <w:szCs w:val="20"/>
        </w:rPr>
        <w:t>para determinar a fraude e tornar anulável o negócio jurídico</w:t>
      </w:r>
      <w:r w:rsidR="00A95E75">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047343">
        <w:rPr>
          <w:rFonts w:ascii="Times New Roman" w:hAnsi="Times New Roman" w:cs="Times New Roman"/>
          <w:sz w:val="20"/>
          <w:szCs w:val="20"/>
        </w:rPr>
        <w:t>PEREIRA</w:t>
      </w:r>
      <w:proofErr w:type="gramEnd"/>
      <w:r w:rsidR="00047343">
        <w:rPr>
          <w:rFonts w:ascii="Times New Roman" w:hAnsi="Times New Roman" w:cs="Times New Roman"/>
          <w:sz w:val="20"/>
          <w:szCs w:val="20"/>
        </w:rPr>
        <w:t>, ¿</w:t>
      </w:r>
      <w:r>
        <w:rPr>
          <w:rFonts w:ascii="Times New Roman" w:hAnsi="Times New Roman" w:cs="Times New Roman"/>
          <w:sz w:val="20"/>
          <w:szCs w:val="20"/>
        </w:rPr>
        <w:t>. p. 03-04)</w:t>
      </w:r>
    </w:p>
    <w:p w:rsidR="00A95E75" w:rsidRDefault="00A95E75" w:rsidP="00524B94">
      <w:pPr>
        <w:pStyle w:val="PargrafodaLista"/>
        <w:spacing w:after="0" w:line="240" w:lineRule="auto"/>
        <w:ind w:left="0" w:firstLine="1134"/>
        <w:jc w:val="both"/>
        <w:rPr>
          <w:rFonts w:ascii="Times New Roman" w:hAnsi="Times New Roman" w:cs="Times New Roman"/>
          <w:sz w:val="24"/>
          <w:szCs w:val="24"/>
        </w:rPr>
      </w:pPr>
    </w:p>
    <w:p w:rsidR="00A60DBE" w:rsidRDefault="00A95E75" w:rsidP="00F25D2C">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C22C85">
        <w:rPr>
          <w:rFonts w:ascii="Times New Roman" w:hAnsi="Times New Roman" w:cs="Times New Roman"/>
          <w:sz w:val="24"/>
          <w:szCs w:val="24"/>
        </w:rPr>
        <w:t xml:space="preserve">Em relação aos sujeitos, podemos caracterizar </w:t>
      </w:r>
      <w:r w:rsidR="001C6A01">
        <w:rPr>
          <w:rFonts w:ascii="Times New Roman" w:hAnsi="Times New Roman" w:cs="Times New Roman"/>
          <w:sz w:val="24"/>
          <w:szCs w:val="24"/>
        </w:rPr>
        <w:t>tal</w:t>
      </w:r>
      <w:r w:rsidR="00C22C85">
        <w:rPr>
          <w:rFonts w:ascii="Times New Roman" w:hAnsi="Times New Roman" w:cs="Times New Roman"/>
          <w:sz w:val="24"/>
          <w:szCs w:val="24"/>
        </w:rPr>
        <w:t xml:space="preserve"> crime como um crime próprio</w:t>
      </w:r>
      <w:r w:rsidR="007A73C7">
        <w:rPr>
          <w:rFonts w:ascii="Times New Roman" w:hAnsi="Times New Roman" w:cs="Times New Roman"/>
          <w:sz w:val="24"/>
          <w:szCs w:val="24"/>
        </w:rPr>
        <w:t>.</w:t>
      </w:r>
      <w:r w:rsidR="00332040">
        <w:rPr>
          <w:rFonts w:ascii="Times New Roman" w:hAnsi="Times New Roman" w:cs="Times New Roman"/>
          <w:sz w:val="24"/>
          <w:szCs w:val="24"/>
        </w:rPr>
        <w:t xml:space="preserve"> </w:t>
      </w:r>
      <w:proofErr w:type="spellStart"/>
      <w:r w:rsidR="001C6A01">
        <w:rPr>
          <w:rFonts w:ascii="Times New Roman" w:hAnsi="Times New Roman" w:cs="Times New Roman"/>
          <w:sz w:val="24"/>
          <w:szCs w:val="24"/>
        </w:rPr>
        <w:t>Ecio</w:t>
      </w:r>
      <w:proofErr w:type="spellEnd"/>
      <w:r w:rsidR="001C6A01">
        <w:rPr>
          <w:rFonts w:ascii="Times New Roman" w:hAnsi="Times New Roman" w:cs="Times New Roman"/>
          <w:sz w:val="24"/>
          <w:szCs w:val="24"/>
        </w:rPr>
        <w:t xml:space="preserve"> Perin reafirma tal fato: “o sujeito ativo deste crime é o empresário falido ou em recuperação judicial ou extrajudicial, tratando-se então de crime próprio, podendo ainda outras pessoas responder, na medida de sua culpabilidade, pelo mesmo crime, conforme §3º.” (PERIN JUNIOR, 2006. p. 367-368).</w:t>
      </w:r>
    </w:p>
    <w:p w:rsidR="00524B94" w:rsidRDefault="00524B94" w:rsidP="00524B94">
      <w:pPr>
        <w:pStyle w:val="PargrafodaLista"/>
        <w:spacing w:after="0" w:line="240" w:lineRule="auto"/>
        <w:ind w:left="0" w:firstLine="1134"/>
        <w:jc w:val="both"/>
        <w:rPr>
          <w:rFonts w:ascii="Times New Roman" w:hAnsi="Times New Roman" w:cs="Times New Roman"/>
          <w:sz w:val="24"/>
          <w:szCs w:val="24"/>
        </w:rPr>
      </w:pPr>
    </w:p>
    <w:p w:rsidR="00943126" w:rsidRPr="00943126" w:rsidRDefault="00742CA9" w:rsidP="00943126">
      <w:pPr>
        <w:pStyle w:val="NormalWeb"/>
        <w:numPr>
          <w:ilvl w:val="0"/>
          <w:numId w:val="9"/>
        </w:numPr>
        <w:spacing w:before="120" w:beforeAutospacing="0" w:after="120" w:afterAutospacing="0" w:line="360" w:lineRule="auto"/>
        <w:ind w:left="426"/>
        <w:jc w:val="both"/>
        <w:rPr>
          <w:b/>
        </w:rPr>
      </w:pPr>
      <w:r w:rsidRPr="002C0ACD">
        <w:rPr>
          <w:b/>
        </w:rPr>
        <w:t>IDENT</w:t>
      </w:r>
      <w:r w:rsidR="00E539B7" w:rsidRPr="002C0ACD">
        <w:rPr>
          <w:b/>
        </w:rPr>
        <w:t>IFICAÇÃO E ANÁLISE</w:t>
      </w:r>
      <w:r w:rsidR="00EA7EF8" w:rsidRPr="002C0ACD">
        <w:rPr>
          <w:b/>
        </w:rPr>
        <w:t xml:space="preserve"> DO CASO</w:t>
      </w:r>
    </w:p>
    <w:p w:rsidR="00943126" w:rsidRDefault="00B71075" w:rsidP="00D1063A">
      <w:pPr>
        <w:pStyle w:val="NormalWeb"/>
        <w:numPr>
          <w:ilvl w:val="1"/>
          <w:numId w:val="9"/>
        </w:numPr>
        <w:spacing w:before="120" w:beforeAutospacing="0" w:after="120" w:afterAutospacing="0" w:line="360" w:lineRule="auto"/>
        <w:ind w:left="426" w:hanging="426"/>
        <w:jc w:val="both"/>
        <w:rPr>
          <w:b/>
        </w:rPr>
      </w:pPr>
      <w:r w:rsidRPr="002C0ACD">
        <w:rPr>
          <w:b/>
        </w:rPr>
        <w:t>Descrição das decisões possíveis</w:t>
      </w:r>
      <w:r w:rsidR="00216010" w:rsidRPr="002C0ACD">
        <w:rPr>
          <w:b/>
        </w:rPr>
        <w:t xml:space="preserve">: </w:t>
      </w:r>
    </w:p>
    <w:p w:rsidR="00943126" w:rsidRDefault="0046211F" w:rsidP="005F3675">
      <w:pPr>
        <w:pStyle w:val="NormalWeb"/>
        <w:numPr>
          <w:ilvl w:val="0"/>
          <w:numId w:val="15"/>
        </w:numPr>
        <w:spacing w:before="0" w:beforeAutospacing="0" w:after="0" w:afterAutospacing="0" w:line="360" w:lineRule="auto"/>
        <w:jc w:val="both"/>
        <w:rPr>
          <w:b/>
        </w:rPr>
      </w:pPr>
      <w:r>
        <w:rPr>
          <w:b/>
        </w:rPr>
        <w:t>Responsabilização apenas dos Sócios</w:t>
      </w:r>
      <w:r w:rsidR="00E31807">
        <w:rPr>
          <w:b/>
        </w:rPr>
        <w:t>.</w:t>
      </w:r>
    </w:p>
    <w:p w:rsidR="009023A4" w:rsidRDefault="0046211F" w:rsidP="005F3675">
      <w:pPr>
        <w:pStyle w:val="NormalWeb"/>
        <w:numPr>
          <w:ilvl w:val="0"/>
          <w:numId w:val="15"/>
        </w:numPr>
        <w:spacing w:before="0" w:beforeAutospacing="0" w:after="0" w:afterAutospacing="0" w:line="360" w:lineRule="auto"/>
        <w:jc w:val="both"/>
        <w:rPr>
          <w:b/>
        </w:rPr>
      </w:pPr>
      <w:r>
        <w:rPr>
          <w:b/>
        </w:rPr>
        <w:t>Responsabilização conjunta dos Sócios e da Pessoa Jurídica.</w:t>
      </w:r>
    </w:p>
    <w:p w:rsidR="00D04508" w:rsidRPr="007D2951" w:rsidRDefault="00D04508" w:rsidP="005F3675">
      <w:pPr>
        <w:pStyle w:val="NormalWeb"/>
        <w:numPr>
          <w:ilvl w:val="0"/>
          <w:numId w:val="15"/>
        </w:numPr>
        <w:spacing w:before="0" w:beforeAutospacing="0" w:after="0" w:afterAutospacing="0" w:line="360" w:lineRule="auto"/>
        <w:jc w:val="both"/>
        <w:rPr>
          <w:b/>
          <w:color w:val="000000" w:themeColor="text1"/>
        </w:rPr>
      </w:pPr>
      <w:r w:rsidRPr="007D2951">
        <w:rPr>
          <w:b/>
          <w:color w:val="000000" w:themeColor="text1"/>
        </w:rPr>
        <w:t>Não r</w:t>
      </w:r>
      <w:r w:rsidR="00E154CE">
        <w:rPr>
          <w:b/>
          <w:color w:val="000000" w:themeColor="text1"/>
        </w:rPr>
        <w:t>esponsabilização de nenhum ente por crime falimentar.</w:t>
      </w:r>
    </w:p>
    <w:p w:rsidR="00D1063A" w:rsidRDefault="00D1063A" w:rsidP="00524B94">
      <w:pPr>
        <w:pStyle w:val="NormalWeb"/>
        <w:spacing w:before="0" w:beforeAutospacing="0" w:after="0" w:afterAutospacing="0"/>
        <w:ind w:left="1416"/>
        <w:jc w:val="both"/>
        <w:rPr>
          <w:b/>
        </w:rPr>
      </w:pPr>
    </w:p>
    <w:p w:rsidR="00D1063A" w:rsidRDefault="00D1063A" w:rsidP="00D1063A">
      <w:pPr>
        <w:pStyle w:val="NormalWeb"/>
        <w:numPr>
          <w:ilvl w:val="1"/>
          <w:numId w:val="17"/>
        </w:numPr>
        <w:spacing w:before="120" w:beforeAutospacing="0" w:after="120" w:afterAutospacing="0" w:line="360" w:lineRule="auto"/>
        <w:jc w:val="both"/>
        <w:rPr>
          <w:b/>
        </w:rPr>
      </w:pPr>
      <w:r>
        <w:rPr>
          <w:b/>
        </w:rPr>
        <w:t>Argumentos Capazes de Fundamentar cada Decisão.</w:t>
      </w:r>
    </w:p>
    <w:p w:rsidR="00D1063A" w:rsidRDefault="00B046DB" w:rsidP="00D1063A">
      <w:pPr>
        <w:pStyle w:val="NormalWeb"/>
        <w:numPr>
          <w:ilvl w:val="0"/>
          <w:numId w:val="18"/>
        </w:numPr>
        <w:spacing w:before="120" w:beforeAutospacing="0" w:after="120" w:afterAutospacing="0" w:line="360" w:lineRule="auto"/>
        <w:jc w:val="both"/>
        <w:rPr>
          <w:b/>
        </w:rPr>
      </w:pPr>
      <w:r>
        <w:rPr>
          <w:b/>
        </w:rPr>
        <w:t>Responsabilização apenas dos Sócios</w:t>
      </w:r>
      <w:r w:rsidR="00D1063A">
        <w:rPr>
          <w:b/>
        </w:rPr>
        <w:t>.</w:t>
      </w:r>
    </w:p>
    <w:p w:rsidR="00D1063A" w:rsidRDefault="00D1063A" w:rsidP="00D1063A">
      <w:pPr>
        <w:spacing w:line="36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 xml:space="preserve">Como foi visto no caso em questão, </w:t>
      </w:r>
      <w:r w:rsidR="004C639B">
        <w:rPr>
          <w:rFonts w:ascii="Times New Roman" w:hAnsi="Times New Roman" w:cs="Times New Roman"/>
          <w:sz w:val="24"/>
          <w:szCs w:val="24"/>
        </w:rPr>
        <w:t>para que haja a subsunção da conduta criminosa dos sócios ao art. 168, §1º, IV, da Lei de Falência faz-se necessária a decretação da falência dos empresários</w:t>
      </w:r>
      <w:r>
        <w:rPr>
          <w:rFonts w:ascii="Times New Roman" w:hAnsi="Times New Roman" w:cs="Times New Roman"/>
          <w:sz w:val="24"/>
          <w:szCs w:val="24"/>
        </w:rPr>
        <w:t xml:space="preserve">. </w:t>
      </w:r>
      <w:r w:rsidR="0006722B">
        <w:rPr>
          <w:rFonts w:ascii="Times New Roman" w:hAnsi="Times New Roman" w:cs="Times New Roman"/>
          <w:sz w:val="24"/>
          <w:szCs w:val="24"/>
        </w:rPr>
        <w:t xml:space="preserve">No ato de formação de uma sociedade empresarial, os sócios passam a ter </w:t>
      </w:r>
      <w:r w:rsidR="0006722B">
        <w:rPr>
          <w:rFonts w:ascii="Times New Roman" w:hAnsi="Times New Roman" w:cs="Times New Roman"/>
          <w:sz w:val="24"/>
          <w:szCs w:val="24"/>
        </w:rPr>
        <w:lastRenderedPageBreak/>
        <w:t>responsabilidade pelos atos praticados pela empresa e suas respectivas consequências</w:t>
      </w:r>
      <w:r>
        <w:rPr>
          <w:rFonts w:ascii="Times New Roman" w:hAnsi="Times New Roman" w:cs="Times New Roman"/>
          <w:sz w:val="24"/>
          <w:szCs w:val="24"/>
        </w:rPr>
        <w:t>.</w:t>
      </w:r>
      <w:r w:rsidR="0006722B">
        <w:rPr>
          <w:rFonts w:ascii="Times New Roman" w:hAnsi="Times New Roman" w:cs="Times New Roman"/>
          <w:sz w:val="24"/>
          <w:szCs w:val="24"/>
        </w:rPr>
        <w:t xml:space="preserve"> </w:t>
      </w:r>
      <w:r w:rsidR="00DF481F">
        <w:rPr>
          <w:rFonts w:ascii="Times New Roman" w:hAnsi="Times New Roman" w:cs="Times New Roman"/>
          <w:sz w:val="24"/>
          <w:szCs w:val="24"/>
        </w:rPr>
        <w:t xml:space="preserve">Em face disto, podemos perceber a presença da Teoria da Responsabilidade Subjetiva, a qual se faz presente no Código Penal brasileiro. </w:t>
      </w:r>
      <w:r w:rsidR="00F06EE6">
        <w:rPr>
          <w:rFonts w:ascii="Times New Roman" w:hAnsi="Times New Roman" w:cs="Times New Roman"/>
          <w:sz w:val="24"/>
          <w:szCs w:val="24"/>
        </w:rPr>
        <w:t>Ensina-nos</w:t>
      </w:r>
      <w:r w:rsidR="00DF481F">
        <w:rPr>
          <w:rFonts w:ascii="Times New Roman" w:hAnsi="Times New Roman" w:cs="Times New Roman"/>
          <w:sz w:val="24"/>
          <w:szCs w:val="24"/>
        </w:rPr>
        <w:t xml:space="preserve"> Carlos Roberto Gonçalves que “d</w:t>
      </w:r>
      <w:r w:rsidR="00DF481F" w:rsidRPr="00DF481F">
        <w:rPr>
          <w:rFonts w:ascii="Times New Roman" w:hAnsi="Times New Roman" w:cs="Times New Roman"/>
          <w:sz w:val="24"/>
          <w:szCs w:val="24"/>
        </w:rPr>
        <w:t xml:space="preserve">iz-se, pois, ser “subjetiva” a responsabilidade quando se esteia na ideia de culpa. A prova da culpa do agente passa a ser pressuposto </w:t>
      </w:r>
      <w:r w:rsidR="00DF481F">
        <w:rPr>
          <w:rFonts w:ascii="Times New Roman" w:hAnsi="Times New Roman" w:cs="Times New Roman"/>
          <w:sz w:val="24"/>
          <w:szCs w:val="24"/>
        </w:rPr>
        <w:t>necessário do dano indenizável</w:t>
      </w:r>
      <w:r w:rsidR="00DF481F" w:rsidRPr="007F2025">
        <w:rPr>
          <w:rFonts w:ascii="Times New Roman" w:hAnsi="Times New Roman" w:cs="Times New Roman"/>
          <w:color w:val="000000" w:themeColor="text1"/>
          <w:sz w:val="24"/>
          <w:szCs w:val="24"/>
        </w:rPr>
        <w:t>.” (GONÇALVES, 2012. p. 68</w:t>
      </w:r>
      <w:r w:rsidR="005D3E8B" w:rsidRPr="007F2025">
        <w:rPr>
          <w:rFonts w:ascii="Times New Roman" w:hAnsi="Times New Roman" w:cs="Times New Roman"/>
          <w:color w:val="000000" w:themeColor="text1"/>
          <w:sz w:val="24"/>
          <w:szCs w:val="24"/>
        </w:rPr>
        <w:t>).</w:t>
      </w:r>
      <w:r w:rsidR="005D3E8B">
        <w:rPr>
          <w:rFonts w:ascii="Times New Roman" w:hAnsi="Times New Roman" w:cs="Times New Roman"/>
          <w:color w:val="FF0000"/>
          <w:sz w:val="24"/>
          <w:szCs w:val="24"/>
        </w:rPr>
        <w:t xml:space="preserve"> </w:t>
      </w:r>
    </w:p>
    <w:p w:rsidR="00A268C3" w:rsidRPr="005F3675" w:rsidRDefault="00A268C3" w:rsidP="005F3675">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relação ao modelo de sociedade, a sociedade limitada apresenta um regime jurídico de responsabilidade bastante específico, o qual está abordado no art. 1.052 do Código Civil brasileiro, o qual aponta a responsabilidade do sócio no limite de sua quota do capital social da empresa. Arnold</w:t>
      </w:r>
      <w:r w:rsidR="00840649">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Wald afirma que “a</w:t>
      </w:r>
      <w:r w:rsidRPr="00A268C3">
        <w:rPr>
          <w:rFonts w:ascii="Times New Roman" w:hAnsi="Times New Roman" w:cs="Times New Roman"/>
          <w:color w:val="000000" w:themeColor="text1"/>
          <w:sz w:val="24"/>
          <w:szCs w:val="24"/>
        </w:rPr>
        <w:t xml:space="preserve"> limitação da responsabilidade patrimonial dos sócios de sociedades limitadas está prevista no art. 1.052 do Código Civil, que estabelece que os sócios respondem unicamente pelo valor de suas quotas, mas solidariamente pela integralização do capita</w:t>
      </w:r>
      <w:r w:rsidR="005A21B0">
        <w:rPr>
          <w:rFonts w:ascii="Times New Roman" w:hAnsi="Times New Roman" w:cs="Times New Roman"/>
          <w:color w:val="000000" w:themeColor="text1"/>
          <w:sz w:val="24"/>
          <w:szCs w:val="24"/>
        </w:rPr>
        <w:t>l.”</w:t>
      </w:r>
      <w:r w:rsidR="005A21B0" w:rsidRPr="007F2025">
        <w:rPr>
          <w:rFonts w:ascii="Times New Roman" w:hAnsi="Times New Roman" w:cs="Times New Roman"/>
          <w:color w:val="000000" w:themeColor="text1"/>
          <w:sz w:val="24"/>
          <w:szCs w:val="24"/>
        </w:rPr>
        <w:t xml:space="preserve"> (WALD, 2012. p. 225)</w:t>
      </w:r>
      <w:r w:rsidR="00912827" w:rsidRPr="007F2025">
        <w:rPr>
          <w:rFonts w:ascii="Times New Roman" w:hAnsi="Times New Roman" w:cs="Times New Roman"/>
          <w:color w:val="000000" w:themeColor="text1"/>
          <w:sz w:val="24"/>
          <w:szCs w:val="24"/>
        </w:rPr>
        <w:t xml:space="preserve">. </w:t>
      </w:r>
      <w:r w:rsidR="005E742E" w:rsidRPr="007F2025">
        <w:rPr>
          <w:rFonts w:ascii="Times New Roman" w:hAnsi="Times New Roman" w:cs="Times New Roman"/>
          <w:color w:val="000000" w:themeColor="text1"/>
          <w:sz w:val="24"/>
          <w:szCs w:val="24"/>
        </w:rPr>
        <w:t xml:space="preserve">Desta </w:t>
      </w:r>
      <w:r w:rsidR="005E742E">
        <w:rPr>
          <w:rFonts w:ascii="Times New Roman" w:hAnsi="Times New Roman" w:cs="Times New Roman"/>
          <w:color w:val="000000" w:themeColor="text1"/>
          <w:sz w:val="24"/>
          <w:szCs w:val="24"/>
        </w:rPr>
        <w:t>feita, percebe-se que a sociedade limitada oferece ao sócio uma maior segurança quanto à utilização de seus bens pessoais para arcar com dívidas de sua empresa. Neste mesmo sentido dispõe o art. 82</w:t>
      </w:r>
      <w:r w:rsidR="0077162D">
        <w:rPr>
          <w:rFonts w:ascii="Times New Roman" w:hAnsi="Times New Roman" w:cs="Times New Roman"/>
          <w:color w:val="000000" w:themeColor="text1"/>
          <w:sz w:val="24"/>
          <w:szCs w:val="24"/>
        </w:rPr>
        <w:t xml:space="preserve"> da Lei de Falência</w:t>
      </w:r>
      <w:r w:rsidR="007F2025">
        <w:rPr>
          <w:rFonts w:ascii="Times New Roman" w:hAnsi="Times New Roman" w:cs="Times New Roman"/>
          <w:color w:val="000000" w:themeColor="text1"/>
          <w:sz w:val="24"/>
          <w:szCs w:val="24"/>
        </w:rPr>
        <w:t>, o qual afirma que a responsabilidade pessoal dos sócios e dos funcionários de confiança</w:t>
      </w:r>
      <w:r w:rsidR="00FB336D">
        <w:rPr>
          <w:rFonts w:ascii="Times New Roman" w:hAnsi="Times New Roman" w:cs="Times New Roman"/>
          <w:color w:val="000000" w:themeColor="text1"/>
          <w:sz w:val="24"/>
          <w:szCs w:val="24"/>
        </w:rPr>
        <w:t>, na sociedade limitada,</w:t>
      </w:r>
      <w:r w:rsidR="007F2025">
        <w:rPr>
          <w:rFonts w:ascii="Times New Roman" w:hAnsi="Times New Roman" w:cs="Times New Roman"/>
          <w:color w:val="000000" w:themeColor="text1"/>
          <w:sz w:val="24"/>
          <w:szCs w:val="24"/>
        </w:rPr>
        <w:t xml:space="preserve"> deve ser apurada na própria análise da falência</w:t>
      </w:r>
      <w:r w:rsidR="005F3675">
        <w:rPr>
          <w:rFonts w:ascii="Times New Roman" w:hAnsi="Times New Roman" w:cs="Times New Roman"/>
          <w:color w:val="000000" w:themeColor="text1"/>
          <w:sz w:val="24"/>
          <w:szCs w:val="24"/>
        </w:rPr>
        <w:t xml:space="preserve"> </w:t>
      </w:r>
      <w:r w:rsidR="0077162D" w:rsidRPr="005F3675">
        <w:rPr>
          <w:rFonts w:ascii="Times New Roman" w:hAnsi="Times New Roman" w:cs="Times New Roman"/>
          <w:color w:val="000000" w:themeColor="text1"/>
          <w:sz w:val="24"/>
          <w:szCs w:val="24"/>
        </w:rPr>
        <w:t>(LEI 11.101, 2005).</w:t>
      </w:r>
    </w:p>
    <w:p w:rsidR="003E1AF0" w:rsidRDefault="00D04702" w:rsidP="00215CE2">
      <w:pPr>
        <w:pStyle w:val="NormalWeb"/>
        <w:tabs>
          <w:tab w:val="left" w:pos="0"/>
        </w:tabs>
        <w:spacing w:before="120" w:beforeAutospacing="0" w:after="120" w:afterAutospacing="0" w:line="360" w:lineRule="auto"/>
        <w:ind w:firstLine="1134"/>
        <w:jc w:val="both"/>
        <w:rPr>
          <w:color w:val="FF0000"/>
          <w:sz w:val="20"/>
          <w:szCs w:val="20"/>
        </w:rPr>
      </w:pPr>
      <w:r>
        <w:t xml:space="preserve">Embora o Código Civil </w:t>
      </w:r>
      <w:r w:rsidR="00BB3122">
        <w:t>preveja o princípio da autonomia patrimonial da sociedade empresária, o qual fundamenta a limitação</w:t>
      </w:r>
      <w:r>
        <w:t xml:space="preserve"> </w:t>
      </w:r>
      <w:r w:rsidR="00BB3122">
        <w:t>d</w:t>
      </w:r>
      <w:r w:rsidR="00421140">
        <w:t>a responsabilidade dos sócios às suas quotas do capital social da empresa</w:t>
      </w:r>
      <w:r w:rsidR="00BB3122">
        <w:t xml:space="preserve"> quando em regime de sociedade limitada</w:t>
      </w:r>
      <w:r w:rsidR="00421140">
        <w:t xml:space="preserve">, sabe-se que o próprio Código </w:t>
      </w:r>
      <w:r w:rsidR="00421140" w:rsidRPr="00763302">
        <w:rPr>
          <w:color w:val="000000" w:themeColor="text1"/>
        </w:rPr>
        <w:t>prevê também o instituto da desconsideração da personalidade jurídica dos sócios.</w:t>
      </w:r>
      <w:r w:rsidR="00BB3122" w:rsidRPr="00763302">
        <w:rPr>
          <w:color w:val="000000" w:themeColor="text1"/>
        </w:rPr>
        <w:t xml:space="preserve"> </w:t>
      </w:r>
      <w:r w:rsidR="00446EA9" w:rsidRPr="00763302">
        <w:rPr>
          <w:color w:val="000000" w:themeColor="text1"/>
        </w:rPr>
        <w:t>Maur</w:t>
      </w:r>
      <w:r w:rsidR="0047298E" w:rsidRPr="00763302">
        <w:rPr>
          <w:color w:val="000000" w:themeColor="text1"/>
        </w:rPr>
        <w:t>ício Faria da Silva elucida:</w:t>
      </w:r>
      <w:r w:rsidR="00215CE2">
        <w:rPr>
          <w:color w:val="000000" w:themeColor="text1"/>
        </w:rPr>
        <w:t xml:space="preserve"> </w:t>
      </w:r>
      <w:r w:rsidR="00446EA9" w:rsidRPr="00215CE2">
        <w:rPr>
          <w:color w:val="000000" w:themeColor="text1"/>
        </w:rPr>
        <w:t>“</w:t>
      </w:r>
      <w:r w:rsidR="0047298E" w:rsidRPr="00215CE2">
        <w:rPr>
          <w:color w:val="000000" w:themeColor="text1"/>
        </w:rPr>
        <w:t xml:space="preserve">Conclui-se: </w:t>
      </w:r>
      <w:r w:rsidR="00446EA9" w:rsidRPr="00215CE2">
        <w:rPr>
          <w:color w:val="000000" w:themeColor="text1"/>
        </w:rPr>
        <w:t>em nome da segurança jurídica e de seus reflexos sociais, para a aplicação do Instituto da Desconsideração da Personalidade Jurídica, não é suficiente apenas a insolvência da empresa.”</w:t>
      </w:r>
      <w:r w:rsidR="00446EA9" w:rsidRPr="00763302">
        <w:rPr>
          <w:color w:val="000000" w:themeColor="text1"/>
          <w:sz w:val="20"/>
          <w:szCs w:val="20"/>
        </w:rPr>
        <w:t xml:space="preserve"> </w:t>
      </w:r>
      <w:r w:rsidR="00446EA9" w:rsidRPr="00672211">
        <w:rPr>
          <w:color w:val="000000" w:themeColor="text1"/>
        </w:rPr>
        <w:t xml:space="preserve">(SILVA, </w:t>
      </w:r>
      <w:r w:rsidR="00C969CF" w:rsidRPr="00672211">
        <w:rPr>
          <w:color w:val="000000" w:themeColor="text1"/>
        </w:rPr>
        <w:t>2011</w:t>
      </w:r>
      <w:r w:rsidR="00446EA9" w:rsidRPr="00672211">
        <w:rPr>
          <w:color w:val="000000" w:themeColor="text1"/>
        </w:rPr>
        <w:t>. p. 157).</w:t>
      </w:r>
      <w:r w:rsidR="00B14C3E" w:rsidRPr="00672211">
        <w:rPr>
          <w:color w:val="000000" w:themeColor="text1"/>
        </w:rPr>
        <w:t xml:space="preserve"> Portanto, se faz necessária a justificativa plausível para a aplicação desta teoria.</w:t>
      </w:r>
    </w:p>
    <w:p w:rsidR="00D06B95" w:rsidRPr="00D06B95" w:rsidRDefault="00D06B95" w:rsidP="00704535">
      <w:pPr>
        <w:pStyle w:val="NormalWeb"/>
        <w:tabs>
          <w:tab w:val="left" w:pos="0"/>
        </w:tabs>
        <w:spacing w:before="120" w:beforeAutospacing="0" w:after="120" w:afterAutospacing="0" w:line="360" w:lineRule="auto"/>
        <w:ind w:firstLine="1134"/>
        <w:jc w:val="both"/>
        <w:rPr>
          <w:color w:val="000000" w:themeColor="text1"/>
        </w:rPr>
      </w:pPr>
      <w:r>
        <w:rPr>
          <w:color w:val="000000" w:themeColor="text1"/>
        </w:rPr>
        <w:t>Por fim, é relevante frisar o disposto no art. 179 da Lei de Falência. O referido artigo afirma que na falência os sócios, diretores, gerentes, administradores e conselheiros, de fato ou de direito, serão responsabilizados em face dos efeitos penais na medida de sua culpabilidade</w:t>
      </w:r>
      <w:r w:rsidR="00BD7717">
        <w:rPr>
          <w:color w:val="000000" w:themeColor="text1"/>
        </w:rPr>
        <w:t xml:space="preserve"> (LEI 11.101, 2005)</w:t>
      </w:r>
      <w:r>
        <w:rPr>
          <w:color w:val="000000" w:themeColor="text1"/>
        </w:rPr>
        <w:t xml:space="preserve">. Da leitura do dispositivo podemos vislumbrar que em momento algum o legislador citou a responsabilização da pessoa jurídica, estabelecendo apenas o concurso para todos aqueles que ocuparem cargos de extrema confiança e importância à empresa. Portanto, não se enxerga durante toda a argumentação a possibilidade </w:t>
      </w:r>
      <w:r>
        <w:rPr>
          <w:color w:val="000000" w:themeColor="text1"/>
        </w:rPr>
        <w:lastRenderedPageBreak/>
        <w:t xml:space="preserve">de condenar penalmente a Pessoa Jurídica, a qual é vedada pelo art. </w:t>
      </w:r>
      <w:r w:rsidR="00E66661">
        <w:rPr>
          <w:color w:val="000000" w:themeColor="text1"/>
        </w:rPr>
        <w:t xml:space="preserve">5º, </w:t>
      </w:r>
      <w:r w:rsidR="00E30447">
        <w:rPr>
          <w:color w:val="000000" w:themeColor="text1"/>
        </w:rPr>
        <w:t>X</w:t>
      </w:r>
      <w:r w:rsidR="00E66661">
        <w:rPr>
          <w:color w:val="000000" w:themeColor="text1"/>
        </w:rPr>
        <w:t>L</w:t>
      </w:r>
      <w:r w:rsidR="00E30447">
        <w:rPr>
          <w:color w:val="000000" w:themeColor="text1"/>
        </w:rPr>
        <w:t>V, da Constituição Federal brasileira</w:t>
      </w:r>
      <w:r w:rsidR="00941B68">
        <w:rPr>
          <w:color w:val="000000" w:themeColor="text1"/>
        </w:rPr>
        <w:t xml:space="preserve"> de 1988</w:t>
      </w:r>
      <w:r w:rsidR="00E30447">
        <w:rPr>
          <w:color w:val="000000" w:themeColor="text1"/>
        </w:rPr>
        <w:t>.</w:t>
      </w:r>
    </w:p>
    <w:p w:rsidR="003924A5" w:rsidRPr="004B3725" w:rsidRDefault="00B046DB" w:rsidP="004B3725">
      <w:pPr>
        <w:pStyle w:val="NormalWeb"/>
        <w:numPr>
          <w:ilvl w:val="0"/>
          <w:numId w:val="18"/>
        </w:numPr>
        <w:spacing w:before="120" w:beforeAutospacing="0" w:after="120" w:afterAutospacing="0" w:line="360" w:lineRule="auto"/>
        <w:jc w:val="both"/>
        <w:rPr>
          <w:b/>
        </w:rPr>
      </w:pPr>
      <w:r>
        <w:rPr>
          <w:b/>
        </w:rPr>
        <w:t>Responsabilização conjunta dos Sócios e da Pessoa Jurídica</w:t>
      </w:r>
      <w:r w:rsidR="004B3725">
        <w:rPr>
          <w:b/>
        </w:rPr>
        <w:t>.</w:t>
      </w:r>
    </w:p>
    <w:p w:rsidR="004B3725" w:rsidRDefault="00B15A76" w:rsidP="004B372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foi visto na decisão de responsabilizar apenas o sócio, a possibilidade de responsabilização do sócio é amplamente defendida pela doutrina e abarcada pelo Ordenamento Jurídico</w:t>
      </w:r>
      <w:r w:rsidR="004B3725" w:rsidRPr="004B3725">
        <w:rPr>
          <w:rFonts w:ascii="Times New Roman" w:hAnsi="Times New Roman" w:cs="Times New Roman"/>
          <w:i/>
          <w:sz w:val="24"/>
          <w:szCs w:val="24"/>
        </w:rPr>
        <w:t>.</w:t>
      </w:r>
      <w:r w:rsidR="00CE2A2A">
        <w:rPr>
          <w:rFonts w:ascii="Times New Roman" w:hAnsi="Times New Roman" w:cs="Times New Roman"/>
          <w:sz w:val="24"/>
          <w:szCs w:val="24"/>
        </w:rPr>
        <w:t xml:space="preserve"> Quanto à responsabilização da pessoa jurídica, cabe-nos demonstrar o entendimento de alguns dos ministros do Supremo Tribunal Federal.</w:t>
      </w:r>
    </w:p>
    <w:p w:rsidR="00015B01" w:rsidRDefault="00015B01" w:rsidP="004B372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min. Ricardo </w:t>
      </w:r>
      <w:proofErr w:type="spellStart"/>
      <w:r>
        <w:rPr>
          <w:rFonts w:ascii="Times New Roman" w:hAnsi="Times New Roman" w:cs="Times New Roman"/>
          <w:sz w:val="24"/>
          <w:szCs w:val="24"/>
        </w:rPr>
        <w:t>Lewandowski</w:t>
      </w:r>
      <w:proofErr w:type="spellEnd"/>
      <w:r>
        <w:rPr>
          <w:rFonts w:ascii="Times New Roman" w:hAnsi="Times New Roman" w:cs="Times New Roman"/>
          <w:sz w:val="24"/>
          <w:szCs w:val="24"/>
        </w:rPr>
        <w:t xml:space="preserve">, no voto proferido mediante o </w:t>
      </w:r>
      <w:r>
        <w:rPr>
          <w:rFonts w:ascii="Times New Roman" w:hAnsi="Times New Roman" w:cs="Times New Roman"/>
          <w:i/>
          <w:sz w:val="24"/>
          <w:szCs w:val="24"/>
        </w:rPr>
        <w:t xml:space="preserve">habeas corpus </w:t>
      </w:r>
      <w:r w:rsidR="002F3566">
        <w:rPr>
          <w:rFonts w:ascii="Times New Roman" w:hAnsi="Times New Roman" w:cs="Times New Roman"/>
          <w:sz w:val="24"/>
          <w:szCs w:val="24"/>
        </w:rPr>
        <w:t>nº 92.921-4/BA</w:t>
      </w:r>
      <w:r w:rsidR="003420F4">
        <w:rPr>
          <w:rFonts w:ascii="Times New Roman" w:hAnsi="Times New Roman" w:cs="Times New Roman"/>
          <w:sz w:val="24"/>
          <w:szCs w:val="24"/>
        </w:rPr>
        <w:t xml:space="preserve"> (</w:t>
      </w:r>
      <w:r w:rsidR="003C121A">
        <w:rPr>
          <w:rFonts w:ascii="Times New Roman" w:hAnsi="Times New Roman" w:cs="Times New Roman"/>
          <w:sz w:val="24"/>
          <w:szCs w:val="24"/>
        </w:rPr>
        <w:t>anexo</w:t>
      </w:r>
      <w:r w:rsidR="003420F4">
        <w:rPr>
          <w:rFonts w:ascii="Times New Roman" w:hAnsi="Times New Roman" w:cs="Times New Roman"/>
          <w:sz w:val="24"/>
          <w:szCs w:val="24"/>
        </w:rPr>
        <w:t xml:space="preserve"> 1</w:t>
      </w:r>
      <w:r w:rsidR="003C121A">
        <w:rPr>
          <w:rFonts w:ascii="Times New Roman" w:hAnsi="Times New Roman" w:cs="Times New Roman"/>
          <w:sz w:val="24"/>
          <w:szCs w:val="24"/>
        </w:rPr>
        <w:t>)</w:t>
      </w:r>
      <w:r w:rsidR="002F3566">
        <w:rPr>
          <w:rFonts w:ascii="Times New Roman" w:hAnsi="Times New Roman" w:cs="Times New Roman"/>
          <w:sz w:val="24"/>
          <w:szCs w:val="24"/>
        </w:rPr>
        <w:t>, reconheceu a possibilidade de responsabilização penal da Pessoa Jurídica.</w:t>
      </w:r>
      <w:r w:rsidR="00AE4756">
        <w:rPr>
          <w:rFonts w:ascii="Times New Roman" w:hAnsi="Times New Roman" w:cs="Times New Roman"/>
          <w:sz w:val="24"/>
          <w:szCs w:val="24"/>
        </w:rPr>
        <w:t xml:space="preserve"> Sabe-se que o </w:t>
      </w:r>
      <w:r w:rsidR="00AE4756">
        <w:rPr>
          <w:rFonts w:ascii="Times New Roman" w:hAnsi="Times New Roman" w:cs="Times New Roman"/>
          <w:i/>
          <w:sz w:val="24"/>
          <w:szCs w:val="24"/>
        </w:rPr>
        <w:t xml:space="preserve">habeas corpus </w:t>
      </w:r>
      <w:r w:rsidR="00AE4756">
        <w:rPr>
          <w:rFonts w:ascii="Times New Roman" w:hAnsi="Times New Roman" w:cs="Times New Roman"/>
          <w:sz w:val="24"/>
          <w:szCs w:val="24"/>
        </w:rPr>
        <w:t xml:space="preserve">é remédio constitucional utilizado para combater lesão à liberdade de locomoção do paciente. Quando o min. defende a possibilidade de instauração de </w:t>
      </w:r>
      <w:r w:rsidR="00AE4756">
        <w:rPr>
          <w:rFonts w:ascii="Times New Roman" w:hAnsi="Times New Roman" w:cs="Times New Roman"/>
          <w:i/>
          <w:sz w:val="24"/>
          <w:szCs w:val="24"/>
        </w:rPr>
        <w:t xml:space="preserve">habeas corpus </w:t>
      </w:r>
      <w:r w:rsidR="00AE4756">
        <w:rPr>
          <w:rFonts w:ascii="Times New Roman" w:hAnsi="Times New Roman" w:cs="Times New Roman"/>
          <w:sz w:val="24"/>
          <w:szCs w:val="24"/>
        </w:rPr>
        <w:t xml:space="preserve">por pessoa jurídica, está defendendo automaticamente a possibilidade de responsabilização penal da pessoa jurídica. </w:t>
      </w:r>
      <w:r w:rsidR="009D175B">
        <w:rPr>
          <w:rFonts w:ascii="Times New Roman" w:hAnsi="Times New Roman" w:cs="Times New Roman"/>
          <w:sz w:val="24"/>
          <w:szCs w:val="24"/>
        </w:rPr>
        <w:t>De acordo com</w:t>
      </w:r>
      <w:r w:rsidR="002F4517">
        <w:rPr>
          <w:rFonts w:ascii="Times New Roman" w:hAnsi="Times New Roman" w:cs="Times New Roman"/>
          <w:sz w:val="24"/>
          <w:szCs w:val="24"/>
        </w:rPr>
        <w:t xml:space="preserve"> o min. </w:t>
      </w:r>
      <w:proofErr w:type="spellStart"/>
      <w:r w:rsidR="002F4517">
        <w:rPr>
          <w:rFonts w:ascii="Times New Roman" w:hAnsi="Times New Roman" w:cs="Times New Roman"/>
          <w:sz w:val="24"/>
          <w:szCs w:val="24"/>
        </w:rPr>
        <w:t>Lewandowski</w:t>
      </w:r>
      <w:proofErr w:type="spellEnd"/>
      <w:r w:rsidR="002F4517">
        <w:rPr>
          <w:rFonts w:ascii="Times New Roman" w:hAnsi="Times New Roman" w:cs="Times New Roman"/>
          <w:sz w:val="24"/>
          <w:szCs w:val="24"/>
        </w:rPr>
        <w:t xml:space="preserve"> </w:t>
      </w:r>
      <w:r w:rsidR="00010D66">
        <w:rPr>
          <w:rFonts w:ascii="Times New Roman" w:hAnsi="Times New Roman" w:cs="Times New Roman"/>
          <w:sz w:val="24"/>
          <w:szCs w:val="24"/>
        </w:rPr>
        <w:t>necessita</w:t>
      </w:r>
      <w:r w:rsidR="009D175B">
        <w:rPr>
          <w:rFonts w:ascii="Times New Roman" w:hAnsi="Times New Roman" w:cs="Times New Roman"/>
          <w:sz w:val="24"/>
          <w:szCs w:val="24"/>
        </w:rPr>
        <w:t xml:space="preserve"> que a dupla imputação se dê</w:t>
      </w:r>
      <w:r w:rsidR="002F4517">
        <w:rPr>
          <w:rFonts w:ascii="Times New Roman" w:hAnsi="Times New Roman" w:cs="Times New Roman"/>
          <w:sz w:val="24"/>
          <w:szCs w:val="24"/>
        </w:rPr>
        <w:t xml:space="preserve"> em referência à lesão reflexa à pessoa física e por isso a possibilidade de instauração do </w:t>
      </w:r>
      <w:r w:rsidR="002F4517">
        <w:rPr>
          <w:rFonts w:ascii="Times New Roman" w:hAnsi="Times New Roman" w:cs="Times New Roman"/>
          <w:i/>
          <w:sz w:val="24"/>
          <w:szCs w:val="24"/>
        </w:rPr>
        <w:t>habeas corpus</w:t>
      </w:r>
      <w:r w:rsidR="002F4517">
        <w:rPr>
          <w:rFonts w:ascii="Times New Roman" w:hAnsi="Times New Roman" w:cs="Times New Roman"/>
          <w:sz w:val="24"/>
          <w:szCs w:val="24"/>
        </w:rPr>
        <w:t xml:space="preserve"> por pessoa jurídica. </w:t>
      </w:r>
      <w:r w:rsidR="004C5B2E">
        <w:rPr>
          <w:rFonts w:ascii="Times New Roman" w:hAnsi="Times New Roman" w:cs="Times New Roman"/>
          <w:sz w:val="24"/>
          <w:szCs w:val="24"/>
        </w:rPr>
        <w:t>Neste mesmo sentido, pensa a ministra Carmen Lúcia.</w:t>
      </w:r>
    </w:p>
    <w:p w:rsidR="00990A49" w:rsidRPr="004C5B2E" w:rsidRDefault="00990A49" w:rsidP="00990A49">
      <w:pPr>
        <w:spacing w:line="360" w:lineRule="auto"/>
        <w:ind w:firstLine="851"/>
        <w:jc w:val="both"/>
        <w:rPr>
          <w:rFonts w:ascii="Times New Roman" w:hAnsi="Times New Roman" w:cs="Times New Roman"/>
          <w:sz w:val="24"/>
          <w:szCs w:val="24"/>
          <w:u w:val="double"/>
        </w:rPr>
      </w:pPr>
      <w:r>
        <w:rPr>
          <w:rFonts w:ascii="Times New Roman" w:hAnsi="Times New Roman" w:cs="Times New Roman"/>
          <w:sz w:val="24"/>
          <w:szCs w:val="24"/>
        </w:rPr>
        <w:t>Além disso, é importante frisar que o art. 225, §3º, da Constituição Federal</w:t>
      </w:r>
      <w:r w:rsidR="00F210C0">
        <w:rPr>
          <w:rFonts w:ascii="Times New Roman" w:hAnsi="Times New Roman" w:cs="Times New Roman"/>
          <w:sz w:val="24"/>
          <w:szCs w:val="24"/>
        </w:rPr>
        <w:t xml:space="preserve"> quando prevê a possibilidade de responsabilização penal do Pessoa Jurídica em casos de crimes ambientais. Tal possibilidade abre precedente para a análise da questão da responsabilização penal da Pessoa Jurídica. Essa abertura de precedente torna plausível esta questão, visto que uma vez punido criminalmente por dan</w:t>
      </w:r>
      <w:r w:rsidR="00BD0B58">
        <w:rPr>
          <w:rFonts w:ascii="Times New Roman" w:hAnsi="Times New Roman" w:cs="Times New Roman"/>
          <w:sz w:val="24"/>
          <w:szCs w:val="24"/>
        </w:rPr>
        <w:t>os ambientais, apresenta-se um impasse</w:t>
      </w:r>
      <w:r w:rsidR="00F210C0">
        <w:rPr>
          <w:rFonts w:ascii="Times New Roman" w:hAnsi="Times New Roman" w:cs="Times New Roman"/>
          <w:sz w:val="24"/>
          <w:szCs w:val="24"/>
        </w:rPr>
        <w:t xml:space="preserve"> na Constituição de 1988</w:t>
      </w:r>
      <w:r w:rsidR="00BD0B58">
        <w:rPr>
          <w:rFonts w:ascii="Times New Roman" w:hAnsi="Times New Roman" w:cs="Times New Roman"/>
          <w:sz w:val="24"/>
          <w:szCs w:val="24"/>
        </w:rPr>
        <w:t>, em face do art. 5º, XLV, da mesma</w:t>
      </w:r>
      <w:r w:rsidR="00F210C0">
        <w:rPr>
          <w:rFonts w:ascii="Times New Roman" w:hAnsi="Times New Roman" w:cs="Times New Roman"/>
          <w:sz w:val="24"/>
          <w:szCs w:val="24"/>
        </w:rPr>
        <w:t xml:space="preserve">. </w:t>
      </w:r>
      <w:r w:rsidR="007E06AC">
        <w:rPr>
          <w:rFonts w:ascii="Times New Roman" w:hAnsi="Times New Roman" w:cs="Times New Roman"/>
          <w:sz w:val="24"/>
          <w:szCs w:val="24"/>
        </w:rPr>
        <w:t>N</w:t>
      </w:r>
      <w:r w:rsidR="004C5B2E">
        <w:rPr>
          <w:rFonts w:ascii="Times New Roman" w:hAnsi="Times New Roman" w:cs="Times New Roman"/>
          <w:sz w:val="24"/>
          <w:szCs w:val="24"/>
        </w:rPr>
        <w:t xml:space="preserve">este mesmo sentido analisa o min. do STJ, Gilson </w:t>
      </w:r>
      <w:proofErr w:type="spellStart"/>
      <w:r w:rsidR="004C5B2E">
        <w:rPr>
          <w:rFonts w:ascii="Times New Roman" w:hAnsi="Times New Roman" w:cs="Times New Roman"/>
          <w:sz w:val="24"/>
          <w:szCs w:val="24"/>
        </w:rPr>
        <w:t>Dipp</w:t>
      </w:r>
      <w:proofErr w:type="spellEnd"/>
      <w:r w:rsidR="004C5B2E">
        <w:rPr>
          <w:rFonts w:ascii="Times New Roman" w:hAnsi="Times New Roman" w:cs="Times New Roman"/>
          <w:sz w:val="24"/>
          <w:szCs w:val="24"/>
        </w:rPr>
        <w:t xml:space="preserve">, no </w:t>
      </w:r>
      <w:r w:rsidR="004C5B2E" w:rsidRPr="004075DC">
        <w:rPr>
          <w:rFonts w:ascii="Times New Roman" w:hAnsi="Times New Roman" w:cs="Times New Roman"/>
          <w:sz w:val="24"/>
          <w:szCs w:val="24"/>
        </w:rPr>
        <w:t>Recurso Especial 564960/SC</w:t>
      </w:r>
      <w:r w:rsidR="004C5B2E">
        <w:rPr>
          <w:rFonts w:ascii="Times New Roman" w:hAnsi="Times New Roman" w:cs="Times New Roman"/>
          <w:sz w:val="24"/>
          <w:szCs w:val="24"/>
        </w:rPr>
        <w:t xml:space="preserve"> (anexo 2).</w:t>
      </w:r>
    </w:p>
    <w:p w:rsidR="00F210C0" w:rsidRDefault="00F210C0" w:rsidP="00990A4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Portanto, a responsabilização pelo crime de fraude contra credores exposto em tela pode ser aplicada para os sócios e para a própria pessoa jurídica conjuntamente.</w:t>
      </w:r>
      <w:r w:rsidR="005A6C90">
        <w:rPr>
          <w:rFonts w:ascii="Times New Roman" w:hAnsi="Times New Roman" w:cs="Times New Roman"/>
          <w:sz w:val="24"/>
          <w:szCs w:val="24"/>
        </w:rPr>
        <w:t xml:space="preserve"> Além disso, conforme já exposto anteriormente, também é possível a responsabilização de terceiros que contribuíram para a conduta criminosa</w:t>
      </w:r>
      <w:r w:rsidR="001A4714">
        <w:rPr>
          <w:rFonts w:ascii="Times New Roman" w:hAnsi="Times New Roman" w:cs="Times New Roman"/>
          <w:sz w:val="24"/>
          <w:szCs w:val="24"/>
        </w:rPr>
        <w:t>, desde que sejam responsabilizados na medida de sua culpabilidade.</w:t>
      </w:r>
    </w:p>
    <w:p w:rsidR="00AB203D" w:rsidRDefault="00AB203D" w:rsidP="00AB203D">
      <w:pPr>
        <w:pStyle w:val="NormalWeb"/>
        <w:numPr>
          <w:ilvl w:val="0"/>
          <w:numId w:val="18"/>
        </w:numPr>
        <w:spacing w:before="120" w:beforeAutospacing="0" w:after="120" w:afterAutospacing="0" w:line="360" w:lineRule="auto"/>
        <w:jc w:val="both"/>
        <w:rPr>
          <w:b/>
        </w:rPr>
      </w:pPr>
      <w:r>
        <w:rPr>
          <w:b/>
        </w:rPr>
        <w:t>Não responsabilização de nenhum ente</w:t>
      </w:r>
      <w:r w:rsidR="00F73CD8">
        <w:rPr>
          <w:b/>
        </w:rPr>
        <w:t xml:space="preserve"> por crime falimentar</w:t>
      </w:r>
      <w:r>
        <w:rPr>
          <w:b/>
        </w:rPr>
        <w:t>.</w:t>
      </w:r>
    </w:p>
    <w:p w:rsidR="00083794" w:rsidRDefault="00001AE1" w:rsidP="00083794">
      <w:pPr>
        <w:pStyle w:val="NormalWeb"/>
        <w:spacing w:before="120" w:beforeAutospacing="0" w:after="120" w:afterAutospacing="0" w:line="360" w:lineRule="auto"/>
        <w:ind w:firstLine="851"/>
        <w:jc w:val="both"/>
      </w:pPr>
      <w:r>
        <w:t>Conforme exposto no caso em tela, para a caracterização do crime de fraude contra credores, faz-se necessári</w:t>
      </w:r>
      <w:r w:rsidR="00D743AF">
        <w:t>o que a</w:t>
      </w:r>
      <w:r w:rsidR="00CB341E">
        <w:t xml:space="preserve"> prática da conduta fraudulenta traga ou possa acarretar </w:t>
      </w:r>
      <w:r w:rsidR="00CB341E">
        <w:lastRenderedPageBreak/>
        <w:t>prejuízos aos credores</w:t>
      </w:r>
      <w:r w:rsidR="005A79C8">
        <w:t>.</w:t>
      </w:r>
      <w:r w:rsidR="0015580E">
        <w:t xml:space="preserve"> Não havendo tal condição elementar, poderá ocorrer atipicidade relativa, não respondendo </w:t>
      </w:r>
      <w:r w:rsidR="00CB341E">
        <w:t xml:space="preserve">os empresários </w:t>
      </w:r>
      <w:r w:rsidR="0015580E">
        <w:t>por crime falimentar.</w:t>
      </w:r>
      <w:r w:rsidR="00B267E2">
        <w:t xml:space="preserve"> Desta feita, não ocorreria a responsabilização de ninguém (sócios, empresa ou terceiros), visto que o juiz </w:t>
      </w:r>
      <w:r w:rsidR="00CB341E">
        <w:t>deve analisar as provas do comet</w:t>
      </w:r>
      <w:r w:rsidR="00013F92">
        <w:t>imento da conduta e seus resultados.</w:t>
      </w:r>
    </w:p>
    <w:p w:rsidR="00EB45F8" w:rsidRDefault="00EB45F8" w:rsidP="005F3675">
      <w:pPr>
        <w:pStyle w:val="NormalWeb"/>
        <w:spacing w:before="120" w:beforeAutospacing="0" w:after="120" w:afterAutospacing="0" w:line="360" w:lineRule="auto"/>
        <w:ind w:firstLine="851"/>
        <w:jc w:val="both"/>
      </w:pPr>
      <w:r>
        <w:t>Além disso, pode-se frisar a importância do recurso para tal decisão.</w:t>
      </w:r>
      <w:r w:rsidR="00287B3C">
        <w:t xml:space="preserve"> Na falência, con</w:t>
      </w:r>
      <w:r w:rsidR="000539B1">
        <w:t xml:space="preserve">tra sentença </w:t>
      </w:r>
      <w:r w:rsidR="005F6C4B">
        <w:t xml:space="preserve">declaratória </w:t>
      </w:r>
      <w:r w:rsidR="000539B1">
        <w:t xml:space="preserve">cabe agravo e contra decisão denegatória da falência cabe apelação, conforme disposto no art. 100 da Lei de Falência. </w:t>
      </w:r>
      <w:r w:rsidR="007E0D0F">
        <w:t>O recurso aplicáv</w:t>
      </w:r>
      <w:r w:rsidR="00406CDE">
        <w:t>el no caso em tela é o agravo por</w:t>
      </w:r>
      <w:r w:rsidR="007E0D0F">
        <w:t xml:space="preserve"> instrumento, pois já foi proferi</w:t>
      </w:r>
      <w:r w:rsidR="00B15297">
        <w:t>d</w:t>
      </w:r>
      <w:r w:rsidR="007E0D0F">
        <w:t xml:space="preserve">a a decisão declaratória de falência. </w:t>
      </w:r>
      <w:r w:rsidR="002A4D3E">
        <w:t>Tal recurso deverá ser interposto no prazo de 10 dias após a publicação da decisão declaratória.</w:t>
      </w:r>
      <w:r w:rsidR="00B47E01">
        <w:t xml:space="preserve"> Fábio Ulhôa Coelho afirma que “o agravo é </w:t>
      </w:r>
      <w:proofErr w:type="spellStart"/>
      <w:r w:rsidR="00B47E01">
        <w:t>interponível</w:t>
      </w:r>
      <w:proofErr w:type="spellEnd"/>
      <w:r w:rsidR="00B47E01">
        <w:t xml:space="preserve"> contra a sentença declaratória da falência em qualquer caso, independentemente do fundamento da quebra.” (COELHO, 2013. p. 283)</w:t>
      </w:r>
      <w:r w:rsidR="00790D21">
        <w:t>.</w:t>
      </w:r>
      <w:r w:rsidR="00903F5B">
        <w:t xml:space="preserve"> No caso da sentença declaratória da </w:t>
      </w:r>
      <w:r w:rsidR="002E0216">
        <w:t xml:space="preserve">falência da empresa </w:t>
      </w:r>
      <w:r w:rsidR="005F3675">
        <w:t>descrita no presente estudo de caso</w:t>
      </w:r>
      <w:r w:rsidR="002E0216">
        <w:t>, interpondo os sócios recurso, qual seja o agravo de instrumento, e este seja deferido, a elementar normativa do crime de fraude contra credores desapareceria. Portanto, ocorreria a perda do objeto da ação penal, visto a inexistência da elementar normativa do crime de fraude contra credores.</w:t>
      </w:r>
    </w:p>
    <w:p w:rsidR="004D4BDF" w:rsidRPr="004D4BDF" w:rsidRDefault="004D4BDF" w:rsidP="004D4BDF">
      <w:pPr>
        <w:pStyle w:val="NormalWeb"/>
        <w:numPr>
          <w:ilvl w:val="0"/>
          <w:numId w:val="9"/>
        </w:numPr>
        <w:spacing w:before="120" w:beforeAutospacing="0" w:after="120" w:afterAutospacing="0" w:line="360" w:lineRule="auto"/>
        <w:ind w:left="0" w:firstLine="0"/>
        <w:jc w:val="both"/>
        <w:rPr>
          <w:b/>
        </w:rPr>
      </w:pPr>
      <w:r w:rsidRPr="004D4BDF">
        <w:rPr>
          <w:b/>
          <w:bCs/>
        </w:rPr>
        <w:t xml:space="preserve">Descrição dos Critérios e Valores Contidos em cada Decisão Possível. </w:t>
      </w:r>
    </w:p>
    <w:p w:rsidR="004D4BDF" w:rsidRPr="004D4BDF" w:rsidRDefault="00222094" w:rsidP="004D4BDF">
      <w:pPr>
        <w:pStyle w:val="NormalWeb"/>
        <w:numPr>
          <w:ilvl w:val="0"/>
          <w:numId w:val="20"/>
        </w:numPr>
        <w:spacing w:before="120" w:beforeAutospacing="0" w:after="120" w:afterAutospacing="0" w:line="360" w:lineRule="auto"/>
        <w:jc w:val="both"/>
        <w:rPr>
          <w:b/>
        </w:rPr>
      </w:pPr>
      <w:r>
        <w:rPr>
          <w:b/>
        </w:rPr>
        <w:t>Responsabilização apenas dos Sócios</w:t>
      </w:r>
      <w:r w:rsidR="004D4BDF" w:rsidRPr="004D4BDF">
        <w:rPr>
          <w:b/>
        </w:rPr>
        <w:t>.</w:t>
      </w:r>
    </w:p>
    <w:p w:rsidR="004D4BDF" w:rsidRDefault="004D4BDF" w:rsidP="008F5856">
      <w:pPr>
        <w:pStyle w:val="NormalWeb"/>
        <w:spacing w:before="0" w:beforeAutospacing="0" w:after="0" w:afterAutospacing="0" w:line="360" w:lineRule="auto"/>
        <w:ind w:left="720"/>
        <w:jc w:val="both"/>
      </w:pPr>
      <w:r>
        <w:t xml:space="preserve">- </w:t>
      </w:r>
      <w:r w:rsidR="00C75E7C">
        <w:t>Teoria da Responsabilidade Subjetiva</w:t>
      </w:r>
      <w:r>
        <w:t xml:space="preserve">; </w:t>
      </w:r>
      <w:r w:rsidR="008F5856">
        <w:t>Má-</w:t>
      </w:r>
      <w:r>
        <w:t xml:space="preserve">fé dos </w:t>
      </w:r>
      <w:r w:rsidR="00C75E7C">
        <w:t>empresários</w:t>
      </w:r>
      <w:r>
        <w:t xml:space="preserve">; </w:t>
      </w:r>
      <w:r w:rsidR="00C75E7C">
        <w:t>Desconsideração da Personalidade Jurídica</w:t>
      </w:r>
      <w:r>
        <w:t xml:space="preserve">; </w:t>
      </w:r>
      <w:r w:rsidR="00C75E7C">
        <w:t>Responsabilidade em concurso, de acordo com o art. 179 da Lei de Falência</w:t>
      </w:r>
      <w:r>
        <w:t>.</w:t>
      </w:r>
    </w:p>
    <w:p w:rsidR="005F3675" w:rsidRDefault="005F3675" w:rsidP="005F3675">
      <w:pPr>
        <w:pStyle w:val="NormalWeb"/>
        <w:spacing w:before="0" w:beforeAutospacing="0" w:after="0" w:afterAutospacing="0"/>
        <w:ind w:left="720"/>
        <w:jc w:val="both"/>
      </w:pPr>
    </w:p>
    <w:p w:rsidR="004D4BDF" w:rsidRDefault="00222094" w:rsidP="004D4BDF">
      <w:pPr>
        <w:pStyle w:val="ecxmsonormal"/>
        <w:numPr>
          <w:ilvl w:val="0"/>
          <w:numId w:val="20"/>
        </w:numPr>
        <w:shd w:val="clear" w:color="auto" w:fill="FFFFFF"/>
        <w:spacing w:before="0" w:beforeAutospacing="0" w:after="324" w:afterAutospacing="0" w:line="285" w:lineRule="atLeast"/>
        <w:rPr>
          <w:b/>
          <w:bCs/>
        </w:rPr>
      </w:pPr>
      <w:r>
        <w:rPr>
          <w:b/>
        </w:rPr>
        <w:t>Responsabilização conjunta dos Sócios e da Pessoa Jurídica.</w:t>
      </w:r>
    </w:p>
    <w:p w:rsidR="004D4BDF" w:rsidRDefault="004D4BDF" w:rsidP="008F5856">
      <w:pPr>
        <w:pStyle w:val="ecxmsonormal"/>
        <w:shd w:val="clear" w:color="auto" w:fill="FFFFFF"/>
        <w:spacing w:before="0" w:beforeAutospacing="0" w:after="0" w:afterAutospacing="0" w:line="360" w:lineRule="auto"/>
        <w:ind w:left="720"/>
        <w:rPr>
          <w:bCs/>
        </w:rPr>
      </w:pPr>
      <w:r>
        <w:rPr>
          <w:bCs/>
        </w:rPr>
        <w:t xml:space="preserve">- </w:t>
      </w:r>
      <w:r w:rsidR="00C75E7C">
        <w:rPr>
          <w:bCs/>
        </w:rPr>
        <w:t>Teoria da Responsabilidade Subjetiva</w:t>
      </w:r>
      <w:r>
        <w:rPr>
          <w:bCs/>
        </w:rPr>
        <w:t xml:space="preserve">; </w:t>
      </w:r>
      <w:r w:rsidR="00C75E7C">
        <w:rPr>
          <w:bCs/>
        </w:rPr>
        <w:t>Responsabilização da Pessoa Jurídica por crime ambiental</w:t>
      </w:r>
      <w:r>
        <w:rPr>
          <w:bCs/>
        </w:rPr>
        <w:t xml:space="preserve">; </w:t>
      </w:r>
      <w:r w:rsidR="00C75E7C">
        <w:rPr>
          <w:bCs/>
        </w:rPr>
        <w:t>Precedente constitucional para responsabilização.</w:t>
      </w:r>
    </w:p>
    <w:p w:rsidR="008F5856" w:rsidRDefault="008F5856" w:rsidP="008F5856">
      <w:pPr>
        <w:pStyle w:val="ecxmsonormal"/>
        <w:shd w:val="clear" w:color="auto" w:fill="FFFFFF"/>
        <w:spacing w:before="0" w:beforeAutospacing="0" w:after="0" w:afterAutospacing="0" w:line="360" w:lineRule="auto"/>
        <w:ind w:left="720"/>
        <w:rPr>
          <w:bCs/>
        </w:rPr>
      </w:pPr>
    </w:p>
    <w:p w:rsidR="00F73CD8" w:rsidRPr="00C75E7C" w:rsidRDefault="00F73CD8" w:rsidP="00F73CD8">
      <w:pPr>
        <w:pStyle w:val="ecxmsonormal"/>
        <w:numPr>
          <w:ilvl w:val="0"/>
          <w:numId w:val="20"/>
        </w:numPr>
        <w:shd w:val="clear" w:color="auto" w:fill="FFFFFF"/>
        <w:spacing w:before="0" w:beforeAutospacing="0" w:after="324" w:afterAutospacing="0" w:line="285" w:lineRule="atLeast"/>
        <w:rPr>
          <w:b/>
          <w:bCs/>
        </w:rPr>
      </w:pPr>
      <w:r>
        <w:rPr>
          <w:b/>
        </w:rPr>
        <w:t>Não responsabilização de nenhum ente por crime falimentar.</w:t>
      </w:r>
    </w:p>
    <w:p w:rsidR="00672211" w:rsidRDefault="00C75E7C" w:rsidP="00672211">
      <w:pPr>
        <w:pStyle w:val="ecxmsonormal"/>
        <w:shd w:val="clear" w:color="auto" w:fill="FFFFFF"/>
        <w:spacing w:before="0" w:beforeAutospacing="0" w:after="0" w:afterAutospacing="0" w:line="360" w:lineRule="auto"/>
        <w:ind w:left="720"/>
        <w:rPr>
          <w:bCs/>
        </w:rPr>
      </w:pPr>
      <w:r>
        <w:rPr>
          <w:b/>
        </w:rPr>
        <w:t xml:space="preserve">- </w:t>
      </w:r>
      <w:r>
        <w:t>Inexistência de elementar normativa do crime de fraude contra credores;</w:t>
      </w:r>
      <w:r>
        <w:rPr>
          <w:bCs/>
        </w:rPr>
        <w:t xml:space="preserve"> Recurso (agravo de instrumento) contra decisão declaratória de falência; Perda de objeto do crime falimentar.</w:t>
      </w:r>
    </w:p>
    <w:p w:rsidR="005F2A08" w:rsidRDefault="005F2A08" w:rsidP="00672211">
      <w:pPr>
        <w:pStyle w:val="ecxmsonormal"/>
        <w:shd w:val="clear" w:color="auto" w:fill="FFFFFF"/>
        <w:spacing w:before="0" w:beforeAutospacing="0" w:after="0" w:afterAutospacing="0" w:line="360" w:lineRule="auto"/>
        <w:rPr>
          <w:b/>
          <w:bCs/>
        </w:rPr>
      </w:pPr>
    </w:p>
    <w:p w:rsidR="005F2A08" w:rsidRDefault="005F2A08" w:rsidP="00672211">
      <w:pPr>
        <w:pStyle w:val="ecxmsonormal"/>
        <w:shd w:val="clear" w:color="auto" w:fill="FFFFFF"/>
        <w:spacing w:before="0" w:beforeAutospacing="0" w:after="0" w:afterAutospacing="0" w:line="360" w:lineRule="auto"/>
        <w:rPr>
          <w:b/>
          <w:bCs/>
        </w:rPr>
      </w:pPr>
    </w:p>
    <w:p w:rsidR="006A0A47" w:rsidRDefault="006A0A47" w:rsidP="00672211">
      <w:pPr>
        <w:pStyle w:val="ecxmsonormal"/>
        <w:shd w:val="clear" w:color="auto" w:fill="FFFFFF"/>
        <w:spacing w:before="0" w:beforeAutospacing="0" w:after="0" w:afterAutospacing="0" w:line="360" w:lineRule="auto"/>
        <w:rPr>
          <w:b/>
          <w:bCs/>
        </w:rPr>
      </w:pPr>
      <w:r w:rsidRPr="000E5AA4">
        <w:rPr>
          <w:b/>
          <w:bCs/>
        </w:rPr>
        <w:lastRenderedPageBreak/>
        <w:t>REFERÊNCIAS</w:t>
      </w:r>
    </w:p>
    <w:p w:rsidR="00F3232A" w:rsidRDefault="00F3232A" w:rsidP="00264964">
      <w:pPr>
        <w:tabs>
          <w:tab w:val="left" w:pos="1470"/>
          <w:tab w:val="left" w:pos="1605"/>
        </w:tabs>
        <w:spacing w:after="0" w:line="240" w:lineRule="auto"/>
        <w:jc w:val="both"/>
        <w:rPr>
          <w:rFonts w:ascii="Times New Roman" w:hAnsi="Times New Roman" w:cs="Times New Roman"/>
          <w:color w:val="000000" w:themeColor="text1"/>
          <w:sz w:val="24"/>
          <w:szCs w:val="24"/>
        </w:rPr>
      </w:pPr>
    </w:p>
    <w:p w:rsidR="00E54CED" w:rsidRPr="00BB2354" w:rsidRDefault="00E54CED" w:rsidP="00BB2354">
      <w:pPr>
        <w:tabs>
          <w:tab w:val="left" w:pos="1470"/>
          <w:tab w:val="left" w:pos="1605"/>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w:t>
      </w:r>
      <w:r w:rsidRPr="000F38EB">
        <w:rPr>
          <w:rFonts w:ascii="Times New Roman" w:hAnsi="Times New Roman" w:cs="Times New Roman"/>
          <w:sz w:val="24"/>
          <w:szCs w:val="24"/>
        </w:rPr>
        <w:t>RAÚJO, José Francelino de</w:t>
      </w:r>
      <w:r>
        <w:rPr>
          <w:rFonts w:ascii="Times New Roman" w:hAnsi="Times New Roman" w:cs="Times New Roman"/>
          <w:sz w:val="24"/>
          <w:szCs w:val="24"/>
        </w:rPr>
        <w:t>.</w:t>
      </w:r>
      <w:r w:rsidRPr="000F38EB">
        <w:rPr>
          <w:rFonts w:ascii="Times New Roman" w:hAnsi="Times New Roman" w:cs="Times New Roman"/>
          <w:sz w:val="24"/>
          <w:szCs w:val="24"/>
        </w:rPr>
        <w:t> </w:t>
      </w:r>
      <w:r w:rsidRPr="00F157DB">
        <w:rPr>
          <w:rFonts w:ascii="Times New Roman" w:hAnsi="Times New Roman" w:cs="Times New Roman"/>
          <w:b/>
          <w:sz w:val="24"/>
          <w:szCs w:val="24"/>
        </w:rPr>
        <w:t>Comentários à lei de falências e recuperação de empresas</w:t>
      </w:r>
      <w:r w:rsidRPr="000F38EB">
        <w:rPr>
          <w:rFonts w:ascii="Times New Roman" w:hAnsi="Times New Roman" w:cs="Times New Roman"/>
          <w:sz w:val="24"/>
          <w:szCs w:val="24"/>
        </w:rPr>
        <w:t xml:space="preserve"> / José Francelino de </w:t>
      </w:r>
      <w:proofErr w:type="gramStart"/>
      <w:r w:rsidRPr="000F38EB">
        <w:rPr>
          <w:rFonts w:ascii="Times New Roman" w:hAnsi="Times New Roman" w:cs="Times New Roman"/>
          <w:sz w:val="24"/>
          <w:szCs w:val="24"/>
        </w:rPr>
        <w:t>Araújo .</w:t>
      </w:r>
      <w:proofErr w:type="gramEnd"/>
      <w:r w:rsidRPr="000F38EB">
        <w:rPr>
          <w:rFonts w:ascii="Times New Roman" w:hAnsi="Times New Roman" w:cs="Times New Roman"/>
          <w:sz w:val="24"/>
          <w:szCs w:val="24"/>
        </w:rPr>
        <w:t xml:space="preserve"> – São </w:t>
      </w:r>
      <w:proofErr w:type="gramStart"/>
      <w:r w:rsidRPr="000F38EB">
        <w:rPr>
          <w:rFonts w:ascii="Times New Roman" w:hAnsi="Times New Roman" w:cs="Times New Roman"/>
          <w:sz w:val="24"/>
          <w:szCs w:val="24"/>
        </w:rPr>
        <w:t>Paulo :</w:t>
      </w:r>
      <w:proofErr w:type="gramEnd"/>
      <w:r w:rsidRPr="000F38EB">
        <w:rPr>
          <w:rFonts w:ascii="Times New Roman" w:hAnsi="Times New Roman" w:cs="Times New Roman"/>
          <w:sz w:val="24"/>
          <w:szCs w:val="24"/>
        </w:rPr>
        <w:t xml:space="preserve"> Saraiva, 2009.</w:t>
      </w:r>
      <w:r>
        <w:rPr>
          <w:rFonts w:ascii="Times New Roman" w:hAnsi="Times New Roman" w:cs="Times New Roman"/>
          <w:sz w:val="24"/>
          <w:szCs w:val="24"/>
        </w:rPr>
        <w:t xml:space="preserve"> </w:t>
      </w:r>
      <w:r w:rsidR="00BB2354">
        <w:rPr>
          <w:rFonts w:ascii="Times New Roman" w:hAnsi="Times New Roman" w:cs="Times New Roman"/>
          <w:sz w:val="24"/>
          <w:szCs w:val="24"/>
        </w:rPr>
        <w:t>(</w:t>
      </w:r>
      <w:proofErr w:type="spellStart"/>
      <w:proofErr w:type="gramStart"/>
      <w:r w:rsidR="00BB2354">
        <w:rPr>
          <w:rFonts w:ascii="Times New Roman" w:hAnsi="Times New Roman" w:cs="Times New Roman"/>
          <w:i/>
          <w:sz w:val="24"/>
          <w:szCs w:val="24"/>
        </w:rPr>
        <w:t>ebook</w:t>
      </w:r>
      <w:proofErr w:type="spellEnd"/>
      <w:proofErr w:type="gramEnd"/>
      <w:r w:rsidR="00BB2354">
        <w:rPr>
          <w:rFonts w:ascii="Times New Roman" w:hAnsi="Times New Roman" w:cs="Times New Roman"/>
          <w:i/>
          <w:sz w:val="24"/>
          <w:szCs w:val="24"/>
        </w:rPr>
        <w:t>)</w:t>
      </w:r>
    </w:p>
    <w:p w:rsidR="00E54CED" w:rsidRDefault="00E54CED"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C56FF2" w:rsidRPr="00F157DB" w:rsidRDefault="00B94DB2" w:rsidP="00BB2354">
      <w:pPr>
        <w:tabs>
          <w:tab w:val="left" w:pos="1470"/>
          <w:tab w:val="left" w:pos="1605"/>
        </w:tabs>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Pr="00F157DB">
        <w:rPr>
          <w:rFonts w:ascii="Times New Roman" w:hAnsi="Times New Roman" w:cs="Times New Roman"/>
          <w:b/>
          <w:color w:val="000000" w:themeColor="text1"/>
          <w:sz w:val="24"/>
          <w:szCs w:val="24"/>
        </w:rPr>
        <w:t>Código Civil Brasileiro</w:t>
      </w:r>
      <w:r w:rsidRPr="00F157DB">
        <w:rPr>
          <w:rFonts w:ascii="Times New Roman" w:hAnsi="Times New Roman" w:cs="Times New Roman"/>
          <w:color w:val="000000" w:themeColor="text1"/>
          <w:sz w:val="24"/>
          <w:szCs w:val="24"/>
        </w:rPr>
        <w:t>. Lei 10.406 de 10/01/2002. Brasília: Diário Oficial da União, 2002.</w:t>
      </w:r>
    </w:p>
    <w:p w:rsidR="00644E53" w:rsidRPr="00F157DB" w:rsidRDefault="00644E53"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644E53" w:rsidRPr="00F157DB" w:rsidRDefault="00644E53" w:rsidP="00BB2354">
      <w:pPr>
        <w:tabs>
          <w:tab w:val="left" w:pos="1470"/>
          <w:tab w:val="left" w:pos="1605"/>
        </w:tabs>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Pr="00F157DB">
        <w:rPr>
          <w:rFonts w:ascii="Times New Roman" w:hAnsi="Times New Roman" w:cs="Times New Roman"/>
          <w:b/>
          <w:color w:val="000000" w:themeColor="text1"/>
          <w:sz w:val="24"/>
          <w:szCs w:val="24"/>
        </w:rPr>
        <w:t>Constituição da República Federativa do Brasil</w:t>
      </w:r>
      <w:r w:rsidRPr="00F157DB">
        <w:rPr>
          <w:rFonts w:ascii="Times New Roman" w:hAnsi="Times New Roman" w:cs="Times New Roman"/>
          <w:color w:val="000000" w:themeColor="text1"/>
          <w:sz w:val="24"/>
          <w:szCs w:val="24"/>
        </w:rPr>
        <w:t>. 05/10/1998. Brasília: Diário</w:t>
      </w:r>
      <w:r w:rsidR="00F83946" w:rsidRPr="00F157DB">
        <w:rPr>
          <w:rFonts w:ascii="Times New Roman" w:hAnsi="Times New Roman" w:cs="Times New Roman"/>
          <w:color w:val="000000" w:themeColor="text1"/>
          <w:sz w:val="24"/>
          <w:szCs w:val="24"/>
        </w:rPr>
        <w:t xml:space="preserve"> Oficial da União, 1998</w:t>
      </w:r>
      <w:r w:rsidRPr="00F157DB">
        <w:rPr>
          <w:rFonts w:ascii="Times New Roman" w:hAnsi="Times New Roman" w:cs="Times New Roman"/>
          <w:color w:val="000000" w:themeColor="text1"/>
          <w:sz w:val="24"/>
          <w:szCs w:val="24"/>
        </w:rPr>
        <w:t>.</w:t>
      </w:r>
    </w:p>
    <w:p w:rsidR="00834215" w:rsidRPr="00F157DB" w:rsidRDefault="00834215"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B94DB2" w:rsidRPr="00F157DB" w:rsidRDefault="00B94DB2" w:rsidP="00BB2354">
      <w:pPr>
        <w:tabs>
          <w:tab w:val="left" w:pos="1470"/>
          <w:tab w:val="left" w:pos="1605"/>
        </w:tabs>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005533A2" w:rsidRPr="00F157DB">
        <w:rPr>
          <w:rFonts w:ascii="Times New Roman" w:hAnsi="Times New Roman" w:cs="Times New Roman"/>
          <w:b/>
          <w:color w:val="000000" w:themeColor="text1"/>
          <w:sz w:val="24"/>
          <w:szCs w:val="24"/>
        </w:rPr>
        <w:t>Lei de Falência e Recuperação de Empresas</w:t>
      </w:r>
      <w:r w:rsidRPr="00F157DB">
        <w:rPr>
          <w:rFonts w:ascii="Times New Roman" w:hAnsi="Times New Roman" w:cs="Times New Roman"/>
          <w:b/>
          <w:color w:val="000000" w:themeColor="text1"/>
          <w:sz w:val="24"/>
          <w:szCs w:val="24"/>
        </w:rPr>
        <w:t xml:space="preserve">. </w:t>
      </w:r>
      <w:r w:rsidR="005533A2" w:rsidRPr="00F157DB">
        <w:rPr>
          <w:rFonts w:ascii="Times New Roman" w:hAnsi="Times New Roman" w:cs="Times New Roman"/>
          <w:color w:val="000000" w:themeColor="text1"/>
          <w:sz w:val="24"/>
          <w:szCs w:val="24"/>
        </w:rPr>
        <w:t>Lei 11.101 de 09/02/2005</w:t>
      </w:r>
      <w:r w:rsidRPr="00F157DB">
        <w:rPr>
          <w:rFonts w:ascii="Times New Roman" w:hAnsi="Times New Roman" w:cs="Times New Roman"/>
          <w:color w:val="000000" w:themeColor="text1"/>
          <w:sz w:val="24"/>
          <w:szCs w:val="24"/>
        </w:rPr>
        <w:t>. Brasíli</w:t>
      </w:r>
      <w:r w:rsidR="00FD5EC9" w:rsidRPr="00F157DB">
        <w:rPr>
          <w:rFonts w:ascii="Times New Roman" w:hAnsi="Times New Roman" w:cs="Times New Roman"/>
          <w:color w:val="000000" w:themeColor="text1"/>
          <w:sz w:val="24"/>
          <w:szCs w:val="24"/>
        </w:rPr>
        <w:t>a: Diário Oficial da União, 2005</w:t>
      </w:r>
      <w:r w:rsidRPr="00F157DB">
        <w:rPr>
          <w:rFonts w:ascii="Times New Roman" w:hAnsi="Times New Roman" w:cs="Times New Roman"/>
          <w:color w:val="000000" w:themeColor="text1"/>
          <w:sz w:val="24"/>
          <w:szCs w:val="24"/>
        </w:rPr>
        <w:t>.</w:t>
      </w:r>
    </w:p>
    <w:p w:rsidR="00445E63" w:rsidRPr="00F157DB" w:rsidRDefault="00445E63"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F157DB" w:rsidRPr="00F157DB" w:rsidRDefault="00F157DB" w:rsidP="00BB2354">
      <w:pPr>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Pr="00F157DB">
        <w:rPr>
          <w:rFonts w:ascii="Times New Roman" w:hAnsi="Times New Roman" w:cs="Times New Roman"/>
          <w:b/>
          <w:color w:val="000000" w:themeColor="text1"/>
          <w:sz w:val="24"/>
          <w:szCs w:val="24"/>
        </w:rPr>
        <w:t>Supremo Tribunal Federal</w:t>
      </w:r>
      <w:r w:rsidRPr="00F157DB">
        <w:rPr>
          <w:rFonts w:ascii="Times New Roman" w:hAnsi="Times New Roman" w:cs="Times New Roman"/>
          <w:color w:val="000000" w:themeColor="text1"/>
          <w:sz w:val="24"/>
          <w:szCs w:val="24"/>
        </w:rPr>
        <w:t>. Habeas Corpus nº92.921–4, 1ª Turma, BA, 19 de agosto de 2008. Disponível em: &lt;</w:t>
      </w:r>
      <w:hyperlink r:id="rId8" w:history="1">
        <w:r w:rsidRPr="00F157DB">
          <w:rPr>
            <w:rStyle w:val="Hyperlink"/>
            <w:rFonts w:ascii="Times New Roman" w:hAnsi="Times New Roman" w:cs="Times New Roman"/>
            <w:color w:val="000000" w:themeColor="text1"/>
            <w:sz w:val="24"/>
            <w:szCs w:val="24"/>
            <w:u w:val="none"/>
          </w:rPr>
          <w:t>http://redir.stf.jus.br/paginadorpub/paginador .</w:t>
        </w:r>
        <w:proofErr w:type="spellStart"/>
        <w:r w:rsidRPr="00F157DB">
          <w:rPr>
            <w:rStyle w:val="Hyperlink"/>
            <w:rFonts w:ascii="Times New Roman" w:hAnsi="Times New Roman" w:cs="Times New Roman"/>
            <w:color w:val="000000" w:themeColor="text1"/>
            <w:sz w:val="24"/>
            <w:szCs w:val="24"/>
            <w:u w:val="none"/>
          </w:rPr>
          <w:t>jsp?docTP</w:t>
        </w:r>
        <w:proofErr w:type="spellEnd"/>
        <w:r w:rsidRPr="00F157DB">
          <w:rPr>
            <w:rStyle w:val="Hyperlink"/>
            <w:rFonts w:ascii="Times New Roman" w:hAnsi="Times New Roman" w:cs="Times New Roman"/>
            <w:color w:val="000000" w:themeColor="text1"/>
            <w:sz w:val="24"/>
            <w:szCs w:val="24"/>
            <w:u w:val="none"/>
          </w:rPr>
          <w:t>=</w:t>
        </w:r>
        <w:proofErr w:type="spellStart"/>
        <w:r w:rsidRPr="00F157DB">
          <w:rPr>
            <w:rStyle w:val="Hyperlink"/>
            <w:rFonts w:ascii="Times New Roman" w:hAnsi="Times New Roman" w:cs="Times New Roman"/>
            <w:color w:val="000000" w:themeColor="text1"/>
            <w:sz w:val="24"/>
            <w:szCs w:val="24"/>
            <w:u w:val="none"/>
          </w:rPr>
          <w:t>AC&amp;docID</w:t>
        </w:r>
        <w:proofErr w:type="spellEnd"/>
        <w:r w:rsidRPr="00F157DB">
          <w:rPr>
            <w:rStyle w:val="Hyperlink"/>
            <w:rFonts w:ascii="Times New Roman" w:hAnsi="Times New Roman" w:cs="Times New Roman"/>
            <w:color w:val="000000" w:themeColor="text1"/>
            <w:sz w:val="24"/>
            <w:szCs w:val="24"/>
            <w:u w:val="none"/>
          </w:rPr>
          <w:t>=550495</w:t>
        </w:r>
      </w:hyperlink>
      <w:r w:rsidR="00F144D4">
        <w:rPr>
          <w:rFonts w:ascii="Times New Roman" w:hAnsi="Times New Roman" w:cs="Times New Roman"/>
          <w:color w:val="000000" w:themeColor="text1"/>
          <w:sz w:val="24"/>
          <w:szCs w:val="24"/>
        </w:rPr>
        <w:t>&gt;. Acesso em: 11 de setembro</w:t>
      </w:r>
      <w:r w:rsidRPr="00F157DB">
        <w:rPr>
          <w:rFonts w:ascii="Times New Roman" w:hAnsi="Times New Roman" w:cs="Times New Roman"/>
          <w:color w:val="000000" w:themeColor="text1"/>
          <w:sz w:val="24"/>
          <w:szCs w:val="24"/>
        </w:rPr>
        <w:t xml:space="preserve"> de 2013.</w:t>
      </w:r>
    </w:p>
    <w:p w:rsidR="00834215" w:rsidRPr="00F157DB" w:rsidRDefault="00834215"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721DBB" w:rsidRPr="00F157DB" w:rsidRDefault="00721DBB" w:rsidP="00BB2354">
      <w:pPr>
        <w:spacing w:after="0" w:line="240" w:lineRule="auto"/>
        <w:jc w:val="both"/>
        <w:rPr>
          <w:rFonts w:ascii="Times New Roman" w:hAnsi="Times New Roman" w:cs="Times New Roman"/>
          <w:color w:val="000000" w:themeColor="text1"/>
          <w:sz w:val="24"/>
          <w:szCs w:val="24"/>
        </w:rPr>
      </w:pPr>
      <w:r w:rsidRPr="00F157DB">
        <w:rPr>
          <w:rFonts w:ascii="Times New Roman" w:hAnsi="Times New Roman" w:cs="Times New Roman"/>
          <w:color w:val="000000" w:themeColor="text1"/>
          <w:sz w:val="24"/>
          <w:szCs w:val="24"/>
        </w:rPr>
        <w:t xml:space="preserve">BRASIL, </w:t>
      </w:r>
      <w:r w:rsidRPr="00F157DB">
        <w:rPr>
          <w:rFonts w:ascii="Times New Roman" w:hAnsi="Times New Roman" w:cs="Times New Roman"/>
          <w:b/>
          <w:color w:val="000000" w:themeColor="text1"/>
          <w:sz w:val="24"/>
          <w:szCs w:val="24"/>
        </w:rPr>
        <w:t>Superior Tribunal de Justiça</w:t>
      </w:r>
      <w:r w:rsidRPr="00F157DB">
        <w:rPr>
          <w:rFonts w:ascii="Times New Roman" w:hAnsi="Times New Roman" w:cs="Times New Roman"/>
          <w:color w:val="000000" w:themeColor="text1"/>
          <w:sz w:val="24"/>
          <w:szCs w:val="24"/>
        </w:rPr>
        <w:t xml:space="preserve">. Recurso Especial </w:t>
      </w:r>
      <w:r w:rsidR="000016CA" w:rsidRPr="00F157DB">
        <w:rPr>
          <w:rFonts w:ascii="Times New Roman" w:hAnsi="Times New Roman" w:cs="Times New Roman"/>
          <w:color w:val="000000" w:themeColor="text1"/>
          <w:sz w:val="24"/>
          <w:szCs w:val="24"/>
        </w:rPr>
        <w:t>nº564</w:t>
      </w:r>
      <w:r w:rsidR="00F17930" w:rsidRPr="00F157DB">
        <w:rPr>
          <w:rFonts w:ascii="Times New Roman" w:hAnsi="Times New Roman" w:cs="Times New Roman"/>
          <w:color w:val="000000" w:themeColor="text1"/>
          <w:sz w:val="24"/>
          <w:szCs w:val="24"/>
        </w:rPr>
        <w:t>.</w:t>
      </w:r>
      <w:r w:rsidR="000016CA" w:rsidRPr="00F157DB">
        <w:rPr>
          <w:rFonts w:ascii="Times New Roman" w:hAnsi="Times New Roman" w:cs="Times New Roman"/>
          <w:color w:val="000000" w:themeColor="text1"/>
          <w:sz w:val="24"/>
          <w:szCs w:val="24"/>
        </w:rPr>
        <w:t>960 – SC</w:t>
      </w:r>
      <w:r w:rsidR="00173A71" w:rsidRPr="00F157DB">
        <w:rPr>
          <w:rFonts w:ascii="Times New Roman" w:hAnsi="Times New Roman" w:cs="Times New Roman"/>
          <w:color w:val="000000" w:themeColor="text1"/>
          <w:sz w:val="24"/>
          <w:szCs w:val="24"/>
        </w:rPr>
        <w:t>, 5ª Turma, SC, 01</w:t>
      </w:r>
      <w:r w:rsidRPr="00F157DB">
        <w:rPr>
          <w:rFonts w:ascii="Times New Roman" w:hAnsi="Times New Roman" w:cs="Times New Roman"/>
          <w:color w:val="000000" w:themeColor="text1"/>
          <w:sz w:val="24"/>
          <w:szCs w:val="24"/>
        </w:rPr>
        <w:t xml:space="preserve"> de </w:t>
      </w:r>
      <w:r w:rsidR="00173A71" w:rsidRPr="00F157DB">
        <w:rPr>
          <w:rFonts w:ascii="Times New Roman" w:hAnsi="Times New Roman" w:cs="Times New Roman"/>
          <w:color w:val="000000" w:themeColor="text1"/>
          <w:sz w:val="24"/>
          <w:szCs w:val="24"/>
        </w:rPr>
        <w:t>junho de 2006</w:t>
      </w:r>
      <w:r w:rsidR="00F3232A" w:rsidRPr="00F157DB">
        <w:rPr>
          <w:rFonts w:ascii="Times New Roman" w:hAnsi="Times New Roman" w:cs="Times New Roman"/>
          <w:color w:val="000000" w:themeColor="text1"/>
          <w:sz w:val="24"/>
          <w:szCs w:val="24"/>
        </w:rPr>
        <w:t xml:space="preserve">. Disponível em: </w:t>
      </w:r>
      <w:r w:rsidRPr="00F157DB">
        <w:rPr>
          <w:rFonts w:ascii="Times New Roman" w:hAnsi="Times New Roman" w:cs="Times New Roman"/>
          <w:color w:val="000000" w:themeColor="text1"/>
          <w:sz w:val="24"/>
          <w:szCs w:val="24"/>
        </w:rPr>
        <w:t>&lt;</w:t>
      </w:r>
      <w:hyperlink r:id="rId9" w:history="1">
        <w:r w:rsidR="00F3232A" w:rsidRPr="00F157DB">
          <w:rPr>
            <w:rStyle w:val="Hyperlink"/>
            <w:rFonts w:ascii="Times New Roman" w:hAnsi="Times New Roman" w:cs="Times New Roman"/>
            <w:color w:val="000000" w:themeColor="text1"/>
            <w:sz w:val="24"/>
            <w:szCs w:val="24"/>
            <w:u w:val="none"/>
          </w:rPr>
          <w:t>http://jurisprudencia.s3.amazonaws.com/STJ/IT/RESP_564960_SC_02.06.2005.pdf?Signature=FkUKfRUonM%2B2D4AwN81zKXKK8lQ%3D&amp;Expires=1379080582&amp;AWSAccessKeyId=AKIAIPM2XEMZACAXCMBA&amp;response-content-type=application/pdf</w:t>
        </w:r>
      </w:hyperlink>
      <w:r w:rsidR="00F3232A" w:rsidRPr="00F157DB">
        <w:rPr>
          <w:rFonts w:ascii="Times New Roman" w:hAnsi="Times New Roman" w:cs="Times New Roman"/>
          <w:color w:val="000000" w:themeColor="text1"/>
          <w:sz w:val="24"/>
          <w:szCs w:val="24"/>
        </w:rPr>
        <w:t xml:space="preserve"> </w:t>
      </w:r>
      <w:r w:rsidRPr="00F157DB">
        <w:rPr>
          <w:rFonts w:ascii="Times New Roman" w:hAnsi="Times New Roman" w:cs="Times New Roman"/>
          <w:color w:val="000000" w:themeColor="text1"/>
          <w:sz w:val="24"/>
          <w:szCs w:val="24"/>
        </w:rPr>
        <w:t>&gt;. Acesso em: 1</w:t>
      </w:r>
      <w:r w:rsidR="00F144D4">
        <w:rPr>
          <w:rFonts w:ascii="Times New Roman" w:hAnsi="Times New Roman" w:cs="Times New Roman"/>
          <w:color w:val="000000" w:themeColor="text1"/>
          <w:sz w:val="24"/>
          <w:szCs w:val="24"/>
        </w:rPr>
        <w:t xml:space="preserve">1 de setembro </w:t>
      </w:r>
      <w:r w:rsidRPr="00F157DB">
        <w:rPr>
          <w:rFonts w:ascii="Times New Roman" w:hAnsi="Times New Roman" w:cs="Times New Roman"/>
          <w:color w:val="000000" w:themeColor="text1"/>
          <w:sz w:val="24"/>
          <w:szCs w:val="24"/>
        </w:rPr>
        <w:t>de 2013.</w:t>
      </w:r>
    </w:p>
    <w:p w:rsidR="00F157DB" w:rsidRDefault="00F157DB" w:rsidP="00BB2354">
      <w:pPr>
        <w:tabs>
          <w:tab w:val="left" w:pos="1470"/>
          <w:tab w:val="left" w:pos="1605"/>
        </w:tabs>
        <w:spacing w:after="0" w:line="240" w:lineRule="auto"/>
        <w:jc w:val="both"/>
        <w:rPr>
          <w:rFonts w:ascii="Times New Roman" w:hAnsi="Times New Roman" w:cs="Times New Roman"/>
          <w:color w:val="000000" w:themeColor="text1"/>
          <w:sz w:val="24"/>
          <w:szCs w:val="24"/>
        </w:rPr>
      </w:pPr>
    </w:p>
    <w:p w:rsidR="00721DBB" w:rsidRPr="00BB2354" w:rsidRDefault="00F157DB" w:rsidP="00BB2354">
      <w:pPr>
        <w:tabs>
          <w:tab w:val="left" w:pos="1470"/>
          <w:tab w:val="left" w:pos="1605"/>
        </w:tabs>
        <w:spacing w:after="0" w:line="240" w:lineRule="auto"/>
        <w:jc w:val="both"/>
        <w:rPr>
          <w:rFonts w:ascii="Times New Roman" w:hAnsi="Times New Roman" w:cs="Times New Roman"/>
          <w:color w:val="000000" w:themeColor="text1"/>
          <w:sz w:val="24"/>
          <w:szCs w:val="24"/>
        </w:rPr>
      </w:pPr>
      <w:r w:rsidRPr="00F06EE6">
        <w:rPr>
          <w:rFonts w:ascii="Times New Roman" w:hAnsi="Times New Roman" w:cs="Times New Roman"/>
          <w:color w:val="000000" w:themeColor="text1"/>
          <w:sz w:val="24"/>
          <w:szCs w:val="24"/>
        </w:rPr>
        <w:t>GONÇALVES</w:t>
      </w:r>
      <w:r w:rsidR="00F06EE6" w:rsidRPr="00F06EE6">
        <w:rPr>
          <w:rFonts w:ascii="Times New Roman" w:hAnsi="Times New Roman" w:cs="Times New Roman"/>
          <w:color w:val="000000" w:themeColor="text1"/>
          <w:sz w:val="24"/>
          <w:szCs w:val="24"/>
        </w:rPr>
        <w:t>, Carlos Roberto</w:t>
      </w:r>
      <w:r w:rsidR="00F06EE6">
        <w:rPr>
          <w:rFonts w:ascii="Times New Roman" w:hAnsi="Times New Roman" w:cs="Times New Roman"/>
          <w:color w:val="000000" w:themeColor="text1"/>
          <w:sz w:val="24"/>
          <w:szCs w:val="24"/>
        </w:rPr>
        <w:t xml:space="preserve">. </w:t>
      </w:r>
      <w:r w:rsidR="00F06EE6" w:rsidRPr="00F157DB">
        <w:rPr>
          <w:rFonts w:ascii="Times New Roman" w:hAnsi="Times New Roman" w:cs="Times New Roman"/>
          <w:b/>
          <w:color w:val="000000" w:themeColor="text1"/>
          <w:sz w:val="24"/>
          <w:szCs w:val="24"/>
        </w:rPr>
        <w:t>Responsabilidade civil</w:t>
      </w:r>
      <w:r w:rsidR="00F06EE6" w:rsidRPr="00F06EE6">
        <w:rPr>
          <w:rFonts w:ascii="Times New Roman" w:hAnsi="Times New Roman" w:cs="Times New Roman"/>
          <w:color w:val="000000" w:themeColor="text1"/>
          <w:sz w:val="24"/>
          <w:szCs w:val="24"/>
        </w:rPr>
        <w:t xml:space="preserve"> / Carlos Roberto Gonçalves. – 14.</w:t>
      </w:r>
      <w:r w:rsidR="00F06EE6">
        <w:rPr>
          <w:rFonts w:ascii="Times New Roman" w:hAnsi="Times New Roman" w:cs="Times New Roman"/>
          <w:color w:val="000000" w:themeColor="text1"/>
          <w:sz w:val="24"/>
          <w:szCs w:val="24"/>
        </w:rPr>
        <w:t xml:space="preserve"> </w:t>
      </w:r>
      <w:r w:rsidR="00F06EE6" w:rsidRPr="00F06EE6">
        <w:rPr>
          <w:rFonts w:ascii="Times New Roman" w:hAnsi="Times New Roman" w:cs="Times New Roman"/>
          <w:color w:val="000000" w:themeColor="text1"/>
          <w:sz w:val="24"/>
          <w:szCs w:val="24"/>
        </w:rPr>
        <w:t xml:space="preserve">ed. - São </w:t>
      </w:r>
      <w:proofErr w:type="gramStart"/>
      <w:r w:rsidR="00F06EE6" w:rsidRPr="00F06EE6">
        <w:rPr>
          <w:rFonts w:ascii="Times New Roman" w:hAnsi="Times New Roman" w:cs="Times New Roman"/>
          <w:color w:val="000000" w:themeColor="text1"/>
          <w:sz w:val="24"/>
          <w:szCs w:val="24"/>
        </w:rPr>
        <w:t>Paulo :</w:t>
      </w:r>
      <w:proofErr w:type="gramEnd"/>
      <w:r w:rsidR="00F06EE6" w:rsidRPr="00F06EE6">
        <w:rPr>
          <w:rFonts w:ascii="Times New Roman" w:hAnsi="Times New Roman" w:cs="Times New Roman"/>
          <w:color w:val="000000" w:themeColor="text1"/>
          <w:sz w:val="24"/>
          <w:szCs w:val="24"/>
        </w:rPr>
        <w:t xml:space="preserve"> Saraiva, 2012</w:t>
      </w:r>
      <w:r w:rsidR="00F06EE6">
        <w:rPr>
          <w:rFonts w:ascii="Times New Roman" w:hAnsi="Times New Roman" w:cs="Times New Roman"/>
          <w:color w:val="000000" w:themeColor="text1"/>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p w:rsidR="00F157DB" w:rsidRDefault="00F157DB" w:rsidP="00BB2354">
      <w:pPr>
        <w:tabs>
          <w:tab w:val="left" w:pos="1470"/>
          <w:tab w:val="left" w:pos="1605"/>
        </w:tabs>
        <w:spacing w:before="240" w:after="0" w:line="240" w:lineRule="auto"/>
        <w:jc w:val="both"/>
        <w:rPr>
          <w:rFonts w:ascii="Times New Roman" w:hAnsi="Times New Roman" w:cs="Times New Roman"/>
          <w:sz w:val="24"/>
          <w:szCs w:val="24"/>
        </w:rPr>
      </w:pPr>
      <w:r w:rsidRPr="001479FF">
        <w:rPr>
          <w:rFonts w:ascii="Times New Roman" w:hAnsi="Times New Roman" w:cs="Times New Roman"/>
          <w:sz w:val="24"/>
          <w:szCs w:val="24"/>
        </w:rPr>
        <w:t xml:space="preserve">COELHO, Fábio </w:t>
      </w:r>
      <w:proofErr w:type="spellStart"/>
      <w:r w:rsidRPr="001479FF">
        <w:rPr>
          <w:rFonts w:ascii="Times New Roman" w:hAnsi="Times New Roman" w:cs="Times New Roman"/>
          <w:sz w:val="24"/>
          <w:szCs w:val="24"/>
        </w:rPr>
        <w:t>Ulhoa</w:t>
      </w:r>
      <w:proofErr w:type="spellEnd"/>
      <w:r w:rsidRPr="00F157DB">
        <w:rPr>
          <w:rFonts w:ascii="Times New Roman" w:hAnsi="Times New Roman" w:cs="Times New Roman"/>
          <w:b/>
          <w:sz w:val="24"/>
          <w:szCs w:val="24"/>
        </w:rPr>
        <w:t>. Comentários à Lei de Falências e de recuperação de empresas</w:t>
      </w:r>
      <w:r w:rsidRPr="001479FF">
        <w:rPr>
          <w:rFonts w:ascii="Times New Roman" w:hAnsi="Times New Roman" w:cs="Times New Roman"/>
          <w:sz w:val="24"/>
          <w:szCs w:val="24"/>
        </w:rPr>
        <w:t xml:space="preserve"> / Fábio </w:t>
      </w:r>
      <w:proofErr w:type="spellStart"/>
      <w:r w:rsidRPr="001479FF">
        <w:rPr>
          <w:rFonts w:ascii="Times New Roman" w:hAnsi="Times New Roman" w:cs="Times New Roman"/>
          <w:sz w:val="24"/>
          <w:szCs w:val="24"/>
        </w:rPr>
        <w:t>Ulh</w:t>
      </w:r>
      <w:r>
        <w:rPr>
          <w:rFonts w:ascii="Times New Roman" w:hAnsi="Times New Roman" w:cs="Times New Roman"/>
          <w:sz w:val="24"/>
          <w:szCs w:val="24"/>
        </w:rPr>
        <w:t>oa</w:t>
      </w:r>
      <w:proofErr w:type="spellEnd"/>
      <w:r>
        <w:rPr>
          <w:rFonts w:ascii="Times New Roman" w:hAnsi="Times New Roman" w:cs="Times New Roman"/>
          <w:sz w:val="24"/>
          <w:szCs w:val="24"/>
        </w:rPr>
        <w:t xml:space="preserve"> Coelho. – 8. ed. – São Paulo</w:t>
      </w:r>
      <w:r w:rsidRPr="001479FF">
        <w:rPr>
          <w:rFonts w:ascii="Times New Roman" w:hAnsi="Times New Roman" w:cs="Times New Roman"/>
          <w:sz w:val="24"/>
          <w:szCs w:val="24"/>
        </w:rPr>
        <w:t>: Saraiva, 2011</w:t>
      </w:r>
      <w:r>
        <w:rPr>
          <w:rFonts w:ascii="Times New Roman" w:hAnsi="Times New Roman" w:cs="Times New Roman"/>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p w:rsidR="00F157DB" w:rsidRPr="000F38EB" w:rsidRDefault="00F157DB" w:rsidP="00BB2354">
      <w:pPr>
        <w:tabs>
          <w:tab w:val="left" w:pos="1470"/>
          <w:tab w:val="left" w:pos="1605"/>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COELHO, Fábio Ulhôa. </w:t>
      </w:r>
      <w:r w:rsidRPr="00F157DB">
        <w:rPr>
          <w:rFonts w:ascii="Times New Roman" w:hAnsi="Times New Roman" w:cs="Times New Roman"/>
          <w:b/>
          <w:sz w:val="24"/>
          <w:szCs w:val="24"/>
        </w:rPr>
        <w:t>Curso de direito comercial:</w:t>
      </w:r>
      <w:r>
        <w:rPr>
          <w:rFonts w:ascii="Times New Roman" w:hAnsi="Times New Roman" w:cs="Times New Roman"/>
          <w:sz w:val="24"/>
          <w:szCs w:val="24"/>
        </w:rPr>
        <w:t xml:space="preserve"> direito de empresa. v. 3. 14. ed. São Paulo: Saraiva, 2013.</w:t>
      </w:r>
      <w:r w:rsidR="00BB2354">
        <w:rPr>
          <w:rFonts w:ascii="Times New Roman" w:hAnsi="Times New Roman" w:cs="Times New Roman"/>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p w:rsidR="00E54CED" w:rsidRDefault="00E54CED" w:rsidP="00BB2354">
      <w:pPr>
        <w:tabs>
          <w:tab w:val="left" w:pos="1470"/>
          <w:tab w:val="left" w:pos="1605"/>
        </w:tabs>
        <w:spacing w:before="240" w:after="0" w:line="240" w:lineRule="auto"/>
        <w:jc w:val="both"/>
        <w:rPr>
          <w:rFonts w:ascii="Times New Roman" w:hAnsi="Times New Roman" w:cs="Times New Roman"/>
          <w:sz w:val="24"/>
          <w:szCs w:val="24"/>
        </w:rPr>
      </w:pPr>
      <w:r w:rsidRPr="009E5D77">
        <w:rPr>
          <w:rFonts w:ascii="Times New Roman" w:hAnsi="Times New Roman" w:cs="Times New Roman"/>
          <w:sz w:val="24"/>
          <w:szCs w:val="24"/>
        </w:rPr>
        <w:t xml:space="preserve">COELHO, Fábio </w:t>
      </w:r>
      <w:proofErr w:type="spellStart"/>
      <w:r w:rsidRPr="009E5D77">
        <w:rPr>
          <w:rFonts w:ascii="Times New Roman" w:hAnsi="Times New Roman" w:cs="Times New Roman"/>
          <w:sz w:val="24"/>
          <w:szCs w:val="24"/>
        </w:rPr>
        <w:t>Ulhoa</w:t>
      </w:r>
      <w:proofErr w:type="spellEnd"/>
      <w:r>
        <w:rPr>
          <w:rFonts w:ascii="Times New Roman" w:hAnsi="Times New Roman" w:cs="Times New Roman"/>
          <w:sz w:val="24"/>
          <w:szCs w:val="24"/>
        </w:rPr>
        <w:t xml:space="preserve">. </w:t>
      </w:r>
      <w:r w:rsidRPr="00F157DB">
        <w:rPr>
          <w:rFonts w:ascii="Times New Roman" w:hAnsi="Times New Roman" w:cs="Times New Roman"/>
          <w:b/>
          <w:sz w:val="24"/>
          <w:szCs w:val="24"/>
        </w:rPr>
        <w:t xml:space="preserve">Manual de direito </w:t>
      </w:r>
      <w:proofErr w:type="gramStart"/>
      <w:r w:rsidRPr="00F157DB">
        <w:rPr>
          <w:rFonts w:ascii="Times New Roman" w:hAnsi="Times New Roman" w:cs="Times New Roman"/>
          <w:b/>
          <w:sz w:val="24"/>
          <w:szCs w:val="24"/>
        </w:rPr>
        <w:t>comercial</w:t>
      </w:r>
      <w:r w:rsidRPr="009E5D77">
        <w:rPr>
          <w:rFonts w:ascii="Times New Roman" w:hAnsi="Times New Roman" w:cs="Times New Roman"/>
          <w:sz w:val="24"/>
          <w:szCs w:val="24"/>
        </w:rPr>
        <w:t xml:space="preserve"> :</w:t>
      </w:r>
      <w:proofErr w:type="gramEnd"/>
      <w:r w:rsidRPr="009E5D77">
        <w:rPr>
          <w:rFonts w:ascii="Times New Roman" w:hAnsi="Times New Roman" w:cs="Times New Roman"/>
          <w:sz w:val="24"/>
          <w:szCs w:val="24"/>
        </w:rPr>
        <w:t xml:space="preserve"> direito de empresa /</w:t>
      </w:r>
      <w:r>
        <w:rPr>
          <w:rFonts w:ascii="Times New Roman" w:hAnsi="Times New Roman" w:cs="Times New Roman"/>
          <w:sz w:val="24"/>
          <w:szCs w:val="24"/>
        </w:rPr>
        <w:t xml:space="preserve"> </w:t>
      </w:r>
      <w:r w:rsidRPr="009E5D77">
        <w:rPr>
          <w:rFonts w:ascii="Times New Roman" w:hAnsi="Times New Roman" w:cs="Times New Roman"/>
          <w:sz w:val="24"/>
          <w:szCs w:val="24"/>
        </w:rPr>
        <w:t xml:space="preserve">Fábio </w:t>
      </w:r>
      <w:proofErr w:type="spellStart"/>
      <w:r w:rsidRPr="009E5D77">
        <w:rPr>
          <w:rFonts w:ascii="Times New Roman" w:hAnsi="Times New Roman" w:cs="Times New Roman"/>
          <w:sz w:val="24"/>
          <w:szCs w:val="24"/>
        </w:rPr>
        <w:t>Ulhoa</w:t>
      </w:r>
      <w:proofErr w:type="spellEnd"/>
      <w:r w:rsidRPr="009E5D77">
        <w:rPr>
          <w:rFonts w:ascii="Times New Roman" w:hAnsi="Times New Roman" w:cs="Times New Roman"/>
          <w:sz w:val="24"/>
          <w:szCs w:val="24"/>
        </w:rPr>
        <w:t xml:space="preserve"> Coelho. – 24. ed. – São </w:t>
      </w:r>
      <w:proofErr w:type="gramStart"/>
      <w:r w:rsidRPr="009E5D77">
        <w:rPr>
          <w:rFonts w:ascii="Times New Roman" w:hAnsi="Times New Roman" w:cs="Times New Roman"/>
          <w:sz w:val="24"/>
          <w:szCs w:val="24"/>
        </w:rPr>
        <w:t>Paulo :</w:t>
      </w:r>
      <w:proofErr w:type="gramEnd"/>
      <w:r w:rsidRPr="009E5D77">
        <w:rPr>
          <w:rFonts w:ascii="Times New Roman" w:hAnsi="Times New Roman" w:cs="Times New Roman"/>
          <w:sz w:val="24"/>
          <w:szCs w:val="24"/>
        </w:rPr>
        <w:t xml:space="preserve"> Saraiva, 2012.</w:t>
      </w:r>
      <w:r>
        <w:rPr>
          <w:rFonts w:ascii="Times New Roman" w:hAnsi="Times New Roman" w:cs="Times New Roman"/>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p w:rsidR="007F2025" w:rsidRDefault="007F2025" w:rsidP="00BB2354">
      <w:pPr>
        <w:autoSpaceDE w:val="0"/>
        <w:autoSpaceDN w:val="0"/>
        <w:adjustRightInd w:val="0"/>
        <w:spacing w:after="0" w:line="240" w:lineRule="auto"/>
        <w:jc w:val="both"/>
        <w:rPr>
          <w:rFonts w:ascii="Times New Roman" w:hAnsi="Times New Roman" w:cs="Times New Roman"/>
          <w:color w:val="000000" w:themeColor="text1"/>
          <w:sz w:val="24"/>
          <w:szCs w:val="24"/>
        </w:rPr>
      </w:pPr>
    </w:p>
    <w:p w:rsidR="007F2025" w:rsidRPr="007F2025" w:rsidRDefault="007F2025" w:rsidP="00BB2354">
      <w:pPr>
        <w:autoSpaceDE w:val="0"/>
        <w:autoSpaceDN w:val="0"/>
        <w:adjustRightInd w:val="0"/>
        <w:spacing w:after="0" w:line="240" w:lineRule="auto"/>
        <w:jc w:val="both"/>
        <w:rPr>
          <w:rFonts w:ascii="Times New Roman" w:hAnsi="Times New Roman" w:cs="Times New Roman"/>
          <w:color w:val="000000" w:themeColor="text1"/>
          <w:sz w:val="24"/>
          <w:szCs w:val="24"/>
        </w:rPr>
      </w:pPr>
      <w:r w:rsidRPr="007F2025">
        <w:rPr>
          <w:rFonts w:ascii="Times New Roman" w:hAnsi="Times New Roman" w:cs="Times New Roman"/>
          <w:color w:val="000000" w:themeColor="text1"/>
          <w:sz w:val="24"/>
          <w:szCs w:val="24"/>
        </w:rPr>
        <w:t xml:space="preserve">MENEGON, Filipe. </w:t>
      </w:r>
      <w:r w:rsidRPr="007F2025">
        <w:rPr>
          <w:rFonts w:ascii="Times New Roman" w:hAnsi="Times New Roman" w:cs="Times New Roman"/>
          <w:b/>
          <w:bCs/>
          <w:color w:val="000000" w:themeColor="text1"/>
          <w:sz w:val="24"/>
          <w:szCs w:val="24"/>
        </w:rPr>
        <w:t xml:space="preserve">Aspectos objetivos e procedimentais dos crimes falimentares conforme a nova lei de falências e recuperação de empresas.  </w:t>
      </w:r>
      <w:r w:rsidRPr="007F2025">
        <w:rPr>
          <w:rFonts w:ascii="Times New Roman" w:hAnsi="Times New Roman" w:cs="Times New Roman"/>
          <w:bCs/>
          <w:color w:val="000000" w:themeColor="text1"/>
          <w:sz w:val="24"/>
          <w:szCs w:val="24"/>
        </w:rPr>
        <w:t>2007. Disponível em:</w:t>
      </w:r>
      <w:r w:rsidRPr="007F2025">
        <w:rPr>
          <w:rFonts w:ascii="Times New Roman" w:hAnsi="Times New Roman" w:cs="Times New Roman"/>
          <w:b/>
          <w:bCs/>
          <w:color w:val="000000" w:themeColor="text1"/>
          <w:sz w:val="24"/>
          <w:szCs w:val="24"/>
        </w:rPr>
        <w:t xml:space="preserve"> &lt; </w:t>
      </w:r>
      <w:hyperlink r:id="rId10" w:history="1">
        <w:r w:rsidRPr="007F2025">
          <w:rPr>
            <w:rStyle w:val="Hyperlink"/>
            <w:rFonts w:ascii="Times New Roman" w:hAnsi="Times New Roman" w:cs="Times New Roman"/>
            <w:color w:val="000000" w:themeColor="text1"/>
            <w:sz w:val="24"/>
            <w:szCs w:val="24"/>
            <w:u w:val="none"/>
          </w:rPr>
          <w:t>http://www3.pucrs.br/pucrs/files/uni/poa/direito/graduacao/tcc/tcc2/trabalhos2007_2/Filipe_Menegon.pdf</w:t>
        </w:r>
      </w:hyperlink>
      <w:r w:rsidRPr="007F2025">
        <w:rPr>
          <w:rFonts w:ascii="Times New Roman" w:hAnsi="Times New Roman" w:cs="Times New Roman"/>
          <w:color w:val="000000" w:themeColor="text1"/>
          <w:sz w:val="24"/>
          <w:szCs w:val="24"/>
        </w:rPr>
        <w:t>&gt;. Acesso em: 11 de setembro de 2013.</w:t>
      </w:r>
    </w:p>
    <w:p w:rsidR="007F2025" w:rsidRPr="007F2025" w:rsidRDefault="007F2025" w:rsidP="00BB2354">
      <w:pPr>
        <w:tabs>
          <w:tab w:val="left" w:pos="1470"/>
          <w:tab w:val="left" w:pos="1605"/>
        </w:tabs>
        <w:spacing w:before="240" w:after="0" w:line="240" w:lineRule="auto"/>
        <w:jc w:val="both"/>
        <w:rPr>
          <w:rFonts w:ascii="Times New Roman" w:hAnsi="Times New Roman" w:cs="Times New Roman"/>
          <w:color w:val="000000" w:themeColor="text1"/>
          <w:sz w:val="24"/>
          <w:szCs w:val="24"/>
        </w:rPr>
      </w:pPr>
      <w:r w:rsidRPr="007F2025">
        <w:rPr>
          <w:rFonts w:ascii="Times New Roman" w:hAnsi="Times New Roman" w:cs="Times New Roman"/>
          <w:color w:val="000000" w:themeColor="text1"/>
          <w:sz w:val="24"/>
          <w:szCs w:val="24"/>
        </w:rPr>
        <w:t xml:space="preserve">PEREIRA, Marcelo Aguiar. </w:t>
      </w:r>
      <w:r w:rsidRPr="007F2025">
        <w:rPr>
          <w:rFonts w:ascii="Times New Roman" w:hAnsi="Times New Roman" w:cs="Times New Roman"/>
          <w:b/>
          <w:color w:val="000000" w:themeColor="text1"/>
          <w:sz w:val="24"/>
          <w:szCs w:val="24"/>
        </w:rPr>
        <w:t xml:space="preserve">Fraude contra credores e fraude à execução. </w:t>
      </w:r>
      <w:r w:rsidRPr="007F2025">
        <w:rPr>
          <w:rFonts w:ascii="Times New Roman" w:hAnsi="Times New Roman" w:cs="Times New Roman"/>
          <w:color w:val="000000" w:themeColor="text1"/>
          <w:sz w:val="24"/>
          <w:szCs w:val="24"/>
        </w:rPr>
        <w:t>¿. Disponível em: &lt;</w:t>
      </w:r>
      <w:hyperlink r:id="rId11" w:history="1">
        <w:r w:rsidRPr="007F2025">
          <w:rPr>
            <w:rStyle w:val="Hyperlink"/>
            <w:rFonts w:ascii="Times New Roman" w:hAnsi="Times New Roman" w:cs="Times New Roman"/>
            <w:color w:val="000000" w:themeColor="text1"/>
            <w:sz w:val="24"/>
            <w:szCs w:val="24"/>
            <w:u w:val="none"/>
          </w:rPr>
          <w:t>http://www.juspodivm.com.br/i/a/%7B39050F8B-D6BC-4870-8ABF-FEB4DCA94866%7D _1.pdf</w:t>
        </w:r>
      </w:hyperlink>
      <w:r w:rsidRPr="007F2025">
        <w:rPr>
          <w:rFonts w:ascii="Times New Roman" w:hAnsi="Times New Roman" w:cs="Times New Roman"/>
          <w:color w:val="000000" w:themeColor="text1"/>
          <w:sz w:val="24"/>
          <w:szCs w:val="24"/>
        </w:rPr>
        <w:t>&gt;. Acesso em: 11 de setembro de 2013.</w:t>
      </w:r>
    </w:p>
    <w:p w:rsidR="007F2025" w:rsidRDefault="007F2025" w:rsidP="00BB2354">
      <w:pPr>
        <w:tabs>
          <w:tab w:val="left" w:pos="1470"/>
          <w:tab w:val="left" w:pos="1605"/>
        </w:tabs>
        <w:spacing w:after="0" w:line="240" w:lineRule="auto"/>
        <w:jc w:val="both"/>
        <w:rPr>
          <w:rFonts w:ascii="Times New Roman" w:hAnsi="Times New Roman" w:cs="Times New Roman"/>
          <w:sz w:val="24"/>
          <w:szCs w:val="24"/>
        </w:rPr>
      </w:pPr>
    </w:p>
    <w:p w:rsidR="00E54CED" w:rsidRPr="00E54CED" w:rsidRDefault="00E54CED" w:rsidP="00BB2354">
      <w:pPr>
        <w:tabs>
          <w:tab w:val="left" w:pos="1470"/>
          <w:tab w:val="left" w:pos="16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PERIN JUNIOR, </w:t>
      </w:r>
      <w:proofErr w:type="spellStart"/>
      <w:r>
        <w:rPr>
          <w:rFonts w:ascii="Times New Roman" w:hAnsi="Times New Roman" w:cs="Times New Roman"/>
          <w:sz w:val="24"/>
          <w:szCs w:val="24"/>
        </w:rPr>
        <w:t>Ecio</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Curso de direito falimentar e recuperação de empresas. </w:t>
      </w:r>
      <w:r>
        <w:rPr>
          <w:rFonts w:ascii="Times New Roman" w:hAnsi="Times New Roman" w:cs="Times New Roman"/>
          <w:sz w:val="24"/>
          <w:szCs w:val="24"/>
        </w:rPr>
        <w:t xml:space="preserve">3. ed. rev., atual. 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São Paulo: Editora Método, 2006.</w:t>
      </w:r>
    </w:p>
    <w:p w:rsidR="007F2025" w:rsidRDefault="007F2025" w:rsidP="00BB2354">
      <w:pPr>
        <w:tabs>
          <w:tab w:val="left" w:pos="1470"/>
          <w:tab w:val="left" w:pos="1605"/>
        </w:tabs>
        <w:spacing w:after="0" w:line="240" w:lineRule="auto"/>
        <w:jc w:val="both"/>
        <w:rPr>
          <w:rFonts w:ascii="Times New Roman" w:hAnsi="Times New Roman" w:cs="Times New Roman"/>
          <w:sz w:val="24"/>
          <w:szCs w:val="24"/>
        </w:rPr>
      </w:pPr>
    </w:p>
    <w:p w:rsidR="005E742E" w:rsidRDefault="00F157DB" w:rsidP="00BB2354">
      <w:pPr>
        <w:tabs>
          <w:tab w:val="left" w:pos="1470"/>
          <w:tab w:val="left" w:pos="1605"/>
        </w:tabs>
        <w:spacing w:after="0" w:line="240" w:lineRule="auto"/>
        <w:jc w:val="both"/>
        <w:rPr>
          <w:rFonts w:ascii="Times New Roman" w:hAnsi="Times New Roman" w:cs="Times New Roman"/>
          <w:sz w:val="24"/>
          <w:szCs w:val="24"/>
        </w:rPr>
      </w:pPr>
      <w:r w:rsidRPr="005E742E">
        <w:rPr>
          <w:rFonts w:ascii="Times New Roman" w:hAnsi="Times New Roman" w:cs="Times New Roman"/>
          <w:sz w:val="24"/>
          <w:szCs w:val="24"/>
        </w:rPr>
        <w:lastRenderedPageBreak/>
        <w:t>WALD</w:t>
      </w:r>
      <w:r w:rsidR="005E742E" w:rsidRPr="005E742E">
        <w:rPr>
          <w:rFonts w:ascii="Times New Roman" w:hAnsi="Times New Roman" w:cs="Times New Roman"/>
          <w:sz w:val="24"/>
          <w:szCs w:val="24"/>
        </w:rPr>
        <w:t>, Arnoldo</w:t>
      </w:r>
      <w:r w:rsidR="005E742E">
        <w:rPr>
          <w:rFonts w:ascii="Times New Roman" w:hAnsi="Times New Roman" w:cs="Times New Roman"/>
          <w:sz w:val="24"/>
          <w:szCs w:val="24"/>
        </w:rPr>
        <w:t xml:space="preserve">. </w:t>
      </w:r>
      <w:r w:rsidR="005E742E" w:rsidRPr="00F157DB">
        <w:rPr>
          <w:rFonts w:ascii="Times New Roman" w:hAnsi="Times New Roman" w:cs="Times New Roman"/>
          <w:b/>
          <w:sz w:val="24"/>
          <w:szCs w:val="24"/>
        </w:rPr>
        <w:t>Direito civil</w:t>
      </w:r>
      <w:r w:rsidR="005E742E" w:rsidRPr="005E742E">
        <w:rPr>
          <w:rFonts w:ascii="Times New Roman" w:hAnsi="Times New Roman" w:cs="Times New Roman"/>
          <w:sz w:val="24"/>
          <w:szCs w:val="24"/>
        </w:rPr>
        <w:t>: direito de empresa, v. 8 / Arnoldo Wald, Luiza Rangel de Moraes, Alexandre de Mendonça Wald. –</w:t>
      </w:r>
      <w:r w:rsidR="005E742E">
        <w:rPr>
          <w:rFonts w:ascii="Times New Roman" w:hAnsi="Times New Roman" w:cs="Times New Roman"/>
          <w:sz w:val="24"/>
          <w:szCs w:val="24"/>
        </w:rPr>
        <w:t xml:space="preserve"> </w:t>
      </w:r>
      <w:r w:rsidR="005E742E" w:rsidRPr="005E742E">
        <w:rPr>
          <w:rFonts w:ascii="Times New Roman" w:hAnsi="Times New Roman" w:cs="Times New Roman"/>
          <w:sz w:val="24"/>
          <w:szCs w:val="24"/>
        </w:rPr>
        <w:t xml:space="preserve">São </w:t>
      </w:r>
      <w:proofErr w:type="gramStart"/>
      <w:r w:rsidR="005E742E" w:rsidRPr="005E742E">
        <w:rPr>
          <w:rFonts w:ascii="Times New Roman" w:hAnsi="Times New Roman" w:cs="Times New Roman"/>
          <w:sz w:val="24"/>
          <w:szCs w:val="24"/>
        </w:rPr>
        <w:t>Paulo :</w:t>
      </w:r>
      <w:proofErr w:type="gramEnd"/>
      <w:r w:rsidR="005E742E" w:rsidRPr="005E742E">
        <w:rPr>
          <w:rFonts w:ascii="Times New Roman" w:hAnsi="Times New Roman" w:cs="Times New Roman"/>
          <w:sz w:val="24"/>
          <w:szCs w:val="24"/>
        </w:rPr>
        <w:t xml:space="preserve"> Saraiva, 2012</w:t>
      </w:r>
      <w:r w:rsidR="005E742E">
        <w:rPr>
          <w:rFonts w:ascii="Times New Roman" w:hAnsi="Times New Roman" w:cs="Times New Roman"/>
          <w:sz w:val="24"/>
          <w:szCs w:val="24"/>
        </w:rPr>
        <w:t xml:space="preserve">. </w:t>
      </w:r>
      <w:r w:rsidR="00BB2354">
        <w:rPr>
          <w:rFonts w:ascii="Times New Roman" w:hAnsi="Times New Roman" w:cs="Times New Roman"/>
          <w:color w:val="000000" w:themeColor="text1"/>
          <w:sz w:val="24"/>
          <w:szCs w:val="24"/>
        </w:rPr>
        <w:t>(</w:t>
      </w:r>
      <w:proofErr w:type="spellStart"/>
      <w:proofErr w:type="gramStart"/>
      <w:r w:rsidR="00BB2354">
        <w:rPr>
          <w:rFonts w:ascii="Times New Roman" w:hAnsi="Times New Roman" w:cs="Times New Roman"/>
          <w:i/>
          <w:color w:val="000000" w:themeColor="text1"/>
          <w:sz w:val="24"/>
          <w:szCs w:val="24"/>
        </w:rPr>
        <w:t>ebook</w:t>
      </w:r>
      <w:proofErr w:type="spellEnd"/>
      <w:proofErr w:type="gramEnd"/>
      <w:r w:rsidR="00BB2354">
        <w:rPr>
          <w:rFonts w:ascii="Times New Roman" w:hAnsi="Times New Roman" w:cs="Times New Roman"/>
          <w:color w:val="000000" w:themeColor="text1"/>
          <w:sz w:val="24"/>
          <w:szCs w:val="24"/>
        </w:rPr>
        <w:t>)</w:t>
      </w:r>
    </w:p>
    <w:sectPr w:rsidR="005E742E" w:rsidSect="00E9726B">
      <w:head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76" w:rsidRDefault="00D14C76" w:rsidP="001D4B62">
      <w:pPr>
        <w:spacing w:after="0" w:line="240" w:lineRule="auto"/>
      </w:pPr>
      <w:r>
        <w:separator/>
      </w:r>
    </w:p>
  </w:endnote>
  <w:endnote w:type="continuationSeparator" w:id="0">
    <w:p w:rsidR="00D14C76" w:rsidRDefault="00D14C76" w:rsidP="001D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76" w:rsidRDefault="00D14C76" w:rsidP="001D4B62">
      <w:pPr>
        <w:spacing w:after="0" w:line="240" w:lineRule="auto"/>
      </w:pPr>
      <w:r>
        <w:separator/>
      </w:r>
    </w:p>
  </w:footnote>
  <w:footnote w:type="continuationSeparator" w:id="0">
    <w:p w:rsidR="00D14C76" w:rsidRDefault="00D14C76" w:rsidP="001D4B62">
      <w:pPr>
        <w:spacing w:after="0" w:line="240" w:lineRule="auto"/>
      </w:pPr>
      <w:r>
        <w:continuationSeparator/>
      </w:r>
    </w:p>
  </w:footnote>
  <w:footnote w:id="1">
    <w:p w:rsidR="00042C17" w:rsidRPr="00042C17" w:rsidRDefault="00042C17">
      <w:pPr>
        <w:pStyle w:val="Textodenotaderodap"/>
        <w:rPr>
          <w:rFonts w:ascii="Times New Roman" w:hAnsi="Times New Roman" w:cs="Times New Roman"/>
        </w:rPr>
      </w:pPr>
      <w:r>
        <w:rPr>
          <w:rStyle w:val="Refdenotaderodap"/>
        </w:rPr>
        <w:footnoteRef/>
      </w:r>
      <w:r>
        <w:t xml:space="preserve"> </w:t>
      </w:r>
      <w:r w:rsidR="00943126">
        <w:rPr>
          <w:rFonts w:ascii="Times New Roman" w:hAnsi="Times New Roman" w:cs="Times New Roman"/>
        </w:rPr>
        <w:t>Case referente à</w:t>
      </w:r>
      <w:r>
        <w:rPr>
          <w:rFonts w:ascii="Times New Roman" w:hAnsi="Times New Roman" w:cs="Times New Roman"/>
        </w:rPr>
        <w:t xml:space="preserve"> </w:t>
      </w:r>
      <w:r w:rsidR="00943126">
        <w:rPr>
          <w:rFonts w:ascii="Times New Roman" w:hAnsi="Times New Roman" w:cs="Times New Roman"/>
        </w:rPr>
        <w:t>disciplina</w:t>
      </w:r>
      <w:r>
        <w:rPr>
          <w:rFonts w:ascii="Times New Roman" w:hAnsi="Times New Roman" w:cs="Times New Roman"/>
        </w:rPr>
        <w:t xml:space="preserve"> de </w:t>
      </w:r>
      <w:r w:rsidR="00925490">
        <w:rPr>
          <w:rFonts w:ascii="Times New Roman" w:hAnsi="Times New Roman" w:cs="Times New Roman"/>
        </w:rPr>
        <w:t>Falência e Recuperação de Empresas</w:t>
      </w:r>
      <w:r>
        <w:rPr>
          <w:rFonts w:ascii="Times New Roman" w:hAnsi="Times New Roman" w:cs="Times New Roman"/>
        </w:rPr>
        <w:t xml:space="preserve"> do curso de Direito, UNDB.</w:t>
      </w:r>
    </w:p>
  </w:footnote>
  <w:footnote w:id="2">
    <w:p w:rsidR="004C0972" w:rsidRDefault="004C0972">
      <w:pPr>
        <w:pStyle w:val="Textodenotaderodap"/>
      </w:pPr>
      <w:r>
        <w:rPr>
          <w:rStyle w:val="Refdenotaderodap"/>
        </w:rPr>
        <w:footnoteRef/>
      </w:r>
      <w:r>
        <w:t xml:space="preserve"> </w:t>
      </w:r>
      <w:r w:rsidRPr="004C0972">
        <w:rPr>
          <w:rFonts w:ascii="Times New Roman" w:hAnsi="Times New Roman" w:cs="Times New Roman"/>
        </w:rPr>
        <w:t>Aluno da Unidade de Ensino Superio</w:t>
      </w:r>
      <w:r w:rsidR="00042C17">
        <w:rPr>
          <w:rFonts w:ascii="Times New Roman" w:hAnsi="Times New Roman" w:cs="Times New Roman"/>
        </w:rPr>
        <w:t xml:space="preserve">r Dom Bosco, curso de Direito, </w:t>
      </w:r>
      <w:r w:rsidR="00D10116">
        <w:rPr>
          <w:rFonts w:ascii="Times New Roman" w:hAnsi="Times New Roman" w:cs="Times New Roman"/>
        </w:rPr>
        <w:t>6</w:t>
      </w:r>
      <w:r w:rsidRPr="004C0972">
        <w:rPr>
          <w:rFonts w:ascii="Times New Roman" w:hAnsi="Times New Roman" w:cs="Times New Roman"/>
        </w:rPr>
        <w:t>º semestre noturno.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50" w:rsidRDefault="00230050">
    <w:pPr>
      <w:pStyle w:val="Cabealho"/>
    </w:pPr>
    <w:r>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1.5pt" o:ole="" fillcolor="window">
          <v:imagedata r:id="rId1" o:title=""/>
        </v:shape>
        <o:OLEObject Type="Embed" ProgID="CorelDraw.Graphic.10" ShapeID="_x0000_i1025" DrawAspect="Content" ObjectID="_150987306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159"/>
    <w:multiLevelType w:val="hybridMultilevel"/>
    <w:tmpl w:val="F9248D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C875E9"/>
    <w:multiLevelType w:val="hybridMultilevel"/>
    <w:tmpl w:val="D1006BEE"/>
    <w:lvl w:ilvl="0" w:tplc="C6040FC8">
      <w:start w:val="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3F2902"/>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61042B"/>
    <w:multiLevelType w:val="hybridMultilevel"/>
    <w:tmpl w:val="7304E6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D9638A"/>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6305D8"/>
    <w:multiLevelType w:val="hybridMultilevel"/>
    <w:tmpl w:val="51FCA5F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0F5D89"/>
    <w:multiLevelType w:val="hybridMultilevel"/>
    <w:tmpl w:val="190AEDB6"/>
    <w:lvl w:ilvl="0" w:tplc="0416000F">
      <w:start w:val="1"/>
      <w:numFmt w:val="decimal"/>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
    <w:nsid w:val="33C7201F"/>
    <w:multiLevelType w:val="hybridMultilevel"/>
    <w:tmpl w:val="C3EA61F8"/>
    <w:lvl w:ilvl="0" w:tplc="8CBC9E98">
      <w:start w:val="2"/>
      <w:numFmt w:val="bullet"/>
      <w:lvlText w:val=""/>
      <w:lvlJc w:val="left"/>
      <w:pPr>
        <w:ind w:left="1440" w:hanging="360"/>
      </w:pPr>
      <w:rPr>
        <w:rFonts w:ascii="Symbol" w:eastAsiaTheme="minorHAnsi" w:hAnsi="Symbol" w:cs="Aria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3A0F0F21"/>
    <w:multiLevelType w:val="multilevel"/>
    <w:tmpl w:val="307091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3A073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6036EB"/>
    <w:multiLevelType w:val="hybridMultilevel"/>
    <w:tmpl w:val="93B2851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A7621D"/>
    <w:multiLevelType w:val="multilevel"/>
    <w:tmpl w:val="DFF8B6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652E6A76"/>
    <w:multiLevelType w:val="multilevel"/>
    <w:tmpl w:val="DCD68AD2"/>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3">
    <w:nsid w:val="66F51CFE"/>
    <w:multiLevelType w:val="hybridMultilevel"/>
    <w:tmpl w:val="E9C6E7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A3B1FE9"/>
    <w:multiLevelType w:val="hybridMultilevel"/>
    <w:tmpl w:val="30548F60"/>
    <w:lvl w:ilvl="0" w:tplc="5DCE2E2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C647B78"/>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1CE2E62"/>
    <w:multiLevelType w:val="hybridMultilevel"/>
    <w:tmpl w:val="AE84884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3D7364"/>
    <w:multiLevelType w:val="multilevel"/>
    <w:tmpl w:val="F9248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66C5A0C"/>
    <w:multiLevelType w:val="hybridMultilevel"/>
    <w:tmpl w:val="983E2D3E"/>
    <w:lvl w:ilvl="0" w:tplc="0FE04D1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79AA5274"/>
    <w:multiLevelType w:val="multilevel"/>
    <w:tmpl w:val="44304A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3"/>
  </w:num>
  <w:num w:numId="3">
    <w:abstractNumId w:val="15"/>
  </w:num>
  <w:num w:numId="4">
    <w:abstractNumId w:val="2"/>
  </w:num>
  <w:num w:numId="5">
    <w:abstractNumId w:val="19"/>
  </w:num>
  <w:num w:numId="6">
    <w:abstractNumId w:val="4"/>
  </w:num>
  <w:num w:numId="7">
    <w:abstractNumId w:val="0"/>
  </w:num>
  <w:num w:numId="8">
    <w:abstractNumId w:val="17"/>
  </w:num>
  <w:num w:numId="9">
    <w:abstractNumId w:val="11"/>
  </w:num>
  <w:num w:numId="10">
    <w:abstractNumId w:val="1"/>
  </w:num>
  <w:num w:numId="11">
    <w:abstractNumId w:val="7"/>
  </w:num>
  <w:num w:numId="12">
    <w:abstractNumId w:val="12"/>
  </w:num>
  <w:num w:numId="13">
    <w:abstractNumId w:val="14"/>
  </w:num>
  <w:num w:numId="14">
    <w:abstractNumId w:val="3"/>
  </w:num>
  <w:num w:numId="15">
    <w:abstractNumId w:val="18"/>
  </w:num>
  <w:num w:numId="16">
    <w:abstractNumId w:val="9"/>
  </w:num>
  <w:num w:numId="17">
    <w:abstractNumId w:val="8"/>
  </w:num>
  <w:num w:numId="18">
    <w:abstractNumId w:val="5"/>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7045"/>
    <w:rsid w:val="000016CA"/>
    <w:rsid w:val="00001AE1"/>
    <w:rsid w:val="00003946"/>
    <w:rsid w:val="0000655B"/>
    <w:rsid w:val="00010D66"/>
    <w:rsid w:val="00013F92"/>
    <w:rsid w:val="00015B01"/>
    <w:rsid w:val="000213F9"/>
    <w:rsid w:val="000218F4"/>
    <w:rsid w:val="00022BA4"/>
    <w:rsid w:val="00034553"/>
    <w:rsid w:val="000347D5"/>
    <w:rsid w:val="00034D5B"/>
    <w:rsid w:val="0003690F"/>
    <w:rsid w:val="00036BE3"/>
    <w:rsid w:val="00042C17"/>
    <w:rsid w:val="00047343"/>
    <w:rsid w:val="00050D2C"/>
    <w:rsid w:val="000539B1"/>
    <w:rsid w:val="00054F2D"/>
    <w:rsid w:val="00056AD2"/>
    <w:rsid w:val="00063966"/>
    <w:rsid w:val="0006722B"/>
    <w:rsid w:val="0006773B"/>
    <w:rsid w:val="0007497C"/>
    <w:rsid w:val="00083794"/>
    <w:rsid w:val="00091C91"/>
    <w:rsid w:val="0009256C"/>
    <w:rsid w:val="000A1EAC"/>
    <w:rsid w:val="000B26F7"/>
    <w:rsid w:val="000B3BE7"/>
    <w:rsid w:val="000B4859"/>
    <w:rsid w:val="000B4DE9"/>
    <w:rsid w:val="000C1787"/>
    <w:rsid w:val="000C4DDD"/>
    <w:rsid w:val="000E201F"/>
    <w:rsid w:val="000E341B"/>
    <w:rsid w:val="000E5BD3"/>
    <w:rsid w:val="000E6CEA"/>
    <w:rsid w:val="000F2571"/>
    <w:rsid w:val="000F38EB"/>
    <w:rsid w:val="000F7EB7"/>
    <w:rsid w:val="00102C82"/>
    <w:rsid w:val="00106709"/>
    <w:rsid w:val="001201ED"/>
    <w:rsid w:val="00130074"/>
    <w:rsid w:val="00132212"/>
    <w:rsid w:val="00132772"/>
    <w:rsid w:val="00134280"/>
    <w:rsid w:val="00137FEC"/>
    <w:rsid w:val="001454E9"/>
    <w:rsid w:val="001479FF"/>
    <w:rsid w:val="00153055"/>
    <w:rsid w:val="0015580E"/>
    <w:rsid w:val="00155DFA"/>
    <w:rsid w:val="00157EB0"/>
    <w:rsid w:val="001620D4"/>
    <w:rsid w:val="00163D57"/>
    <w:rsid w:val="001723F3"/>
    <w:rsid w:val="001726D6"/>
    <w:rsid w:val="00173416"/>
    <w:rsid w:val="00173A71"/>
    <w:rsid w:val="00176A27"/>
    <w:rsid w:val="00181061"/>
    <w:rsid w:val="001907D3"/>
    <w:rsid w:val="00191D14"/>
    <w:rsid w:val="00194A82"/>
    <w:rsid w:val="00195ADB"/>
    <w:rsid w:val="001A4714"/>
    <w:rsid w:val="001A6EDC"/>
    <w:rsid w:val="001B11B0"/>
    <w:rsid w:val="001C3C59"/>
    <w:rsid w:val="001C4158"/>
    <w:rsid w:val="001C6A01"/>
    <w:rsid w:val="001D03C9"/>
    <w:rsid w:val="001D081E"/>
    <w:rsid w:val="001D4B62"/>
    <w:rsid w:val="001D7045"/>
    <w:rsid w:val="001D7304"/>
    <w:rsid w:val="001E2662"/>
    <w:rsid w:val="001E35D4"/>
    <w:rsid w:val="001E59B0"/>
    <w:rsid w:val="001E6AC7"/>
    <w:rsid w:val="001F1F12"/>
    <w:rsid w:val="001F3C17"/>
    <w:rsid w:val="002002C5"/>
    <w:rsid w:val="0020555C"/>
    <w:rsid w:val="002104C7"/>
    <w:rsid w:val="002126E4"/>
    <w:rsid w:val="00215CE2"/>
    <w:rsid w:val="00216010"/>
    <w:rsid w:val="002217B8"/>
    <w:rsid w:val="00222094"/>
    <w:rsid w:val="00230050"/>
    <w:rsid w:val="00233388"/>
    <w:rsid w:val="002357DF"/>
    <w:rsid w:val="002359AE"/>
    <w:rsid w:val="00237E45"/>
    <w:rsid w:val="0024031B"/>
    <w:rsid w:val="002456F7"/>
    <w:rsid w:val="002458F4"/>
    <w:rsid w:val="0025259D"/>
    <w:rsid w:val="002536AE"/>
    <w:rsid w:val="002540D8"/>
    <w:rsid w:val="00264964"/>
    <w:rsid w:val="002706D8"/>
    <w:rsid w:val="002741F9"/>
    <w:rsid w:val="00282206"/>
    <w:rsid w:val="00287B3C"/>
    <w:rsid w:val="00295375"/>
    <w:rsid w:val="0029606B"/>
    <w:rsid w:val="002965FD"/>
    <w:rsid w:val="00296D86"/>
    <w:rsid w:val="002A0DE7"/>
    <w:rsid w:val="002A491D"/>
    <w:rsid w:val="002A4D3E"/>
    <w:rsid w:val="002B010D"/>
    <w:rsid w:val="002B540B"/>
    <w:rsid w:val="002B5651"/>
    <w:rsid w:val="002B5DD5"/>
    <w:rsid w:val="002C0ACD"/>
    <w:rsid w:val="002C1A76"/>
    <w:rsid w:val="002C1EDA"/>
    <w:rsid w:val="002D6117"/>
    <w:rsid w:val="002E0216"/>
    <w:rsid w:val="002E5E6A"/>
    <w:rsid w:val="002F3566"/>
    <w:rsid w:val="002F4517"/>
    <w:rsid w:val="00304043"/>
    <w:rsid w:val="00304884"/>
    <w:rsid w:val="003050E0"/>
    <w:rsid w:val="00311709"/>
    <w:rsid w:val="0031292D"/>
    <w:rsid w:val="00312B51"/>
    <w:rsid w:val="00320829"/>
    <w:rsid w:val="00323F6C"/>
    <w:rsid w:val="00331BA5"/>
    <w:rsid w:val="00332040"/>
    <w:rsid w:val="003420F4"/>
    <w:rsid w:val="00342144"/>
    <w:rsid w:val="00343F24"/>
    <w:rsid w:val="003518BD"/>
    <w:rsid w:val="00353607"/>
    <w:rsid w:val="00363832"/>
    <w:rsid w:val="00375670"/>
    <w:rsid w:val="00381AA7"/>
    <w:rsid w:val="00382A83"/>
    <w:rsid w:val="003909BC"/>
    <w:rsid w:val="003924A5"/>
    <w:rsid w:val="003A7522"/>
    <w:rsid w:val="003A7D1D"/>
    <w:rsid w:val="003B312D"/>
    <w:rsid w:val="003B553E"/>
    <w:rsid w:val="003C121A"/>
    <w:rsid w:val="003C294D"/>
    <w:rsid w:val="003C2DD9"/>
    <w:rsid w:val="003C4006"/>
    <w:rsid w:val="003D38A9"/>
    <w:rsid w:val="003D722C"/>
    <w:rsid w:val="003E1AF0"/>
    <w:rsid w:val="003E2678"/>
    <w:rsid w:val="003E3E2A"/>
    <w:rsid w:val="003E4363"/>
    <w:rsid w:val="003F3C76"/>
    <w:rsid w:val="003F4BEB"/>
    <w:rsid w:val="003F5EE7"/>
    <w:rsid w:val="003F6857"/>
    <w:rsid w:val="00400776"/>
    <w:rsid w:val="0040533A"/>
    <w:rsid w:val="00406CDE"/>
    <w:rsid w:val="004100A9"/>
    <w:rsid w:val="00421140"/>
    <w:rsid w:val="00435A6A"/>
    <w:rsid w:val="004370A1"/>
    <w:rsid w:val="00442DC9"/>
    <w:rsid w:val="00445E63"/>
    <w:rsid w:val="00446EA9"/>
    <w:rsid w:val="0045123A"/>
    <w:rsid w:val="004539B3"/>
    <w:rsid w:val="0045447F"/>
    <w:rsid w:val="00461112"/>
    <w:rsid w:val="0046211F"/>
    <w:rsid w:val="00466033"/>
    <w:rsid w:val="0047298E"/>
    <w:rsid w:val="00474ED1"/>
    <w:rsid w:val="00475897"/>
    <w:rsid w:val="004851F6"/>
    <w:rsid w:val="00490BDF"/>
    <w:rsid w:val="004A0E07"/>
    <w:rsid w:val="004A5376"/>
    <w:rsid w:val="004A778D"/>
    <w:rsid w:val="004B1392"/>
    <w:rsid w:val="004B3725"/>
    <w:rsid w:val="004B3F2A"/>
    <w:rsid w:val="004B6F29"/>
    <w:rsid w:val="004C0972"/>
    <w:rsid w:val="004C445B"/>
    <w:rsid w:val="004C5B2E"/>
    <w:rsid w:val="004C639B"/>
    <w:rsid w:val="004C7BC9"/>
    <w:rsid w:val="004D149D"/>
    <w:rsid w:val="004D4BDF"/>
    <w:rsid w:val="004E4AFE"/>
    <w:rsid w:val="004E4BEE"/>
    <w:rsid w:val="004F0ACF"/>
    <w:rsid w:val="004F7201"/>
    <w:rsid w:val="004F72D8"/>
    <w:rsid w:val="004F7EB8"/>
    <w:rsid w:val="00501A25"/>
    <w:rsid w:val="005102E6"/>
    <w:rsid w:val="005158A2"/>
    <w:rsid w:val="00520354"/>
    <w:rsid w:val="005204CC"/>
    <w:rsid w:val="00524B94"/>
    <w:rsid w:val="00526C29"/>
    <w:rsid w:val="00530C59"/>
    <w:rsid w:val="00533BE0"/>
    <w:rsid w:val="005348FB"/>
    <w:rsid w:val="00535146"/>
    <w:rsid w:val="00536A44"/>
    <w:rsid w:val="005533A2"/>
    <w:rsid w:val="00554816"/>
    <w:rsid w:val="00554921"/>
    <w:rsid w:val="00557BF0"/>
    <w:rsid w:val="0056537A"/>
    <w:rsid w:val="0058155C"/>
    <w:rsid w:val="005822F4"/>
    <w:rsid w:val="00587057"/>
    <w:rsid w:val="0059574C"/>
    <w:rsid w:val="005A161D"/>
    <w:rsid w:val="005A21B0"/>
    <w:rsid w:val="005A6AC4"/>
    <w:rsid w:val="005A6C90"/>
    <w:rsid w:val="005A79C8"/>
    <w:rsid w:val="005B1D50"/>
    <w:rsid w:val="005B31AA"/>
    <w:rsid w:val="005D0A2E"/>
    <w:rsid w:val="005D3E8B"/>
    <w:rsid w:val="005D4A06"/>
    <w:rsid w:val="005E21D0"/>
    <w:rsid w:val="005E3247"/>
    <w:rsid w:val="005E742E"/>
    <w:rsid w:val="005E78C4"/>
    <w:rsid w:val="005F2A08"/>
    <w:rsid w:val="005F3675"/>
    <w:rsid w:val="005F45FE"/>
    <w:rsid w:val="005F6C4B"/>
    <w:rsid w:val="005F7CE3"/>
    <w:rsid w:val="00600250"/>
    <w:rsid w:val="00601476"/>
    <w:rsid w:val="00601F05"/>
    <w:rsid w:val="00606093"/>
    <w:rsid w:val="00620E62"/>
    <w:rsid w:val="00626963"/>
    <w:rsid w:val="00633B25"/>
    <w:rsid w:val="00644D57"/>
    <w:rsid w:val="00644E53"/>
    <w:rsid w:val="0066018C"/>
    <w:rsid w:val="00662366"/>
    <w:rsid w:val="0066383B"/>
    <w:rsid w:val="00666A19"/>
    <w:rsid w:val="00672211"/>
    <w:rsid w:val="00676F6A"/>
    <w:rsid w:val="006852E6"/>
    <w:rsid w:val="00690F98"/>
    <w:rsid w:val="0069450E"/>
    <w:rsid w:val="00694C33"/>
    <w:rsid w:val="006A0A47"/>
    <w:rsid w:val="006A18AD"/>
    <w:rsid w:val="006A28A7"/>
    <w:rsid w:val="006A7559"/>
    <w:rsid w:val="006B0CFA"/>
    <w:rsid w:val="006B0FDD"/>
    <w:rsid w:val="006C3560"/>
    <w:rsid w:val="006C626C"/>
    <w:rsid w:val="006E255F"/>
    <w:rsid w:val="006E2A01"/>
    <w:rsid w:val="006E53D8"/>
    <w:rsid w:val="00702993"/>
    <w:rsid w:val="00704535"/>
    <w:rsid w:val="007052F4"/>
    <w:rsid w:val="007149C1"/>
    <w:rsid w:val="00721DBB"/>
    <w:rsid w:val="007245F2"/>
    <w:rsid w:val="00734983"/>
    <w:rsid w:val="00734AF6"/>
    <w:rsid w:val="00736DD2"/>
    <w:rsid w:val="00742CA9"/>
    <w:rsid w:val="00751E1F"/>
    <w:rsid w:val="007562A7"/>
    <w:rsid w:val="0075703B"/>
    <w:rsid w:val="00761AF3"/>
    <w:rsid w:val="00761B49"/>
    <w:rsid w:val="00763302"/>
    <w:rsid w:val="007643F3"/>
    <w:rsid w:val="0077162D"/>
    <w:rsid w:val="00776042"/>
    <w:rsid w:val="00786634"/>
    <w:rsid w:val="00790D21"/>
    <w:rsid w:val="00795B78"/>
    <w:rsid w:val="007A040B"/>
    <w:rsid w:val="007A693D"/>
    <w:rsid w:val="007A73C7"/>
    <w:rsid w:val="007B08AA"/>
    <w:rsid w:val="007B15A1"/>
    <w:rsid w:val="007B28D7"/>
    <w:rsid w:val="007B36D1"/>
    <w:rsid w:val="007B69E2"/>
    <w:rsid w:val="007C2317"/>
    <w:rsid w:val="007C5A51"/>
    <w:rsid w:val="007C6698"/>
    <w:rsid w:val="007D2951"/>
    <w:rsid w:val="007D324E"/>
    <w:rsid w:val="007E01AA"/>
    <w:rsid w:val="007E06AC"/>
    <w:rsid w:val="007E0D0F"/>
    <w:rsid w:val="007E76AE"/>
    <w:rsid w:val="007F2025"/>
    <w:rsid w:val="007F2906"/>
    <w:rsid w:val="007F4E91"/>
    <w:rsid w:val="007F7D06"/>
    <w:rsid w:val="0080062D"/>
    <w:rsid w:val="00810A4F"/>
    <w:rsid w:val="00812679"/>
    <w:rsid w:val="00812F09"/>
    <w:rsid w:val="008145DD"/>
    <w:rsid w:val="008207D7"/>
    <w:rsid w:val="008257F1"/>
    <w:rsid w:val="008267DC"/>
    <w:rsid w:val="00831740"/>
    <w:rsid w:val="00832B7D"/>
    <w:rsid w:val="00834215"/>
    <w:rsid w:val="00840649"/>
    <w:rsid w:val="00841387"/>
    <w:rsid w:val="00842CA6"/>
    <w:rsid w:val="0085394F"/>
    <w:rsid w:val="008574B1"/>
    <w:rsid w:val="00865454"/>
    <w:rsid w:val="0087363C"/>
    <w:rsid w:val="00874FD8"/>
    <w:rsid w:val="00875F27"/>
    <w:rsid w:val="00877248"/>
    <w:rsid w:val="00880DF2"/>
    <w:rsid w:val="00886482"/>
    <w:rsid w:val="0088740E"/>
    <w:rsid w:val="00894016"/>
    <w:rsid w:val="00894800"/>
    <w:rsid w:val="008A268B"/>
    <w:rsid w:val="008A29D9"/>
    <w:rsid w:val="008A4D65"/>
    <w:rsid w:val="008B7065"/>
    <w:rsid w:val="008C2153"/>
    <w:rsid w:val="008C34F2"/>
    <w:rsid w:val="008C51B3"/>
    <w:rsid w:val="008C5A0F"/>
    <w:rsid w:val="008D0622"/>
    <w:rsid w:val="008D0BB5"/>
    <w:rsid w:val="008D1B6C"/>
    <w:rsid w:val="008D2593"/>
    <w:rsid w:val="008E2C8A"/>
    <w:rsid w:val="008E3743"/>
    <w:rsid w:val="008F0540"/>
    <w:rsid w:val="008F5856"/>
    <w:rsid w:val="009023A4"/>
    <w:rsid w:val="00903F5B"/>
    <w:rsid w:val="00906B45"/>
    <w:rsid w:val="00912827"/>
    <w:rsid w:val="00913F8F"/>
    <w:rsid w:val="009235D9"/>
    <w:rsid w:val="0092514F"/>
    <w:rsid w:val="00925490"/>
    <w:rsid w:val="0093129D"/>
    <w:rsid w:val="00931BF6"/>
    <w:rsid w:val="00941B68"/>
    <w:rsid w:val="00943126"/>
    <w:rsid w:val="00943849"/>
    <w:rsid w:val="00943D59"/>
    <w:rsid w:val="00944E9D"/>
    <w:rsid w:val="009460E7"/>
    <w:rsid w:val="00946294"/>
    <w:rsid w:val="00946531"/>
    <w:rsid w:val="00952B17"/>
    <w:rsid w:val="0095313A"/>
    <w:rsid w:val="00954469"/>
    <w:rsid w:val="0095456F"/>
    <w:rsid w:val="00973DED"/>
    <w:rsid w:val="00987B7E"/>
    <w:rsid w:val="00990A49"/>
    <w:rsid w:val="009912EE"/>
    <w:rsid w:val="00996C86"/>
    <w:rsid w:val="009A0E68"/>
    <w:rsid w:val="009A7A36"/>
    <w:rsid w:val="009C0671"/>
    <w:rsid w:val="009C196A"/>
    <w:rsid w:val="009C5020"/>
    <w:rsid w:val="009C6084"/>
    <w:rsid w:val="009D0310"/>
    <w:rsid w:val="009D175B"/>
    <w:rsid w:val="009D705E"/>
    <w:rsid w:val="009D7C7E"/>
    <w:rsid w:val="009E33B5"/>
    <w:rsid w:val="009E5D77"/>
    <w:rsid w:val="009E7180"/>
    <w:rsid w:val="009F796B"/>
    <w:rsid w:val="00A055B5"/>
    <w:rsid w:val="00A12544"/>
    <w:rsid w:val="00A175C0"/>
    <w:rsid w:val="00A21E04"/>
    <w:rsid w:val="00A2277C"/>
    <w:rsid w:val="00A268C3"/>
    <w:rsid w:val="00A30DF4"/>
    <w:rsid w:val="00A41452"/>
    <w:rsid w:val="00A50300"/>
    <w:rsid w:val="00A563C1"/>
    <w:rsid w:val="00A60DBE"/>
    <w:rsid w:val="00A629FA"/>
    <w:rsid w:val="00A665A2"/>
    <w:rsid w:val="00A753C1"/>
    <w:rsid w:val="00A813BE"/>
    <w:rsid w:val="00A857C4"/>
    <w:rsid w:val="00A9047F"/>
    <w:rsid w:val="00A9139E"/>
    <w:rsid w:val="00A93FC9"/>
    <w:rsid w:val="00A95E75"/>
    <w:rsid w:val="00AA5515"/>
    <w:rsid w:val="00AA5C0E"/>
    <w:rsid w:val="00AB203D"/>
    <w:rsid w:val="00AB290C"/>
    <w:rsid w:val="00AC1CCE"/>
    <w:rsid w:val="00AC7AF9"/>
    <w:rsid w:val="00AD4C02"/>
    <w:rsid w:val="00AD633B"/>
    <w:rsid w:val="00AE0245"/>
    <w:rsid w:val="00AE4756"/>
    <w:rsid w:val="00AF0206"/>
    <w:rsid w:val="00B000C3"/>
    <w:rsid w:val="00B01130"/>
    <w:rsid w:val="00B03335"/>
    <w:rsid w:val="00B04023"/>
    <w:rsid w:val="00B046DB"/>
    <w:rsid w:val="00B06B1E"/>
    <w:rsid w:val="00B07D62"/>
    <w:rsid w:val="00B14BA3"/>
    <w:rsid w:val="00B14C3E"/>
    <w:rsid w:val="00B15297"/>
    <w:rsid w:val="00B15A76"/>
    <w:rsid w:val="00B248E1"/>
    <w:rsid w:val="00B24B4F"/>
    <w:rsid w:val="00B267E2"/>
    <w:rsid w:val="00B2743E"/>
    <w:rsid w:val="00B276EA"/>
    <w:rsid w:val="00B27E06"/>
    <w:rsid w:val="00B32E2A"/>
    <w:rsid w:val="00B35D62"/>
    <w:rsid w:val="00B403D4"/>
    <w:rsid w:val="00B41BF9"/>
    <w:rsid w:val="00B42019"/>
    <w:rsid w:val="00B47E01"/>
    <w:rsid w:val="00B530A0"/>
    <w:rsid w:val="00B540D9"/>
    <w:rsid w:val="00B6609E"/>
    <w:rsid w:val="00B669EF"/>
    <w:rsid w:val="00B704AF"/>
    <w:rsid w:val="00B7088F"/>
    <w:rsid w:val="00B71075"/>
    <w:rsid w:val="00B7107C"/>
    <w:rsid w:val="00B801A0"/>
    <w:rsid w:val="00B80B35"/>
    <w:rsid w:val="00B811B1"/>
    <w:rsid w:val="00B822D0"/>
    <w:rsid w:val="00B829E4"/>
    <w:rsid w:val="00B836B3"/>
    <w:rsid w:val="00B877A0"/>
    <w:rsid w:val="00B931A0"/>
    <w:rsid w:val="00B94DB2"/>
    <w:rsid w:val="00BA370E"/>
    <w:rsid w:val="00BB2354"/>
    <w:rsid w:val="00BB3122"/>
    <w:rsid w:val="00BB3D1A"/>
    <w:rsid w:val="00BB44A9"/>
    <w:rsid w:val="00BC6281"/>
    <w:rsid w:val="00BD0B58"/>
    <w:rsid w:val="00BD4F01"/>
    <w:rsid w:val="00BD7717"/>
    <w:rsid w:val="00BE2F62"/>
    <w:rsid w:val="00BE37F1"/>
    <w:rsid w:val="00BE5C15"/>
    <w:rsid w:val="00BF405F"/>
    <w:rsid w:val="00BF736B"/>
    <w:rsid w:val="00C124D4"/>
    <w:rsid w:val="00C130E8"/>
    <w:rsid w:val="00C22C85"/>
    <w:rsid w:val="00C32E18"/>
    <w:rsid w:val="00C42E54"/>
    <w:rsid w:val="00C43E11"/>
    <w:rsid w:val="00C464BF"/>
    <w:rsid w:val="00C468B8"/>
    <w:rsid w:val="00C51DC7"/>
    <w:rsid w:val="00C51F7E"/>
    <w:rsid w:val="00C524BD"/>
    <w:rsid w:val="00C55A6C"/>
    <w:rsid w:val="00C56FF2"/>
    <w:rsid w:val="00C75454"/>
    <w:rsid w:val="00C75E7C"/>
    <w:rsid w:val="00C770B4"/>
    <w:rsid w:val="00C80772"/>
    <w:rsid w:val="00C81E9F"/>
    <w:rsid w:val="00C92EC0"/>
    <w:rsid w:val="00C94965"/>
    <w:rsid w:val="00C94F46"/>
    <w:rsid w:val="00C96745"/>
    <w:rsid w:val="00C969CF"/>
    <w:rsid w:val="00C97401"/>
    <w:rsid w:val="00C97927"/>
    <w:rsid w:val="00CA018C"/>
    <w:rsid w:val="00CB12AB"/>
    <w:rsid w:val="00CB341E"/>
    <w:rsid w:val="00CC569F"/>
    <w:rsid w:val="00CD0C6A"/>
    <w:rsid w:val="00CE2A2A"/>
    <w:rsid w:val="00CF415D"/>
    <w:rsid w:val="00CF6BB2"/>
    <w:rsid w:val="00D04508"/>
    <w:rsid w:val="00D04702"/>
    <w:rsid w:val="00D05B98"/>
    <w:rsid w:val="00D06B95"/>
    <w:rsid w:val="00D10116"/>
    <w:rsid w:val="00D1027B"/>
    <w:rsid w:val="00D1063A"/>
    <w:rsid w:val="00D14C76"/>
    <w:rsid w:val="00D22137"/>
    <w:rsid w:val="00D2572A"/>
    <w:rsid w:val="00D308EE"/>
    <w:rsid w:val="00D340B6"/>
    <w:rsid w:val="00D42C7C"/>
    <w:rsid w:val="00D43552"/>
    <w:rsid w:val="00D51A51"/>
    <w:rsid w:val="00D57A0E"/>
    <w:rsid w:val="00D61A31"/>
    <w:rsid w:val="00D62D3C"/>
    <w:rsid w:val="00D65163"/>
    <w:rsid w:val="00D727CC"/>
    <w:rsid w:val="00D73699"/>
    <w:rsid w:val="00D743AF"/>
    <w:rsid w:val="00D7669E"/>
    <w:rsid w:val="00D81FBD"/>
    <w:rsid w:val="00D85A64"/>
    <w:rsid w:val="00D877D2"/>
    <w:rsid w:val="00D9011A"/>
    <w:rsid w:val="00D952AD"/>
    <w:rsid w:val="00D9657C"/>
    <w:rsid w:val="00DA52C5"/>
    <w:rsid w:val="00DA6224"/>
    <w:rsid w:val="00DA67C5"/>
    <w:rsid w:val="00DB6CAF"/>
    <w:rsid w:val="00DB6F32"/>
    <w:rsid w:val="00DB77FB"/>
    <w:rsid w:val="00DC094B"/>
    <w:rsid w:val="00DC150A"/>
    <w:rsid w:val="00DC5C4C"/>
    <w:rsid w:val="00DD513C"/>
    <w:rsid w:val="00DD6091"/>
    <w:rsid w:val="00DE16C0"/>
    <w:rsid w:val="00DE2910"/>
    <w:rsid w:val="00DF481F"/>
    <w:rsid w:val="00DF4BD2"/>
    <w:rsid w:val="00DF53B9"/>
    <w:rsid w:val="00E07CCC"/>
    <w:rsid w:val="00E125AC"/>
    <w:rsid w:val="00E14C80"/>
    <w:rsid w:val="00E154CE"/>
    <w:rsid w:val="00E213DB"/>
    <w:rsid w:val="00E23F87"/>
    <w:rsid w:val="00E30447"/>
    <w:rsid w:val="00E31807"/>
    <w:rsid w:val="00E3208A"/>
    <w:rsid w:val="00E36F99"/>
    <w:rsid w:val="00E3761D"/>
    <w:rsid w:val="00E41BE6"/>
    <w:rsid w:val="00E445C9"/>
    <w:rsid w:val="00E51BAC"/>
    <w:rsid w:val="00E539B7"/>
    <w:rsid w:val="00E54CED"/>
    <w:rsid w:val="00E54F3C"/>
    <w:rsid w:val="00E60ACB"/>
    <w:rsid w:val="00E619D8"/>
    <w:rsid w:val="00E620D5"/>
    <w:rsid w:val="00E66661"/>
    <w:rsid w:val="00E7083E"/>
    <w:rsid w:val="00E74021"/>
    <w:rsid w:val="00E743DA"/>
    <w:rsid w:val="00E86099"/>
    <w:rsid w:val="00E925B6"/>
    <w:rsid w:val="00E9726B"/>
    <w:rsid w:val="00E97D6A"/>
    <w:rsid w:val="00EA65C3"/>
    <w:rsid w:val="00EA7EF8"/>
    <w:rsid w:val="00EB43DD"/>
    <w:rsid w:val="00EB45F8"/>
    <w:rsid w:val="00EC2FD0"/>
    <w:rsid w:val="00EC3C29"/>
    <w:rsid w:val="00EC56B9"/>
    <w:rsid w:val="00ED4627"/>
    <w:rsid w:val="00EE2B81"/>
    <w:rsid w:val="00EF759A"/>
    <w:rsid w:val="00F00E8A"/>
    <w:rsid w:val="00F06EE6"/>
    <w:rsid w:val="00F144D4"/>
    <w:rsid w:val="00F157DB"/>
    <w:rsid w:val="00F15C1C"/>
    <w:rsid w:val="00F17930"/>
    <w:rsid w:val="00F17A9F"/>
    <w:rsid w:val="00F210C0"/>
    <w:rsid w:val="00F22C09"/>
    <w:rsid w:val="00F25D2C"/>
    <w:rsid w:val="00F26DFF"/>
    <w:rsid w:val="00F30740"/>
    <w:rsid w:val="00F30F95"/>
    <w:rsid w:val="00F3232A"/>
    <w:rsid w:val="00F3353B"/>
    <w:rsid w:val="00F44ED1"/>
    <w:rsid w:val="00F45253"/>
    <w:rsid w:val="00F575D0"/>
    <w:rsid w:val="00F62564"/>
    <w:rsid w:val="00F6268C"/>
    <w:rsid w:val="00F63EEF"/>
    <w:rsid w:val="00F64024"/>
    <w:rsid w:val="00F642F1"/>
    <w:rsid w:val="00F64F30"/>
    <w:rsid w:val="00F73CD8"/>
    <w:rsid w:val="00F7697C"/>
    <w:rsid w:val="00F77D7B"/>
    <w:rsid w:val="00F813FE"/>
    <w:rsid w:val="00F83946"/>
    <w:rsid w:val="00F842A1"/>
    <w:rsid w:val="00F86346"/>
    <w:rsid w:val="00F9337D"/>
    <w:rsid w:val="00F9438E"/>
    <w:rsid w:val="00F94A70"/>
    <w:rsid w:val="00FA006B"/>
    <w:rsid w:val="00FA3C8B"/>
    <w:rsid w:val="00FA5CD2"/>
    <w:rsid w:val="00FB0D0B"/>
    <w:rsid w:val="00FB2669"/>
    <w:rsid w:val="00FB336D"/>
    <w:rsid w:val="00FC3199"/>
    <w:rsid w:val="00FC57B9"/>
    <w:rsid w:val="00FD0D1D"/>
    <w:rsid w:val="00FD0DC9"/>
    <w:rsid w:val="00FD353B"/>
    <w:rsid w:val="00FD5EC9"/>
    <w:rsid w:val="00FD6825"/>
    <w:rsid w:val="00FE07AE"/>
    <w:rsid w:val="00FE5753"/>
    <w:rsid w:val="00FE700F"/>
    <w:rsid w:val="00FE7FBF"/>
    <w:rsid w:val="00FF66A2"/>
    <w:rsid w:val="00FF71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A49E5F-FC81-4737-A69E-58C3D88A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7045"/>
    <w:pPr>
      <w:ind w:left="720"/>
      <w:contextualSpacing/>
    </w:pPr>
  </w:style>
  <w:style w:type="paragraph" w:styleId="NormalWeb">
    <w:name w:val="Normal (Web)"/>
    <w:basedOn w:val="Normal"/>
    <w:uiPriority w:val="99"/>
    <w:unhideWhenUsed/>
    <w:rsid w:val="00742C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36F99"/>
  </w:style>
  <w:style w:type="character" w:styleId="Forte">
    <w:name w:val="Strong"/>
    <w:basedOn w:val="Fontepargpadro"/>
    <w:uiPriority w:val="22"/>
    <w:qFormat/>
    <w:rsid w:val="00E36F99"/>
    <w:rPr>
      <w:b/>
      <w:bCs/>
    </w:rPr>
  </w:style>
  <w:style w:type="paragraph" w:styleId="Cabealho">
    <w:name w:val="header"/>
    <w:basedOn w:val="Normal"/>
    <w:link w:val="CabealhoChar"/>
    <w:unhideWhenUsed/>
    <w:rsid w:val="00FD0D1D"/>
    <w:pPr>
      <w:tabs>
        <w:tab w:val="center" w:pos="4252"/>
        <w:tab w:val="right" w:pos="8504"/>
      </w:tabs>
      <w:spacing w:after="0" w:line="240" w:lineRule="auto"/>
    </w:pPr>
    <w:rPr>
      <w:rFonts w:ascii="Times New Roman" w:eastAsia="Times New Roman" w:hAnsi="Times New Roman" w:cs="Times New Roman"/>
      <w:sz w:val="20"/>
      <w:szCs w:val="24"/>
      <w:lang w:eastAsia="pt-BR"/>
    </w:rPr>
  </w:style>
  <w:style w:type="character" w:customStyle="1" w:styleId="CabealhoChar">
    <w:name w:val="Cabeçalho Char"/>
    <w:basedOn w:val="Fontepargpadro"/>
    <w:link w:val="Cabealho"/>
    <w:rsid w:val="00FD0D1D"/>
    <w:rPr>
      <w:rFonts w:ascii="Times New Roman" w:eastAsia="Times New Roman" w:hAnsi="Times New Roman" w:cs="Times New Roman"/>
      <w:sz w:val="20"/>
      <w:szCs w:val="24"/>
      <w:lang w:eastAsia="pt-BR"/>
    </w:rPr>
  </w:style>
  <w:style w:type="character" w:styleId="Hyperlink">
    <w:name w:val="Hyperlink"/>
    <w:basedOn w:val="Fontepargpadro"/>
    <w:uiPriority w:val="99"/>
    <w:unhideWhenUsed/>
    <w:rsid w:val="001D7304"/>
    <w:rPr>
      <w:color w:val="0000FF"/>
      <w:u w:val="single"/>
    </w:rPr>
  </w:style>
  <w:style w:type="paragraph" w:styleId="Rodap">
    <w:name w:val="footer"/>
    <w:basedOn w:val="Normal"/>
    <w:link w:val="RodapChar"/>
    <w:uiPriority w:val="99"/>
    <w:semiHidden/>
    <w:unhideWhenUsed/>
    <w:rsid w:val="001D4B6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D4B62"/>
  </w:style>
  <w:style w:type="paragraph" w:styleId="Textodenotaderodap">
    <w:name w:val="footnote text"/>
    <w:basedOn w:val="Normal"/>
    <w:link w:val="TextodenotaderodapChar"/>
    <w:uiPriority w:val="99"/>
    <w:semiHidden/>
    <w:unhideWhenUsed/>
    <w:rsid w:val="006002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0250"/>
    <w:rPr>
      <w:sz w:val="20"/>
      <w:szCs w:val="20"/>
    </w:rPr>
  </w:style>
  <w:style w:type="character" w:styleId="Refdenotaderodap">
    <w:name w:val="footnote reference"/>
    <w:basedOn w:val="Fontepargpadro"/>
    <w:uiPriority w:val="99"/>
    <w:semiHidden/>
    <w:unhideWhenUsed/>
    <w:rsid w:val="00600250"/>
    <w:rPr>
      <w:vertAlign w:val="superscript"/>
    </w:rPr>
  </w:style>
  <w:style w:type="paragraph" w:customStyle="1" w:styleId="ecxmsonormal">
    <w:name w:val="ecxmsonormal"/>
    <w:basedOn w:val="Normal"/>
    <w:rsid w:val="006A0A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4B3725"/>
    <w:pPr>
      <w:autoSpaceDE w:val="0"/>
      <w:autoSpaceDN w:val="0"/>
      <w:adjustRightInd w:val="0"/>
      <w:spacing w:after="0" w:line="240" w:lineRule="auto"/>
    </w:pPr>
    <w:rPr>
      <w:rFonts w:ascii="Times New Roman" w:hAnsi="Times New Roman" w:cs="Times New Roman"/>
      <w:color w:val="000000"/>
      <w:sz w:val="24"/>
      <w:szCs w:val="24"/>
    </w:rPr>
  </w:style>
  <w:style w:type="character" w:styleId="HiperlinkVisitado">
    <w:name w:val="FollowedHyperlink"/>
    <w:basedOn w:val="Fontepargpadro"/>
    <w:uiPriority w:val="99"/>
    <w:semiHidden/>
    <w:unhideWhenUsed/>
    <w:rsid w:val="00F144D4"/>
    <w:rPr>
      <w:color w:val="800080" w:themeColor="followedHyperlink"/>
      <w:u w:val="single"/>
    </w:rPr>
  </w:style>
  <w:style w:type="paragraph" w:styleId="Textodebalo">
    <w:name w:val="Balloon Text"/>
    <w:basedOn w:val="Normal"/>
    <w:link w:val="TextodebaloChar"/>
    <w:uiPriority w:val="99"/>
    <w:semiHidden/>
    <w:unhideWhenUsed/>
    <w:rsid w:val="00BB23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2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1138">
      <w:bodyDiv w:val="1"/>
      <w:marLeft w:val="0"/>
      <w:marRight w:val="0"/>
      <w:marTop w:val="0"/>
      <w:marBottom w:val="0"/>
      <w:divBdr>
        <w:top w:val="none" w:sz="0" w:space="0" w:color="auto"/>
        <w:left w:val="none" w:sz="0" w:space="0" w:color="auto"/>
        <w:bottom w:val="none" w:sz="0" w:space="0" w:color="auto"/>
        <w:right w:val="none" w:sz="0" w:space="0" w:color="auto"/>
      </w:divBdr>
    </w:div>
    <w:div w:id="1035227232">
      <w:bodyDiv w:val="1"/>
      <w:marLeft w:val="0"/>
      <w:marRight w:val="0"/>
      <w:marTop w:val="0"/>
      <w:marBottom w:val="0"/>
      <w:divBdr>
        <w:top w:val="none" w:sz="0" w:space="0" w:color="auto"/>
        <w:left w:val="none" w:sz="0" w:space="0" w:color="auto"/>
        <w:bottom w:val="none" w:sz="0" w:space="0" w:color="auto"/>
        <w:right w:val="none" w:sz="0" w:space="0" w:color="auto"/>
      </w:divBdr>
    </w:div>
    <w:div w:id="1857577110">
      <w:bodyDiv w:val="1"/>
      <w:marLeft w:val="0"/>
      <w:marRight w:val="0"/>
      <w:marTop w:val="0"/>
      <w:marBottom w:val="0"/>
      <w:divBdr>
        <w:top w:val="none" w:sz="0" w:space="0" w:color="auto"/>
        <w:left w:val="none" w:sz="0" w:space="0" w:color="auto"/>
        <w:bottom w:val="none" w:sz="0" w:space="0" w:color="auto"/>
        <w:right w:val="none" w:sz="0" w:space="0" w:color="auto"/>
      </w:divBdr>
      <w:divsChild>
        <w:div w:id="1342732246">
          <w:blockQuote w:val="1"/>
          <w:marLeft w:val="0"/>
          <w:marRight w:val="0"/>
          <w:marTop w:val="0"/>
          <w:marBottom w:val="0"/>
          <w:divBdr>
            <w:top w:val="single" w:sz="6" w:space="8" w:color="CFDBE2"/>
            <w:left w:val="single" w:sz="6" w:space="8" w:color="CFDBE2"/>
            <w:bottom w:val="single" w:sz="6" w:space="8" w:color="CFDBE2"/>
            <w:right w:val="single" w:sz="6" w:space="8" w:color="CFDBE2"/>
          </w:divBdr>
        </w:div>
      </w:divsChild>
    </w:div>
    <w:div w:id="19609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stf.jus.br/paginadorpub/paginador%20.jsp?docTP=AC&amp;docID=5504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podivm.com.br/i/a/%7B39050F8B-D6BC-4870-8ABF-FEB4DCA94866%7D%20_1.pdf" TargetMode="External"/><Relationship Id="rId5" Type="http://schemas.openxmlformats.org/officeDocument/2006/relationships/webSettings" Target="webSettings.xml"/><Relationship Id="rId10" Type="http://schemas.openxmlformats.org/officeDocument/2006/relationships/hyperlink" Target="http://www3.pucrs.br/pucrs/files/uni/poa/direito/graduacao/tcc/tcc2/trabalhos2007_2/Filipe_Menegon.pdf" TargetMode="External"/><Relationship Id="rId4" Type="http://schemas.openxmlformats.org/officeDocument/2006/relationships/settings" Target="settings.xml"/><Relationship Id="rId9" Type="http://schemas.openxmlformats.org/officeDocument/2006/relationships/hyperlink" Target="http://jurisprudencia.s3.amazonaws.com/STJ/IT/RESP_564960_SC_02.06.2005.pdf?Signature=FkUKfRUonM%2B2D4AwN81zKXKK8lQ%3D&amp;Expires=1379080582&amp;AWSAccessKeyId=AKIAIPM2XEMZACAXCMBA&amp;response-content-type=applicat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4F5C-49B5-451B-8E58-50670949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8</Pages>
  <Words>2822</Words>
  <Characters>15242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 Office 2007</Company>
  <LinksUpToDate>false</LinksUpToDate>
  <CharactersWithSpaces>18028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Raquel Brandão Silva</dc:creator>
  <cp:lastModifiedBy>Muniz Neto .</cp:lastModifiedBy>
  <cp:revision>287</cp:revision>
  <cp:lastPrinted>2013-09-13T18:34:00Z</cp:lastPrinted>
  <dcterms:created xsi:type="dcterms:W3CDTF">2013-04-20T21:10:00Z</dcterms:created>
  <dcterms:modified xsi:type="dcterms:W3CDTF">2015-11-24T14:25:00Z</dcterms:modified>
</cp:coreProperties>
</file>