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93" w:rsidRDefault="002E3393" w:rsidP="0062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ESTUDO DE CASO</w:t>
      </w:r>
    </w:p>
    <w:p w:rsidR="002E3393" w:rsidRDefault="002E3393" w:rsidP="0062574B">
      <w:pPr>
        <w:spacing w:after="0" w:line="240" w:lineRule="auto"/>
        <w:jc w:val="center"/>
        <w:rPr>
          <w:b/>
          <w:sz w:val="24"/>
        </w:rPr>
      </w:pPr>
    </w:p>
    <w:p w:rsidR="00957800" w:rsidRDefault="0062574B" w:rsidP="0062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EXECUÇÃO POR QUANTIA CERTA </w:t>
      </w:r>
      <w:r w:rsidR="005062FD">
        <w:rPr>
          <w:rFonts w:ascii="Times New Roman" w:hAnsi="Times New Roman" w:cs="Times New Roman"/>
          <w:sz w:val="28"/>
          <w:szCs w:val="28"/>
        </w:rPr>
        <w:t>CONTRA PESSOA JURÍDICA DISSOLVIDA DE FORMA IRREGULAR</w:t>
      </w:r>
      <w:bookmarkEnd w:id="0"/>
      <w:r w:rsidR="00957800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957800" w:rsidRDefault="00957800" w:rsidP="00957800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957800" w:rsidRDefault="0062574B" w:rsidP="00957800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Muniz Neto</w:t>
      </w:r>
      <w:r w:rsidR="0095780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57800" w:rsidRDefault="00957800" w:rsidP="00957800">
      <w:pPr>
        <w:spacing w:after="0" w:line="240" w:lineRule="auto"/>
        <w:ind w:left="282"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957800" w:rsidRDefault="00957800" w:rsidP="002D5958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7800" w:rsidRDefault="00957800" w:rsidP="002D5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800" w:rsidRDefault="00957800" w:rsidP="00957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DESCRIÇÃO DO CASO</w:t>
      </w:r>
    </w:p>
    <w:p w:rsidR="00957800" w:rsidRDefault="00957800" w:rsidP="0095780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55940" w:rsidRDefault="004B71DD" w:rsidP="0095780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Zaqueu </w:t>
      </w:r>
      <w:proofErr w:type="spellStart"/>
      <w:r>
        <w:rPr>
          <w:rFonts w:ascii="Times New Roman" w:hAnsi="Times New Roman" w:cs="Times New Roman"/>
          <w:sz w:val="24"/>
        </w:rPr>
        <w:t>Togma</w:t>
      </w:r>
      <w:proofErr w:type="spellEnd"/>
      <w:r>
        <w:rPr>
          <w:rFonts w:ascii="Times New Roman" w:hAnsi="Times New Roman" w:cs="Times New Roman"/>
          <w:sz w:val="24"/>
        </w:rPr>
        <w:t xml:space="preserve"> postulou em juízo o cumprimento de obrigação prevista em título extrajudicial</w:t>
      </w:r>
      <w:r w:rsidR="001B1762">
        <w:rPr>
          <w:rFonts w:ascii="Times New Roman" w:hAnsi="Times New Roman" w:cs="Times New Roman"/>
          <w:sz w:val="24"/>
        </w:rPr>
        <w:t xml:space="preserve">, para o recebimento de R$ 500.000,00 (quinhentos mil reais) materializado através de cheque emitido pela </w:t>
      </w:r>
      <w:proofErr w:type="spellStart"/>
      <w:r w:rsidR="001B1762">
        <w:rPr>
          <w:rFonts w:ascii="Times New Roman" w:hAnsi="Times New Roman" w:cs="Times New Roman"/>
          <w:sz w:val="24"/>
        </w:rPr>
        <w:t>Naftali</w:t>
      </w:r>
      <w:proofErr w:type="spellEnd"/>
      <w:r w:rsidR="001B1762">
        <w:rPr>
          <w:rFonts w:ascii="Times New Roman" w:hAnsi="Times New Roman" w:cs="Times New Roman"/>
          <w:sz w:val="24"/>
        </w:rPr>
        <w:t xml:space="preserve"> Investimentos LTDA</w:t>
      </w:r>
      <w:r w:rsidR="0048450B">
        <w:rPr>
          <w:rFonts w:ascii="Times New Roman" w:hAnsi="Times New Roman" w:cs="Times New Roman"/>
          <w:sz w:val="24"/>
        </w:rPr>
        <w:t>.</w:t>
      </w:r>
      <w:r w:rsidR="00E42245">
        <w:rPr>
          <w:rFonts w:ascii="Times New Roman" w:hAnsi="Times New Roman" w:cs="Times New Roman"/>
          <w:sz w:val="24"/>
        </w:rPr>
        <w:t xml:space="preserve"> Distribuída a ação executiva o magistrado determinou a citação da pessoa jurídica, contudo o ato não foi realizado devido à não localização da executada</w:t>
      </w:r>
      <w:r w:rsidR="00C33B86">
        <w:rPr>
          <w:rFonts w:ascii="Times New Roman" w:hAnsi="Times New Roman" w:cs="Times New Roman"/>
          <w:sz w:val="24"/>
        </w:rPr>
        <w:t xml:space="preserve"> no endereço indicado na petição inicial, conforme constou na certidão emitida pelo oficial de justiça.</w:t>
      </w:r>
    </w:p>
    <w:p w:rsidR="003024D0" w:rsidRDefault="006E1B1F" w:rsidP="0095780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Diante de tal informação, o exequente peticionou ao juízo requerendo a desconsideração da personalidade jurídica da executada, com fundamento no art. 50 do Código Civil, sob alegação de que ocorrera dissolução i</w:t>
      </w:r>
      <w:r w:rsidR="00C435D0">
        <w:rPr>
          <w:rFonts w:ascii="Times New Roman" w:hAnsi="Times New Roman" w:cs="Times New Roman"/>
          <w:sz w:val="24"/>
        </w:rPr>
        <w:t>rregular da sociedade demandada, e consequente inclusão dos sócios no polo passivo da execução civil</w:t>
      </w:r>
      <w:r w:rsidR="0024723A">
        <w:rPr>
          <w:rFonts w:ascii="Times New Roman" w:hAnsi="Times New Roman" w:cs="Times New Roman"/>
          <w:sz w:val="24"/>
        </w:rPr>
        <w:t xml:space="preserve">, tanto </w:t>
      </w:r>
      <w:proofErr w:type="gramStart"/>
      <w:r w:rsidR="0024723A">
        <w:rPr>
          <w:rFonts w:ascii="Times New Roman" w:hAnsi="Times New Roman" w:cs="Times New Roman"/>
          <w:sz w:val="24"/>
        </w:rPr>
        <w:t>os</w:t>
      </w:r>
      <w:proofErr w:type="gramEnd"/>
      <w:r w:rsidR="0024723A">
        <w:rPr>
          <w:rFonts w:ascii="Times New Roman" w:hAnsi="Times New Roman" w:cs="Times New Roman"/>
          <w:sz w:val="24"/>
        </w:rPr>
        <w:t xml:space="preserve"> atuais quanto os existentes à época da emissão do título executivo.</w:t>
      </w:r>
      <w:r w:rsidR="00B333C9">
        <w:rPr>
          <w:rFonts w:ascii="Times New Roman" w:hAnsi="Times New Roman" w:cs="Times New Roman"/>
          <w:sz w:val="24"/>
        </w:rPr>
        <w:t xml:space="preserve"> </w:t>
      </w:r>
      <w:r w:rsidR="003024D0">
        <w:rPr>
          <w:rFonts w:ascii="Times New Roman" w:hAnsi="Times New Roman" w:cs="Times New Roman"/>
          <w:sz w:val="24"/>
        </w:rPr>
        <w:t xml:space="preserve">O juiz analisou e acolheu o pedido de Zaqueu, </w:t>
      </w:r>
      <w:r w:rsidR="008C06BE">
        <w:rPr>
          <w:rFonts w:ascii="Times New Roman" w:hAnsi="Times New Roman" w:cs="Times New Roman"/>
          <w:sz w:val="24"/>
        </w:rPr>
        <w:t>sob o fundamento do que preceituam os arts. 1.003</w:t>
      </w:r>
      <w:r w:rsidR="00A125DA">
        <w:rPr>
          <w:rFonts w:ascii="Times New Roman" w:hAnsi="Times New Roman" w:cs="Times New Roman"/>
          <w:sz w:val="24"/>
        </w:rPr>
        <w:t>, parágrafo único,</w:t>
      </w:r>
      <w:r w:rsidR="008C06BE">
        <w:rPr>
          <w:rFonts w:ascii="Times New Roman" w:hAnsi="Times New Roman" w:cs="Times New Roman"/>
          <w:sz w:val="24"/>
        </w:rPr>
        <w:t xml:space="preserve"> e 1.032 do Código Civil, </w:t>
      </w:r>
      <w:r w:rsidR="003024D0">
        <w:rPr>
          <w:rFonts w:ascii="Times New Roman" w:hAnsi="Times New Roman" w:cs="Times New Roman"/>
          <w:sz w:val="24"/>
        </w:rPr>
        <w:t>determinando de imediato a penhora dos valores constantes nas contas privadas dos novos réus, através do sistema Bacen-jud.</w:t>
      </w:r>
    </w:p>
    <w:p w:rsidR="002D0220" w:rsidRDefault="002D0220" w:rsidP="0095780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Ocorre que o mencionado bloqueio atingiu os bens do Sr. Levi </w:t>
      </w:r>
      <w:proofErr w:type="spellStart"/>
      <w:r>
        <w:rPr>
          <w:rFonts w:ascii="Times New Roman" w:hAnsi="Times New Roman" w:cs="Times New Roman"/>
          <w:sz w:val="24"/>
        </w:rPr>
        <w:t>Metusael</w:t>
      </w:r>
      <w:proofErr w:type="spellEnd"/>
      <w:r>
        <w:rPr>
          <w:rFonts w:ascii="Times New Roman" w:hAnsi="Times New Roman" w:cs="Times New Roman"/>
          <w:sz w:val="24"/>
        </w:rPr>
        <w:t>, no montante de R$ 30.000,00 (trinta mil reais)</w:t>
      </w:r>
      <w:r w:rsidR="00817B33">
        <w:rPr>
          <w:rFonts w:ascii="Times New Roman" w:hAnsi="Times New Roman" w:cs="Times New Roman"/>
          <w:sz w:val="24"/>
        </w:rPr>
        <w:t xml:space="preserve"> de sua poupança</w:t>
      </w:r>
      <w:r>
        <w:rPr>
          <w:rFonts w:ascii="Times New Roman" w:hAnsi="Times New Roman" w:cs="Times New Roman"/>
          <w:sz w:val="24"/>
        </w:rPr>
        <w:t>,</w:t>
      </w:r>
      <w:r w:rsidR="00817B33">
        <w:rPr>
          <w:rFonts w:ascii="Times New Roman" w:hAnsi="Times New Roman" w:cs="Times New Roman"/>
          <w:sz w:val="24"/>
        </w:rPr>
        <w:t xml:space="preserve"> R$ 20.000,00 de sua previdência privada (VGBL)</w:t>
      </w:r>
      <w:r w:rsidR="00CB5C73">
        <w:rPr>
          <w:rFonts w:ascii="Times New Roman" w:hAnsi="Times New Roman" w:cs="Times New Roman"/>
          <w:sz w:val="24"/>
        </w:rPr>
        <w:t xml:space="preserve"> e R$ 2.000,00 (dois mil) de sua conta corrente.</w:t>
      </w:r>
    </w:p>
    <w:p w:rsidR="00957800" w:rsidRDefault="00957800" w:rsidP="002D5958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7800" w:rsidRDefault="00957800" w:rsidP="00957800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 IDENTIFICAÇÃO E ANÁLISE DO CASO</w:t>
      </w:r>
    </w:p>
    <w:p w:rsidR="00957800" w:rsidRDefault="00957800" w:rsidP="0095780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57800" w:rsidRDefault="0037501D" w:rsidP="0095780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Descrição da</w:t>
      </w:r>
      <w:r w:rsidR="00957800">
        <w:rPr>
          <w:rFonts w:ascii="Times New Roman" w:hAnsi="Times New Roman" w:cs="Times New Roman"/>
          <w:b/>
          <w:sz w:val="24"/>
          <w:szCs w:val="24"/>
        </w:rPr>
        <w:t xml:space="preserve"> Decis</w:t>
      </w:r>
      <w:r>
        <w:rPr>
          <w:rFonts w:ascii="Times New Roman" w:hAnsi="Times New Roman" w:cs="Times New Roman"/>
          <w:b/>
          <w:sz w:val="24"/>
          <w:szCs w:val="24"/>
        </w:rPr>
        <w:t>ão</w:t>
      </w:r>
      <w:r w:rsidR="00957800">
        <w:rPr>
          <w:rFonts w:ascii="Times New Roman" w:hAnsi="Times New Roman" w:cs="Times New Roman"/>
          <w:b/>
          <w:sz w:val="24"/>
          <w:szCs w:val="24"/>
        </w:rPr>
        <w:t xml:space="preserve"> Possíve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957800">
        <w:rPr>
          <w:rFonts w:ascii="Times New Roman" w:hAnsi="Times New Roman" w:cs="Times New Roman"/>
          <w:b/>
          <w:sz w:val="24"/>
          <w:szCs w:val="24"/>
        </w:rPr>
        <w:t>:</w:t>
      </w:r>
    </w:p>
    <w:p w:rsidR="00726660" w:rsidRDefault="00726660" w:rsidP="0095780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587AF5" w:rsidRDefault="00587AF5" w:rsidP="00726660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Extinção do processo sem resolução de mérito.</w:t>
      </w:r>
    </w:p>
    <w:p w:rsidR="00D807E1" w:rsidRDefault="00D807E1" w:rsidP="00D807E1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7800" w:rsidRDefault="00957800" w:rsidP="0095780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Argumentos Capazes de Fundamentar a Decisão:</w:t>
      </w:r>
    </w:p>
    <w:p w:rsidR="00957800" w:rsidRDefault="00957800" w:rsidP="0095780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57A9C" w:rsidRDefault="00601E2B" w:rsidP="006C53A0">
      <w:pPr>
        <w:pStyle w:val="SemEspaamento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1F273B">
        <w:rPr>
          <w:rFonts w:ascii="Times New Roman" w:hAnsi="Times New Roman" w:cs="Times New Roman"/>
          <w:sz w:val="24"/>
          <w:szCs w:val="24"/>
        </w:rPr>
        <w:t xml:space="preserve">Do </w:t>
      </w:r>
      <w:r w:rsidR="00D9136E">
        <w:rPr>
          <w:rFonts w:ascii="Times New Roman" w:hAnsi="Times New Roman" w:cs="Times New Roman"/>
          <w:sz w:val="24"/>
          <w:szCs w:val="24"/>
        </w:rPr>
        <w:t>t</w:t>
      </w:r>
      <w:r w:rsidR="001F273B">
        <w:rPr>
          <w:rFonts w:ascii="Times New Roman" w:hAnsi="Times New Roman" w:cs="Times New Roman"/>
          <w:sz w:val="24"/>
          <w:szCs w:val="24"/>
        </w:rPr>
        <w:t xml:space="preserve">ítulo </w:t>
      </w:r>
      <w:r w:rsidR="00D9136E">
        <w:rPr>
          <w:rFonts w:ascii="Times New Roman" w:hAnsi="Times New Roman" w:cs="Times New Roman"/>
          <w:sz w:val="24"/>
          <w:szCs w:val="24"/>
        </w:rPr>
        <w:t>e</w:t>
      </w:r>
      <w:r w:rsidR="001F273B">
        <w:rPr>
          <w:rFonts w:ascii="Times New Roman" w:hAnsi="Times New Roman" w:cs="Times New Roman"/>
          <w:sz w:val="24"/>
          <w:szCs w:val="24"/>
        </w:rPr>
        <w:t xml:space="preserve">xecutivo </w:t>
      </w:r>
      <w:r w:rsidR="00D9136E">
        <w:rPr>
          <w:rFonts w:ascii="Times New Roman" w:hAnsi="Times New Roman" w:cs="Times New Roman"/>
          <w:sz w:val="24"/>
          <w:szCs w:val="24"/>
        </w:rPr>
        <w:t>e</w:t>
      </w:r>
      <w:r w:rsidR="001F273B">
        <w:rPr>
          <w:rFonts w:ascii="Times New Roman" w:hAnsi="Times New Roman" w:cs="Times New Roman"/>
          <w:sz w:val="24"/>
          <w:szCs w:val="24"/>
        </w:rPr>
        <w:t>xtrajudicial</w:t>
      </w:r>
      <w:r w:rsidR="00D9136E">
        <w:rPr>
          <w:rFonts w:ascii="Times New Roman" w:hAnsi="Times New Roman" w:cs="Times New Roman"/>
          <w:sz w:val="24"/>
          <w:szCs w:val="24"/>
        </w:rPr>
        <w:t>:</w:t>
      </w:r>
    </w:p>
    <w:p w:rsidR="006C53A0" w:rsidRDefault="006C53A0" w:rsidP="006C53A0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cheque ora analisado se enquadra entre os títulos executivos extrajudiciais presentes no art. 585 do Código de Processo Civil, especificamente no seu inciso I.</w:t>
      </w:r>
      <w:r w:rsidR="00F524AE">
        <w:rPr>
          <w:rFonts w:ascii="Times New Roman" w:hAnsi="Times New Roman" w:cs="Times New Roman"/>
          <w:sz w:val="24"/>
          <w:szCs w:val="24"/>
        </w:rPr>
        <w:t xml:space="preserve"> Determina o art. 586 do CPC que a execução de pecúnia deve se fundar em t</w:t>
      </w:r>
      <w:r w:rsidR="009E1CB2">
        <w:rPr>
          <w:rFonts w:ascii="Times New Roman" w:hAnsi="Times New Roman" w:cs="Times New Roman"/>
          <w:sz w:val="24"/>
          <w:szCs w:val="24"/>
        </w:rPr>
        <w:t>ítulo certo, líquido e exigível.</w:t>
      </w:r>
    </w:p>
    <w:p w:rsidR="009704DB" w:rsidRDefault="00B30CCD" w:rsidP="00B30CCD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 executividade do</w:t>
      </w:r>
      <w:r w:rsidR="009704DB">
        <w:rPr>
          <w:rFonts w:ascii="Times New Roman" w:hAnsi="Times New Roman" w:cs="Times New Roman"/>
          <w:sz w:val="24"/>
          <w:szCs w:val="24"/>
        </w:rPr>
        <w:t xml:space="preserve"> cheque, </w:t>
      </w:r>
      <w:r>
        <w:rPr>
          <w:rFonts w:ascii="Times New Roman" w:hAnsi="Times New Roman" w:cs="Times New Roman"/>
          <w:sz w:val="24"/>
          <w:szCs w:val="24"/>
        </w:rPr>
        <w:t>aponta Didier (201</w:t>
      </w:r>
      <w:r w:rsidR="00952D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p.177):</w:t>
      </w:r>
    </w:p>
    <w:p w:rsidR="000639B0" w:rsidRPr="003B6465" w:rsidRDefault="005310A0" w:rsidP="000639B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>[...]</w:t>
      </w:r>
      <w:r w:rsidR="000639B0"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título de crédito é dotado de características muito peculiares. Em primeiro lugar, é ele essencialmente voltado para a tutela executiva. A emissão de título de crédito j á permite que, a paI1ir da exigibilidade, possa ser instaurado processo de execução.</w:t>
      </w:r>
    </w:p>
    <w:p w:rsidR="006C53A0" w:rsidRPr="003B6465" w:rsidRDefault="000639B0" w:rsidP="005310A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>Ademais, o título de crédito contém a característica da literalidade, de sorte que somente se pode considerar o que esteja nele contido expressamente. Os requisitos legais</w:t>
      </w:r>
      <w:r w:rsidR="005310A0"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>para a emissão do título devem estar nele expressos, devendo igualmente estar inequivocamente</w:t>
      </w:r>
      <w:r w:rsidR="005310A0"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indicados o valor, o devedor e todos os elementos </w:t>
      </w:r>
      <w:r w:rsidR="005310A0"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>fundamentais</w:t>
      </w:r>
      <w:r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para a propositura</w:t>
      </w:r>
      <w:r w:rsidR="005310A0"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B6465">
        <w:rPr>
          <w:rFonts w:ascii="Times New Roman" w:hAnsi="Times New Roman" w:cs="Times New Roman"/>
          <w:color w:val="000000" w:themeColor="text1"/>
          <w:sz w:val="20"/>
          <w:szCs w:val="20"/>
        </w:rPr>
        <w:t>de uma demanda executiva.</w:t>
      </w:r>
    </w:p>
    <w:p w:rsidR="008D0E39" w:rsidRPr="000639B0" w:rsidRDefault="008D0E39" w:rsidP="005310A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C53A0" w:rsidRDefault="008D0E39" w:rsidP="006C53A0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o cheque, para que fundamente a ação executiva, </w:t>
      </w:r>
      <w:r w:rsidR="003B6465">
        <w:rPr>
          <w:rFonts w:ascii="Times New Roman" w:hAnsi="Times New Roman" w:cs="Times New Roman"/>
          <w:sz w:val="24"/>
          <w:szCs w:val="24"/>
        </w:rPr>
        <w:t>deve ser apresentado inicialmente à instituição financeira</w:t>
      </w:r>
      <w:r w:rsidR="000B221D">
        <w:rPr>
          <w:rFonts w:ascii="Times New Roman" w:hAnsi="Times New Roman" w:cs="Times New Roman"/>
          <w:sz w:val="24"/>
          <w:szCs w:val="24"/>
        </w:rPr>
        <w:t xml:space="preserve"> e, somente em caso </w:t>
      </w:r>
      <w:r w:rsidR="00301DD1">
        <w:rPr>
          <w:rFonts w:ascii="Times New Roman" w:hAnsi="Times New Roman" w:cs="Times New Roman"/>
          <w:sz w:val="24"/>
          <w:szCs w:val="24"/>
        </w:rPr>
        <w:t>de recusa ao pagamento</w:t>
      </w:r>
      <w:r w:rsidR="000B221D">
        <w:rPr>
          <w:rFonts w:ascii="Times New Roman" w:hAnsi="Times New Roman" w:cs="Times New Roman"/>
          <w:sz w:val="24"/>
          <w:szCs w:val="24"/>
        </w:rPr>
        <w:t>, será justificada a execução</w:t>
      </w:r>
      <w:r w:rsidR="0095344F">
        <w:rPr>
          <w:rFonts w:ascii="Times New Roman" w:hAnsi="Times New Roman" w:cs="Times New Roman"/>
          <w:sz w:val="24"/>
          <w:szCs w:val="24"/>
        </w:rPr>
        <w:t xml:space="preserve"> (DIDIER, 2013</w:t>
      </w:r>
      <w:r w:rsidR="00640E9E">
        <w:rPr>
          <w:rFonts w:ascii="Times New Roman" w:hAnsi="Times New Roman" w:cs="Times New Roman"/>
          <w:sz w:val="24"/>
          <w:szCs w:val="24"/>
        </w:rPr>
        <w:t>, p.183).</w:t>
      </w:r>
    </w:p>
    <w:p w:rsidR="00F7661A" w:rsidRDefault="00F7661A" w:rsidP="00F7661A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9136E" w:rsidRDefault="00D9136E" w:rsidP="006C53A0">
      <w:pPr>
        <w:pStyle w:val="SemEspaamento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Da ofensa ao devido processo legal:</w:t>
      </w:r>
    </w:p>
    <w:p w:rsidR="00166900" w:rsidRDefault="00C94582" w:rsidP="00C074F4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 </w:t>
      </w:r>
      <w:r w:rsidR="00C074F4">
        <w:rPr>
          <w:rFonts w:ascii="Times New Roman" w:hAnsi="Times New Roman" w:cs="Times New Roman"/>
          <w:sz w:val="24"/>
          <w:szCs w:val="24"/>
        </w:rPr>
        <w:t>devido processo legal, urge ressaltar o que dispõe o art. 5º, LIV, da Constituição Federal, segundo o qual “</w:t>
      </w:r>
      <w:r w:rsidR="00C074F4" w:rsidRPr="00C074F4">
        <w:rPr>
          <w:rFonts w:ascii="Times New Roman" w:hAnsi="Times New Roman" w:cs="Times New Roman"/>
          <w:sz w:val="24"/>
          <w:szCs w:val="24"/>
        </w:rPr>
        <w:t>ninguém será privado de sua liberdade ou bens sem a observância de um processo previsto em lei</w:t>
      </w:r>
      <w:r w:rsidR="00C074F4">
        <w:rPr>
          <w:rFonts w:ascii="Times New Roman" w:hAnsi="Times New Roman" w:cs="Times New Roman"/>
          <w:sz w:val="24"/>
          <w:szCs w:val="24"/>
        </w:rPr>
        <w:t>”.</w:t>
      </w:r>
      <w:r w:rsidR="00AF4808">
        <w:rPr>
          <w:rFonts w:ascii="Times New Roman" w:hAnsi="Times New Roman" w:cs="Times New Roman"/>
          <w:sz w:val="24"/>
          <w:szCs w:val="24"/>
        </w:rPr>
        <w:t xml:space="preserve"> No presente caso se verifica que o magistrado, ante a in</w:t>
      </w:r>
      <w:r w:rsidR="00B81553">
        <w:rPr>
          <w:rFonts w:ascii="Times New Roman" w:hAnsi="Times New Roman" w:cs="Times New Roman"/>
          <w:sz w:val="24"/>
          <w:szCs w:val="24"/>
        </w:rPr>
        <w:t>ocorr</w:t>
      </w:r>
      <w:r w:rsidR="00AF4808">
        <w:rPr>
          <w:rFonts w:ascii="Times New Roman" w:hAnsi="Times New Roman" w:cs="Times New Roman"/>
          <w:sz w:val="24"/>
          <w:szCs w:val="24"/>
        </w:rPr>
        <w:t>ência de citação</w:t>
      </w:r>
      <w:r w:rsidR="00B81553">
        <w:rPr>
          <w:rFonts w:ascii="Times New Roman" w:hAnsi="Times New Roman" w:cs="Times New Roman"/>
          <w:sz w:val="24"/>
          <w:szCs w:val="24"/>
        </w:rPr>
        <w:t xml:space="preserve">, determinou de imediato a desconsideração da personalidade jurídica da </w:t>
      </w:r>
      <w:proofErr w:type="spellStart"/>
      <w:r w:rsidR="00B81553">
        <w:rPr>
          <w:rFonts w:ascii="Times New Roman" w:hAnsi="Times New Roman" w:cs="Times New Roman"/>
          <w:sz w:val="24"/>
          <w:szCs w:val="24"/>
        </w:rPr>
        <w:t>Naftali</w:t>
      </w:r>
      <w:proofErr w:type="spellEnd"/>
      <w:r w:rsidR="00B81553">
        <w:rPr>
          <w:rFonts w:ascii="Times New Roman" w:hAnsi="Times New Roman" w:cs="Times New Roman"/>
          <w:sz w:val="24"/>
          <w:szCs w:val="24"/>
        </w:rPr>
        <w:t xml:space="preserve"> Investimentos LTDA, sem, contudo, esgotar</w:t>
      </w:r>
      <w:r w:rsidR="003520D6">
        <w:rPr>
          <w:rFonts w:ascii="Times New Roman" w:hAnsi="Times New Roman" w:cs="Times New Roman"/>
          <w:sz w:val="24"/>
          <w:szCs w:val="24"/>
        </w:rPr>
        <w:t xml:space="preserve"> as tentativas de citação desta através de outros meios, como citação ficta ou editalícia</w:t>
      </w:r>
      <w:r w:rsidR="00380C3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3520D6">
        <w:rPr>
          <w:rFonts w:ascii="Times New Roman" w:hAnsi="Times New Roman" w:cs="Times New Roman"/>
          <w:sz w:val="24"/>
          <w:szCs w:val="24"/>
        </w:rPr>
        <w:t>.</w:t>
      </w:r>
    </w:p>
    <w:p w:rsidR="00166900" w:rsidRDefault="00166900" w:rsidP="00C074F4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mais a mais, é papel do autor indicar o endereço do réu para que seja efetuada a citação, sob pena de extinção do processo sem resolução de mérito, de acordo com o</w:t>
      </w:r>
      <w:r w:rsidR="00AE0E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art</w:t>
      </w:r>
      <w:r w:rsidR="00AE0E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0E7E">
        <w:rPr>
          <w:rFonts w:ascii="Times New Roman" w:hAnsi="Times New Roman" w:cs="Times New Roman"/>
          <w:sz w:val="24"/>
          <w:szCs w:val="24"/>
        </w:rPr>
        <w:t xml:space="preserve"> 282, II, e</w:t>
      </w:r>
      <w:r>
        <w:rPr>
          <w:rFonts w:ascii="Times New Roman" w:hAnsi="Times New Roman" w:cs="Times New Roman"/>
          <w:sz w:val="24"/>
          <w:szCs w:val="24"/>
        </w:rPr>
        <w:t xml:space="preserve"> 284 do CPC.</w:t>
      </w:r>
    </w:p>
    <w:p w:rsidR="006C53A0" w:rsidRDefault="006C53A0" w:rsidP="00896E5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9136E" w:rsidRDefault="00877AF2" w:rsidP="006C53A0">
      <w:pPr>
        <w:pStyle w:val="SemEspaamento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Da inaplicabilidade da desconsideração da personalidade jurídica:</w:t>
      </w:r>
    </w:p>
    <w:p w:rsidR="006C53A0" w:rsidRDefault="002426BB" w:rsidP="004B26E1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alteração do estabelecimento empresarial da pessoa jurídica não indica a dissolução irregular da sociedade, como apontado pelo exequente.</w:t>
      </w:r>
      <w:r w:rsidR="00175D26">
        <w:rPr>
          <w:rFonts w:ascii="Times New Roman" w:hAnsi="Times New Roman" w:cs="Times New Roman"/>
          <w:sz w:val="24"/>
          <w:szCs w:val="24"/>
        </w:rPr>
        <w:t xml:space="preserve"> </w:t>
      </w:r>
      <w:r w:rsidR="00AF24F7">
        <w:rPr>
          <w:rFonts w:ascii="Times New Roman" w:hAnsi="Times New Roman" w:cs="Times New Roman"/>
          <w:sz w:val="24"/>
          <w:szCs w:val="24"/>
        </w:rPr>
        <w:t>Este é o entendimento do STJ:</w:t>
      </w:r>
    </w:p>
    <w:p w:rsidR="00AF24F7" w:rsidRDefault="00AF24F7" w:rsidP="00AF24F7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F24F7" w:rsidRPr="00AF24F7" w:rsidRDefault="00AF24F7" w:rsidP="00AF24F7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F24F7">
        <w:rPr>
          <w:rFonts w:ascii="Times New Roman" w:hAnsi="Times New Roman" w:cs="Times New Roman"/>
          <w:sz w:val="20"/>
          <w:szCs w:val="20"/>
        </w:rPr>
        <w:t xml:space="preserve">AGRAVO REGIMENTAL EM AGRAVO EM RECURSO ESPECIAL. DESCONSIDERAÇÃO DA PERSONALIDADE JURÍDICA. ART. 50 DO CC/2002. TEORIA MAIOR. MUDANÇA DE ENDEREÇO DA EMPRESA. INSUFICIÊNCIA. AFERIÇÃO DA PRESENÇA DOS ELEMENTOS AUTORIZADORES DA TEORIA DA DISREGARD DOCTRINE. SÚMULA 7/STJ. AGRAVO REGIMENTAL NÃO PROVIDO. 1. A desconsideração da personalidade jurídica, à luz da teoria maior acolhida em nosso ordenamento jurídico e encartada no art. 50 do Código Civil de 2002, reclama a ocorrência de abuso da personificação jurídica em virtude de excesso de mandato, a demonstração do desvio de finalidade (ato intencional dos sócios em fraudar terceiros com o uso abusivo da personalidade jurídica) ou a demonstração de confusão patrimonial (caracterizada pela inexistência, no campo dos fatos, de separação patrimonial entre o patrimônio da pessoa jurídica e dos sócios ou, ainda, dos haveres de diversas pessoas jurídicas). 2. </w:t>
      </w:r>
      <w:r w:rsidRPr="00AF24F7">
        <w:rPr>
          <w:rFonts w:ascii="Times New Roman" w:hAnsi="Times New Roman" w:cs="Times New Roman"/>
          <w:b/>
          <w:sz w:val="20"/>
          <w:szCs w:val="20"/>
          <w:u w:val="single"/>
        </w:rPr>
        <w:t xml:space="preserve">A mudança de endereço da empresa executada não constitui motivo suficiente para a desconsideração da sua personalidade jurídica. Precedente. 3. A verificação da presença dos elementos autorizadores da </w:t>
      </w:r>
      <w:proofErr w:type="spellStart"/>
      <w:r w:rsidRPr="00AF24F7">
        <w:rPr>
          <w:rFonts w:ascii="Times New Roman" w:hAnsi="Times New Roman" w:cs="Times New Roman"/>
          <w:b/>
          <w:sz w:val="20"/>
          <w:szCs w:val="20"/>
          <w:u w:val="single"/>
        </w:rPr>
        <w:t>disregard</w:t>
      </w:r>
      <w:proofErr w:type="spellEnd"/>
      <w:r w:rsidRPr="00AF24F7">
        <w:rPr>
          <w:rFonts w:ascii="Times New Roman" w:hAnsi="Times New Roman" w:cs="Times New Roman"/>
          <w:b/>
          <w:sz w:val="20"/>
          <w:szCs w:val="20"/>
          <w:u w:val="single"/>
        </w:rPr>
        <w:t>, elencados no art. 50 do Código Civil de 2002, demandaria a reapreciação das provas carreadas aos autos</w:t>
      </w:r>
      <w:r w:rsidRPr="00AF24F7">
        <w:rPr>
          <w:rFonts w:ascii="Times New Roman" w:hAnsi="Times New Roman" w:cs="Times New Roman"/>
          <w:sz w:val="20"/>
          <w:szCs w:val="20"/>
        </w:rPr>
        <w:t xml:space="preserve">, providência que encontra óbice na Súmula 7/STJ. 4. Agravo regimental não provido. (STJ - </w:t>
      </w:r>
      <w:proofErr w:type="spellStart"/>
      <w:r w:rsidRPr="00AF24F7">
        <w:rPr>
          <w:rFonts w:ascii="Times New Roman" w:hAnsi="Times New Roman" w:cs="Times New Roman"/>
          <w:sz w:val="20"/>
          <w:szCs w:val="20"/>
        </w:rPr>
        <w:t>AgRg</w:t>
      </w:r>
      <w:proofErr w:type="spellEnd"/>
      <w:r w:rsidRPr="00AF24F7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AF24F7">
        <w:rPr>
          <w:rFonts w:ascii="Times New Roman" w:hAnsi="Times New Roman" w:cs="Times New Roman"/>
          <w:sz w:val="20"/>
          <w:szCs w:val="20"/>
        </w:rPr>
        <w:t>AREsp</w:t>
      </w:r>
      <w:proofErr w:type="spellEnd"/>
      <w:r w:rsidRPr="00AF24F7">
        <w:rPr>
          <w:rFonts w:ascii="Times New Roman" w:hAnsi="Times New Roman" w:cs="Times New Roman"/>
          <w:sz w:val="20"/>
          <w:szCs w:val="20"/>
        </w:rPr>
        <w:t xml:space="preserve">: 159889 SP 2012/0059910-4, Relator: Ministro LUIS FELIPE SALOMÃO, Data de Julgamento: 15/10/2013, T4 - QUARTA TURMA, Data de Publicação: </w:t>
      </w:r>
      <w:proofErr w:type="spellStart"/>
      <w:r w:rsidRPr="00AF24F7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Pr="00AF24F7">
        <w:rPr>
          <w:rFonts w:ascii="Times New Roman" w:hAnsi="Times New Roman" w:cs="Times New Roman"/>
          <w:sz w:val="20"/>
          <w:szCs w:val="20"/>
        </w:rPr>
        <w:t xml:space="preserve"> 18/10/2013)</w:t>
      </w:r>
    </w:p>
    <w:p w:rsidR="006C53A0" w:rsidRDefault="006C53A0" w:rsidP="006C53A0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AF2" w:rsidRDefault="00877AF2" w:rsidP="006C53A0">
      <w:pPr>
        <w:pStyle w:val="SemEspaamento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 cabimento de penhora aos bens de Levi:</w:t>
      </w:r>
    </w:p>
    <w:p w:rsidR="006C53A0" w:rsidRDefault="00995B27" w:rsidP="00DB7C72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penhora dos bens de Levi, enquanto ex-sócio, é legalmente c</w:t>
      </w:r>
      <w:r w:rsidR="00487DCF">
        <w:rPr>
          <w:rFonts w:ascii="Times New Roman" w:hAnsi="Times New Roman" w:cs="Times New Roman"/>
          <w:sz w:val="24"/>
          <w:szCs w:val="24"/>
        </w:rPr>
        <w:t>abível, conforme determinam sistematicamente os</w:t>
      </w:r>
      <w:r>
        <w:rPr>
          <w:rFonts w:ascii="Times New Roman" w:hAnsi="Times New Roman" w:cs="Times New Roman"/>
          <w:sz w:val="24"/>
          <w:szCs w:val="24"/>
        </w:rPr>
        <w:t xml:space="preserve"> art</w:t>
      </w:r>
      <w:r w:rsidR="00487DCF">
        <w:rPr>
          <w:rFonts w:ascii="Times New Roman" w:hAnsi="Times New Roman" w:cs="Times New Roman"/>
          <w:sz w:val="24"/>
          <w:szCs w:val="24"/>
        </w:rPr>
        <w:t>s 1.053 e 1.032 do Código Civil</w:t>
      </w:r>
      <w:r w:rsidR="009D3E31">
        <w:rPr>
          <w:rFonts w:ascii="Times New Roman" w:hAnsi="Times New Roman" w:cs="Times New Roman"/>
          <w:sz w:val="24"/>
          <w:szCs w:val="24"/>
        </w:rPr>
        <w:t>, no prazo de até 2 anos após averbada a resolução da sociedade, quanto às obrigações anteriores à sua saída, ou no mesmo prazo, a contar da saída do sócio, pelas obrigações posteriores enquanto não se efetuar a averbação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75C">
        <w:rPr>
          <w:rFonts w:ascii="Times New Roman" w:hAnsi="Times New Roman" w:cs="Times New Roman"/>
          <w:sz w:val="24"/>
          <w:szCs w:val="24"/>
        </w:rPr>
        <w:t xml:space="preserve"> Além disso, existe o benefício de ordem no qual os bens da sociedade devem ser atingidos primeiro do que os bens do sócios, determinado no art. 1.024 do CC.</w:t>
      </w:r>
    </w:p>
    <w:p w:rsidR="006465A8" w:rsidRDefault="006465A8" w:rsidP="00DB7C72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como demonstrado anteriormente, inexiste fundamento para a penhora dos bens do sócio retirante, uma vez que não há conduta que justifique a desconsideração da personalidade jurídica.</w:t>
      </w:r>
    </w:p>
    <w:p w:rsidR="006C53A0" w:rsidRDefault="006C53A0" w:rsidP="00207FE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AF2" w:rsidRDefault="00877AF2" w:rsidP="006C53A0">
      <w:pPr>
        <w:pStyle w:val="SemEspaamento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Da penhora ilegal:</w:t>
      </w:r>
    </w:p>
    <w:p w:rsidR="006C53A0" w:rsidRDefault="00591C90" w:rsidP="00591C90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no princípio da subsidiariedade, a penhora dos bens de Levi, caso fosse permitida, </w:t>
      </w:r>
      <w:r w:rsidR="008232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eria ilegalmente efetuada.</w:t>
      </w:r>
      <w:r w:rsidR="00027B8B">
        <w:rPr>
          <w:rFonts w:ascii="Times New Roman" w:hAnsi="Times New Roman" w:cs="Times New Roman"/>
          <w:sz w:val="24"/>
          <w:szCs w:val="24"/>
        </w:rPr>
        <w:t xml:space="preserve"> Isso porque o magistrado penhorou valores da conta poupança do ex-sócio, bem como há discussões quanto a possibilidade de penhora de valores referentes à fundo de previdência privada.</w:t>
      </w:r>
    </w:p>
    <w:p w:rsidR="00D23A2D" w:rsidRDefault="00D23A2D" w:rsidP="00591C90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 conta poupança, foi penhorado a quantia de R$ 30.000,00 de Levi, todavia o CPC, no seu art. 649, X, prevê a impenhorabilidade de valores depositados em tal modalidade de conta bancária, até o limite de 40 salários mínimos, os quais, atualmente, consistem no valor de R$ 31.520,00.</w:t>
      </w:r>
    </w:p>
    <w:p w:rsidR="00DC0153" w:rsidRDefault="00DC0153" w:rsidP="00591C90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em relação à previdência complementar, </w:t>
      </w:r>
      <w:r w:rsidR="00F76C89">
        <w:rPr>
          <w:rFonts w:ascii="Times New Roman" w:hAnsi="Times New Roman" w:cs="Times New Roman"/>
          <w:sz w:val="24"/>
          <w:szCs w:val="24"/>
        </w:rPr>
        <w:t>a jurisprudência</w:t>
      </w:r>
      <w:r w:rsidR="0068337D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F76C89">
        <w:rPr>
          <w:rFonts w:ascii="Times New Roman" w:hAnsi="Times New Roman" w:cs="Times New Roman"/>
          <w:sz w:val="24"/>
          <w:szCs w:val="24"/>
        </w:rPr>
        <w:t xml:space="preserve"> é cediça quanto a penhorabilidade dos valores de tais fundos, desde que não detenha caráter alimentar ao executado, o que deve ser analisado caso a caso.</w:t>
      </w:r>
      <w:r w:rsidR="0068337D">
        <w:rPr>
          <w:rFonts w:ascii="Times New Roman" w:hAnsi="Times New Roman" w:cs="Times New Roman"/>
          <w:sz w:val="24"/>
          <w:szCs w:val="24"/>
        </w:rPr>
        <w:t xml:space="preserve"> Portanto, antes de penhorar tais valores, deve ser feito juízo de necessidade sobre tais verbas ao demandado.</w:t>
      </w:r>
    </w:p>
    <w:p w:rsidR="00591C90" w:rsidRDefault="00591C90" w:rsidP="0037028B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E477B" w:rsidRDefault="009E477B" w:rsidP="006C53A0">
      <w:pPr>
        <w:pStyle w:val="SemEspaamento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Dos argumentos mencionados por Levi:</w:t>
      </w:r>
    </w:p>
    <w:p w:rsidR="006C53A0" w:rsidRDefault="002D5958" w:rsidP="00972C7D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 alega três fatos diversos: a) que não era administrador da sociedade, b) que era sócio minoritário e saiu da sociedade em novembro de 2014 e c) que desconhecia a dívida e a relação entre Je</w:t>
      </w:r>
      <w:r w:rsidR="001B280C">
        <w:rPr>
          <w:rFonts w:ascii="Times New Roman" w:hAnsi="Times New Roman" w:cs="Times New Roman"/>
          <w:sz w:val="24"/>
          <w:szCs w:val="24"/>
        </w:rPr>
        <w:t>tro e Zaqueu</w:t>
      </w:r>
      <w:r>
        <w:rPr>
          <w:rFonts w:ascii="Times New Roman" w:hAnsi="Times New Roman" w:cs="Times New Roman"/>
          <w:sz w:val="24"/>
          <w:szCs w:val="24"/>
        </w:rPr>
        <w:t xml:space="preserve"> estava sob investigação policial</w:t>
      </w:r>
      <w:r w:rsidR="00C41957">
        <w:rPr>
          <w:rFonts w:ascii="Times New Roman" w:hAnsi="Times New Roman" w:cs="Times New Roman"/>
          <w:sz w:val="24"/>
          <w:szCs w:val="24"/>
        </w:rPr>
        <w:t>.</w:t>
      </w:r>
    </w:p>
    <w:p w:rsidR="00C41957" w:rsidRDefault="00C41957" w:rsidP="00972C7D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 administração da sociedade</w:t>
      </w:r>
      <w:r w:rsidR="00270F4C">
        <w:rPr>
          <w:rFonts w:ascii="Times New Roman" w:hAnsi="Times New Roman" w:cs="Times New Roman"/>
          <w:sz w:val="24"/>
          <w:szCs w:val="24"/>
        </w:rPr>
        <w:t xml:space="preserve"> e sua saída desta</w:t>
      </w:r>
      <w:r>
        <w:rPr>
          <w:rFonts w:ascii="Times New Roman" w:hAnsi="Times New Roman" w:cs="Times New Roman"/>
          <w:sz w:val="24"/>
          <w:szCs w:val="24"/>
        </w:rPr>
        <w:t>, tal alegação não merece prosperar, haja vista que não retiraria a responsabilidade do ex-sócio em caso de desconsideração da personalidade jurídica, conforme já demonstrado.</w:t>
      </w:r>
    </w:p>
    <w:p w:rsidR="00C41957" w:rsidRDefault="00C41957" w:rsidP="00972C7D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</w:t>
      </w:r>
      <w:r w:rsidR="001B280C">
        <w:rPr>
          <w:rFonts w:ascii="Times New Roman" w:hAnsi="Times New Roman" w:cs="Times New Roman"/>
          <w:sz w:val="24"/>
          <w:szCs w:val="24"/>
        </w:rPr>
        <w:t xml:space="preserve"> ao desconhecimento da dívida e a investigação policial quanto à relação entre Jetro e Zaqueu, duas considerações:</w:t>
      </w:r>
      <w:r w:rsidR="0052175C">
        <w:rPr>
          <w:rFonts w:ascii="Times New Roman" w:hAnsi="Times New Roman" w:cs="Times New Roman"/>
          <w:sz w:val="24"/>
          <w:szCs w:val="24"/>
        </w:rPr>
        <w:t xml:space="preserve"> </w:t>
      </w:r>
      <w:r w:rsidR="00144E00">
        <w:rPr>
          <w:rFonts w:ascii="Times New Roman" w:hAnsi="Times New Roman" w:cs="Times New Roman"/>
          <w:sz w:val="24"/>
          <w:szCs w:val="24"/>
        </w:rPr>
        <w:t>o art. 25 da Lei 7.357/85 determina que “quem for demandado por obrigação resultante de cheque não pode opor ao portador exceções fundadas em relações pessoais com o emitente, ou com os portadores anteriores, salvo se o portador o adquiriu conscientemente em detrimento do devedor”</w:t>
      </w:r>
      <w:r w:rsidR="007C61B0">
        <w:rPr>
          <w:rFonts w:ascii="Times New Roman" w:hAnsi="Times New Roman" w:cs="Times New Roman"/>
          <w:sz w:val="24"/>
          <w:szCs w:val="24"/>
        </w:rPr>
        <w:t xml:space="preserve">, </w:t>
      </w:r>
      <w:r w:rsidR="007C61B0">
        <w:rPr>
          <w:rFonts w:ascii="Times New Roman" w:hAnsi="Times New Roman" w:cs="Times New Roman"/>
          <w:sz w:val="24"/>
          <w:szCs w:val="24"/>
        </w:rPr>
        <w:lastRenderedPageBreak/>
        <w:t>ressaltando a autonomia do título.</w:t>
      </w:r>
      <w:r w:rsidR="00137293">
        <w:rPr>
          <w:rFonts w:ascii="Times New Roman" w:hAnsi="Times New Roman" w:cs="Times New Roman"/>
          <w:sz w:val="24"/>
          <w:szCs w:val="24"/>
        </w:rPr>
        <w:t xml:space="preserve"> Já sobre a investigação policial, </w:t>
      </w:r>
      <w:r w:rsidR="008574A5">
        <w:rPr>
          <w:rFonts w:ascii="Times New Roman" w:hAnsi="Times New Roman" w:cs="Times New Roman"/>
          <w:sz w:val="24"/>
          <w:szCs w:val="24"/>
        </w:rPr>
        <w:t>esta configura mero procedimento administrativo para apuração de delitos, não importando em julgamento ou condenação das partes.</w:t>
      </w:r>
    </w:p>
    <w:p w:rsidR="009E477B" w:rsidRDefault="009E477B" w:rsidP="006C53A0">
      <w:pPr>
        <w:pStyle w:val="SemEspaamento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Fundamentos cabíveis à defesa de Levi:</w:t>
      </w:r>
    </w:p>
    <w:p w:rsidR="00957A9C" w:rsidRDefault="00AB080B" w:rsidP="0003671F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fundamentos alegáveis por Levi em sede de defesa podem ser: a inexistência de devido processo legal, pela inexistência de citação válida da sociedade e </w:t>
      </w:r>
      <w:r w:rsidR="00C74F82">
        <w:rPr>
          <w:rFonts w:ascii="Times New Roman" w:hAnsi="Times New Roman" w:cs="Times New Roman"/>
          <w:sz w:val="24"/>
          <w:szCs w:val="24"/>
        </w:rPr>
        <w:t>o não esgotamento das possibilidades de sua efetivação; a ilegalidade na desconsideração da personalidade jurídica, sob o fundamento já demonstrado; e mais, com base no princípio da eventualidade, a inaplicação do benefício de ordem previsto no art. 1.024 do CC e a penhora ilegal dos valores presentes na sua conta poupança, bem como dos valores aplicados na previdência privada (VGBL) sem se verificar, anteriormente, o caráter de tais verbas</w:t>
      </w:r>
      <w:r w:rsidR="000F41C3">
        <w:rPr>
          <w:rFonts w:ascii="Times New Roman" w:hAnsi="Times New Roman" w:cs="Times New Roman"/>
          <w:sz w:val="24"/>
          <w:szCs w:val="24"/>
        </w:rPr>
        <w:t>.</w:t>
      </w:r>
      <w:r w:rsidR="00A41185">
        <w:rPr>
          <w:rFonts w:ascii="Times New Roman" w:hAnsi="Times New Roman" w:cs="Times New Roman"/>
          <w:sz w:val="24"/>
          <w:szCs w:val="24"/>
        </w:rPr>
        <w:t xml:space="preserve"> Diante de tais juízos, a única decisão possível é a extinção do processo sem resolução de mérito, ante as nulidades visualizadas no processo executivo.</w:t>
      </w:r>
    </w:p>
    <w:p w:rsidR="000F41C3" w:rsidRDefault="000F41C3" w:rsidP="0003671F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Tais argumentos poderiam ser expostos através de embargos à execução ou exceção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>-executividade. Os embargos tem fundamento no</w:t>
      </w:r>
      <w:r w:rsidR="00A765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art</w:t>
      </w:r>
      <w:r w:rsidR="00A765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6578">
        <w:rPr>
          <w:rFonts w:ascii="Times New Roman" w:hAnsi="Times New Roman" w:cs="Times New Roman"/>
          <w:sz w:val="24"/>
          <w:szCs w:val="24"/>
        </w:rPr>
        <w:t xml:space="preserve"> 736 e</w:t>
      </w:r>
      <w:r>
        <w:rPr>
          <w:rFonts w:ascii="Times New Roman" w:hAnsi="Times New Roman" w:cs="Times New Roman"/>
          <w:sz w:val="24"/>
          <w:szCs w:val="24"/>
        </w:rPr>
        <w:t xml:space="preserve"> 745 do CPC</w:t>
      </w:r>
      <w:r w:rsidR="00640DEF">
        <w:rPr>
          <w:rFonts w:ascii="Times New Roman" w:hAnsi="Times New Roman" w:cs="Times New Roman"/>
          <w:sz w:val="24"/>
          <w:szCs w:val="24"/>
        </w:rPr>
        <w:t xml:space="preserve"> e são os meios legais para a defesa do executado</w:t>
      </w:r>
      <w:r w:rsidR="00467387">
        <w:rPr>
          <w:rFonts w:ascii="Times New Roman" w:hAnsi="Times New Roman" w:cs="Times New Roman"/>
          <w:sz w:val="24"/>
          <w:szCs w:val="24"/>
        </w:rPr>
        <w:t xml:space="preserve"> em execuções de títulos extrajudiciais</w:t>
      </w:r>
      <w:r w:rsidR="00640DEF">
        <w:rPr>
          <w:rFonts w:ascii="Times New Roman" w:hAnsi="Times New Roman" w:cs="Times New Roman"/>
          <w:sz w:val="24"/>
          <w:szCs w:val="24"/>
        </w:rPr>
        <w:t xml:space="preserve">, no qual, no prazo de 15 dias contados da </w:t>
      </w:r>
      <w:r w:rsidR="00467387">
        <w:rPr>
          <w:rFonts w:ascii="Times New Roman" w:hAnsi="Times New Roman" w:cs="Times New Roman"/>
          <w:sz w:val="24"/>
          <w:szCs w:val="24"/>
        </w:rPr>
        <w:t xml:space="preserve">juntada aos autos do mandado de </w:t>
      </w:r>
      <w:r w:rsidR="00640DEF">
        <w:rPr>
          <w:rFonts w:ascii="Times New Roman" w:hAnsi="Times New Roman" w:cs="Times New Roman"/>
          <w:sz w:val="24"/>
          <w:szCs w:val="24"/>
        </w:rPr>
        <w:t>citação do devedor,</w:t>
      </w:r>
      <w:r w:rsidR="00F23419">
        <w:rPr>
          <w:rFonts w:ascii="Times New Roman" w:hAnsi="Times New Roman" w:cs="Times New Roman"/>
          <w:sz w:val="24"/>
          <w:szCs w:val="24"/>
        </w:rPr>
        <w:t xml:space="preserve"> poderá alegar </w:t>
      </w:r>
      <w:r w:rsidR="00164EEF">
        <w:rPr>
          <w:rFonts w:ascii="Times New Roman" w:hAnsi="Times New Roman" w:cs="Times New Roman"/>
          <w:sz w:val="24"/>
          <w:szCs w:val="24"/>
        </w:rPr>
        <w:t xml:space="preserve">qualquer matéria possível </w:t>
      </w:r>
      <w:r w:rsidR="00B464DB">
        <w:rPr>
          <w:rFonts w:ascii="Times New Roman" w:hAnsi="Times New Roman" w:cs="Times New Roman"/>
          <w:sz w:val="24"/>
          <w:szCs w:val="24"/>
        </w:rPr>
        <w:t xml:space="preserve">para defesa </w:t>
      </w:r>
      <w:r w:rsidR="00164EEF">
        <w:rPr>
          <w:rFonts w:ascii="Times New Roman" w:hAnsi="Times New Roman" w:cs="Times New Roman"/>
          <w:sz w:val="24"/>
          <w:szCs w:val="24"/>
        </w:rPr>
        <w:t>em sede de processo de conhecimento</w:t>
      </w:r>
      <w:r w:rsidR="00BE5BDB">
        <w:rPr>
          <w:rFonts w:ascii="Times New Roman" w:hAnsi="Times New Roman" w:cs="Times New Roman"/>
          <w:sz w:val="24"/>
          <w:szCs w:val="24"/>
        </w:rPr>
        <w:t xml:space="preserve"> (DIDIER, 201</w:t>
      </w:r>
      <w:r w:rsidR="00947670">
        <w:rPr>
          <w:rFonts w:ascii="Times New Roman" w:hAnsi="Times New Roman" w:cs="Times New Roman"/>
          <w:sz w:val="24"/>
          <w:szCs w:val="24"/>
        </w:rPr>
        <w:t>3</w:t>
      </w:r>
      <w:r w:rsidR="00BE5BDB">
        <w:rPr>
          <w:rFonts w:ascii="Times New Roman" w:hAnsi="Times New Roman" w:cs="Times New Roman"/>
          <w:sz w:val="24"/>
          <w:szCs w:val="24"/>
        </w:rPr>
        <w:t>, p.366)</w:t>
      </w:r>
      <w:r w:rsidR="00164EEF">
        <w:rPr>
          <w:rFonts w:ascii="Times New Roman" w:hAnsi="Times New Roman" w:cs="Times New Roman"/>
          <w:sz w:val="24"/>
          <w:szCs w:val="24"/>
        </w:rPr>
        <w:t>.</w:t>
      </w:r>
      <w:r w:rsidR="007B37DF">
        <w:rPr>
          <w:rFonts w:ascii="Times New Roman" w:hAnsi="Times New Roman" w:cs="Times New Roman"/>
          <w:sz w:val="24"/>
          <w:szCs w:val="24"/>
        </w:rPr>
        <w:t xml:space="preserve"> Já a exceção de </w:t>
      </w:r>
      <w:proofErr w:type="spellStart"/>
      <w:r w:rsidR="007B37DF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7B37DF">
        <w:rPr>
          <w:rFonts w:ascii="Times New Roman" w:hAnsi="Times New Roman" w:cs="Times New Roman"/>
          <w:sz w:val="24"/>
          <w:szCs w:val="24"/>
        </w:rPr>
        <w:t>-executividade é instituto criado pela jurisprudência, sem prazo para oposição, e poderá tratar de qualquer matéria a qual o juiz deveria conhecer de ofício, ou seja, matérias de ordem pública (DIDIER, 201</w:t>
      </w:r>
      <w:r w:rsidR="00947670">
        <w:rPr>
          <w:rFonts w:ascii="Times New Roman" w:hAnsi="Times New Roman" w:cs="Times New Roman"/>
          <w:sz w:val="24"/>
          <w:szCs w:val="24"/>
        </w:rPr>
        <w:t>3</w:t>
      </w:r>
      <w:r w:rsidR="007B37DF">
        <w:rPr>
          <w:rFonts w:ascii="Times New Roman" w:hAnsi="Times New Roman" w:cs="Times New Roman"/>
          <w:sz w:val="24"/>
          <w:szCs w:val="24"/>
        </w:rPr>
        <w:t xml:space="preserve">, p. </w:t>
      </w:r>
      <w:r w:rsidR="007F63D7">
        <w:rPr>
          <w:rFonts w:ascii="Times New Roman" w:hAnsi="Times New Roman" w:cs="Times New Roman"/>
          <w:sz w:val="24"/>
          <w:szCs w:val="24"/>
        </w:rPr>
        <w:t>402-403).</w:t>
      </w:r>
    </w:p>
    <w:p w:rsidR="00957800" w:rsidRDefault="00957800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FE1" w:rsidRDefault="00A72FE1" w:rsidP="00957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7800" w:rsidRPr="00337EBE" w:rsidRDefault="00957800" w:rsidP="009578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7EBE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2C056F" w:rsidRDefault="002C056F" w:rsidP="001D636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6365" w:rsidRPr="00337EBE" w:rsidRDefault="001D6365" w:rsidP="001D636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37EBE">
        <w:rPr>
          <w:rFonts w:ascii="Times New Roman" w:hAnsi="Times New Roman"/>
          <w:color w:val="000000"/>
          <w:sz w:val="24"/>
          <w:szCs w:val="24"/>
        </w:rPr>
        <w:t xml:space="preserve">BRASIL. </w:t>
      </w:r>
      <w:r w:rsidRPr="00337EBE">
        <w:rPr>
          <w:rFonts w:ascii="Times New Roman" w:hAnsi="Times New Roman"/>
          <w:b/>
          <w:color w:val="000000"/>
          <w:sz w:val="24"/>
          <w:szCs w:val="24"/>
        </w:rPr>
        <w:t>Superior Tribunal de Justiça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37EBE">
        <w:rPr>
          <w:rFonts w:ascii="Times New Roman" w:hAnsi="Times New Roman" w:cs="Times New Roman"/>
          <w:sz w:val="24"/>
          <w:szCs w:val="24"/>
        </w:rPr>
        <w:t>AgRg</w:t>
      </w:r>
      <w:proofErr w:type="spellEnd"/>
      <w:r w:rsidRPr="00337EB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37EBE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Pr="00337EBE">
        <w:rPr>
          <w:rFonts w:ascii="Times New Roman" w:hAnsi="Times New Roman" w:cs="Times New Roman"/>
          <w:sz w:val="24"/>
          <w:szCs w:val="24"/>
        </w:rPr>
        <w:t>: 1358007 SP 2012/0259454-5, Relator: Ministro OG FERNANDES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, da Segunda Turma. Data de Julgamento: </w:t>
      </w:r>
      <w:r w:rsidR="0058707A" w:rsidRPr="00337EBE">
        <w:rPr>
          <w:rFonts w:ascii="Times New Roman" w:hAnsi="Times New Roman" w:cs="Times New Roman"/>
          <w:sz w:val="24"/>
          <w:szCs w:val="24"/>
        </w:rPr>
        <w:t>05/12/2013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. Brasília, DF, </w:t>
      </w:r>
      <w:r w:rsidR="0058707A" w:rsidRPr="00337EBE">
        <w:rPr>
          <w:rFonts w:ascii="Times New Roman" w:hAnsi="Times New Roman"/>
          <w:color w:val="000000"/>
          <w:sz w:val="24"/>
          <w:szCs w:val="24"/>
        </w:rPr>
        <w:t>18/12/2013</w:t>
      </w:r>
      <w:r w:rsidRPr="00337EBE">
        <w:rPr>
          <w:rFonts w:ascii="Times New Roman" w:hAnsi="Times New Roman"/>
          <w:color w:val="000000"/>
          <w:sz w:val="24"/>
          <w:szCs w:val="24"/>
        </w:rPr>
        <w:t>. Disponível em: &lt;</w:t>
      </w:r>
      <w:r w:rsidR="00477643" w:rsidRPr="00337EBE">
        <w:rPr>
          <w:rFonts w:ascii="Times New Roman" w:hAnsi="Times New Roman"/>
          <w:sz w:val="24"/>
          <w:szCs w:val="24"/>
        </w:rPr>
        <w:t>h</w:t>
      </w:r>
      <w:r w:rsidR="00477643" w:rsidRPr="00337EBE">
        <w:rPr>
          <w:rFonts w:ascii="Times New Roman" w:hAnsi="Times New Roman"/>
          <w:color w:val="000000"/>
          <w:sz w:val="24"/>
          <w:szCs w:val="24"/>
        </w:rPr>
        <w:t>ttp://stj.jusbrasil.com.br/jurisprudencia/ 24823397/agravo-regimental-no-agravo-regimental-no-recurso-especial-agrg-no-agrg-no-resp-1358007-sp-2012-0259454-5-stj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 &gt;. Acesso em: </w:t>
      </w:r>
      <w:r w:rsidR="00477643" w:rsidRPr="00337EBE">
        <w:rPr>
          <w:rFonts w:ascii="Times New Roman" w:hAnsi="Times New Roman"/>
          <w:color w:val="000000"/>
          <w:sz w:val="24"/>
          <w:szCs w:val="24"/>
        </w:rPr>
        <w:t>02/10</w:t>
      </w:r>
      <w:r w:rsidRPr="00337EBE">
        <w:rPr>
          <w:rFonts w:ascii="Times New Roman" w:hAnsi="Times New Roman"/>
          <w:color w:val="000000"/>
          <w:sz w:val="24"/>
          <w:szCs w:val="24"/>
        </w:rPr>
        <w:t>/2015.</w:t>
      </w:r>
    </w:p>
    <w:p w:rsidR="007D497D" w:rsidRPr="00337EBE" w:rsidRDefault="007D497D" w:rsidP="007D497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37EBE">
        <w:rPr>
          <w:rFonts w:ascii="Times New Roman" w:hAnsi="Times New Roman"/>
          <w:color w:val="000000"/>
          <w:sz w:val="24"/>
          <w:szCs w:val="24"/>
        </w:rPr>
        <w:t xml:space="preserve">BRASIL. </w:t>
      </w:r>
      <w:r w:rsidRPr="00337EBE">
        <w:rPr>
          <w:rFonts w:ascii="Times New Roman" w:hAnsi="Times New Roman"/>
          <w:b/>
          <w:color w:val="000000"/>
          <w:sz w:val="24"/>
          <w:szCs w:val="24"/>
        </w:rPr>
        <w:t>Superior Tribunal de Justiça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37EBE">
        <w:rPr>
          <w:rFonts w:ascii="Times New Roman" w:hAnsi="Times New Roman" w:cs="Times New Roman"/>
          <w:sz w:val="24"/>
          <w:szCs w:val="24"/>
        </w:rPr>
        <w:t>AgRg</w:t>
      </w:r>
      <w:proofErr w:type="spellEnd"/>
      <w:r w:rsidRPr="00337EB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37EBE">
        <w:rPr>
          <w:rFonts w:ascii="Times New Roman" w:hAnsi="Times New Roman" w:cs="Times New Roman"/>
          <w:sz w:val="24"/>
          <w:szCs w:val="24"/>
        </w:rPr>
        <w:t>AREsp</w:t>
      </w:r>
      <w:proofErr w:type="spellEnd"/>
      <w:r w:rsidRPr="00337EBE">
        <w:rPr>
          <w:rFonts w:ascii="Times New Roman" w:hAnsi="Times New Roman" w:cs="Times New Roman"/>
          <w:sz w:val="24"/>
          <w:szCs w:val="24"/>
        </w:rPr>
        <w:t>: 159889 SP 2012/0059910-4, Relator: Ministro LUIS FELIPE SALOMÃO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, da Quarta Turma. Data de Julgamento: </w:t>
      </w:r>
      <w:r w:rsidR="00D365C0" w:rsidRPr="00337EBE">
        <w:rPr>
          <w:rFonts w:ascii="Times New Roman" w:hAnsi="Times New Roman" w:cs="Times New Roman"/>
          <w:sz w:val="24"/>
          <w:szCs w:val="24"/>
        </w:rPr>
        <w:t>15/10/2013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. Brasília, DF, </w:t>
      </w:r>
      <w:r w:rsidR="00D365C0" w:rsidRPr="00337EBE">
        <w:rPr>
          <w:rFonts w:ascii="Times New Roman" w:hAnsi="Times New Roman" w:cs="Times New Roman"/>
          <w:sz w:val="24"/>
          <w:szCs w:val="24"/>
        </w:rPr>
        <w:t>18/10/2013</w:t>
      </w:r>
      <w:r w:rsidRPr="00337EBE">
        <w:rPr>
          <w:rFonts w:ascii="Times New Roman" w:hAnsi="Times New Roman"/>
          <w:color w:val="000000"/>
          <w:sz w:val="24"/>
          <w:szCs w:val="24"/>
        </w:rPr>
        <w:t>. Disponível em: &lt;</w:t>
      </w:r>
      <w:r w:rsidR="00D365C0" w:rsidRPr="00337EBE">
        <w:rPr>
          <w:rFonts w:ascii="Times New Roman" w:hAnsi="Times New Roman"/>
          <w:sz w:val="24"/>
          <w:szCs w:val="24"/>
        </w:rPr>
        <w:t>http://stj.jusbrasil.com.br/ jurisprudencia/24314047/agravo-regimental-no-agravo-em-recurso-especial-agrg-no-aresp-159889-sp-2012-0059910-4-stj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 &gt;. Acesso em: 02/10/2015.</w:t>
      </w:r>
    </w:p>
    <w:p w:rsidR="00D365C0" w:rsidRPr="00337EBE" w:rsidRDefault="00D365C0" w:rsidP="00D365C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37EBE">
        <w:rPr>
          <w:rFonts w:ascii="Times New Roman" w:hAnsi="Times New Roman"/>
          <w:color w:val="000000"/>
          <w:sz w:val="24"/>
          <w:szCs w:val="24"/>
        </w:rPr>
        <w:t xml:space="preserve">BRASIL. </w:t>
      </w:r>
      <w:r w:rsidR="002770E8" w:rsidRPr="00337EBE">
        <w:rPr>
          <w:rFonts w:ascii="Times New Roman" w:hAnsi="Times New Roman"/>
          <w:b/>
          <w:color w:val="000000"/>
          <w:sz w:val="24"/>
          <w:szCs w:val="24"/>
        </w:rPr>
        <w:t>Tri</w:t>
      </w:r>
      <w:r w:rsidR="004F77F4" w:rsidRPr="00337EBE">
        <w:rPr>
          <w:rFonts w:ascii="Times New Roman" w:hAnsi="Times New Roman"/>
          <w:b/>
          <w:color w:val="000000"/>
          <w:sz w:val="24"/>
          <w:szCs w:val="24"/>
        </w:rPr>
        <w:t>bunal de Justiça de São Paulo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B2FFA" w:rsidRPr="00337EBE">
        <w:rPr>
          <w:rFonts w:ascii="Times New Roman" w:hAnsi="Times New Roman" w:cs="Times New Roman"/>
          <w:sz w:val="24"/>
          <w:szCs w:val="24"/>
        </w:rPr>
        <w:t xml:space="preserve">AI: 20042363920158260000 SP 2004236-39.2015.8.26.0000, Relator: Melo </w:t>
      </w:r>
      <w:proofErr w:type="spellStart"/>
      <w:r w:rsidR="00FB2FFA" w:rsidRPr="00337EBE">
        <w:rPr>
          <w:rFonts w:ascii="Times New Roman" w:hAnsi="Times New Roman" w:cs="Times New Roman"/>
          <w:sz w:val="24"/>
          <w:szCs w:val="24"/>
        </w:rPr>
        <w:t>Colombi</w:t>
      </w:r>
      <w:proofErr w:type="spellEnd"/>
      <w:r w:rsidRPr="00337EBE">
        <w:rPr>
          <w:rFonts w:ascii="Times New Roman" w:hAnsi="Times New Roman"/>
          <w:color w:val="000000"/>
          <w:sz w:val="24"/>
          <w:szCs w:val="24"/>
        </w:rPr>
        <w:t xml:space="preserve">, da </w:t>
      </w:r>
      <w:r w:rsidR="00FB2FFA" w:rsidRPr="00337EBE">
        <w:rPr>
          <w:rFonts w:ascii="Times New Roman" w:hAnsi="Times New Roman" w:cs="Times New Roman"/>
          <w:sz w:val="24"/>
          <w:szCs w:val="24"/>
        </w:rPr>
        <w:t>14ª Câmara de Direito Privado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. Data de Julgamento: </w:t>
      </w:r>
      <w:r w:rsidR="00FB2FFA" w:rsidRPr="00337EBE">
        <w:rPr>
          <w:rFonts w:ascii="Times New Roman" w:hAnsi="Times New Roman" w:cs="Times New Roman"/>
          <w:sz w:val="24"/>
          <w:szCs w:val="24"/>
        </w:rPr>
        <w:t>04/03/2015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B2FFA" w:rsidRPr="00337EBE">
        <w:rPr>
          <w:rFonts w:ascii="Times New Roman" w:hAnsi="Times New Roman"/>
          <w:color w:val="000000"/>
          <w:sz w:val="24"/>
          <w:szCs w:val="24"/>
        </w:rPr>
        <w:t>São Paulo, SP</w:t>
      </w:r>
      <w:r w:rsidRPr="00337EB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B2FFA" w:rsidRPr="00337EBE">
        <w:rPr>
          <w:rFonts w:ascii="Times New Roman" w:hAnsi="Times New Roman" w:cs="Times New Roman"/>
          <w:sz w:val="24"/>
          <w:szCs w:val="24"/>
        </w:rPr>
        <w:t>05/03/2015</w:t>
      </w:r>
      <w:r w:rsidRPr="00337EBE">
        <w:rPr>
          <w:rFonts w:ascii="Times New Roman" w:hAnsi="Times New Roman"/>
          <w:color w:val="000000"/>
          <w:sz w:val="24"/>
          <w:szCs w:val="24"/>
        </w:rPr>
        <w:t>. Disponível em: &lt;</w:t>
      </w:r>
      <w:r w:rsidR="00337EBE" w:rsidRPr="00337EBE">
        <w:rPr>
          <w:sz w:val="24"/>
          <w:szCs w:val="24"/>
        </w:rPr>
        <w:t xml:space="preserve"> </w:t>
      </w:r>
      <w:r w:rsidR="00337EBE" w:rsidRPr="00337EBE">
        <w:rPr>
          <w:rFonts w:ascii="Times New Roman" w:hAnsi="Times New Roman"/>
          <w:sz w:val="24"/>
          <w:szCs w:val="24"/>
        </w:rPr>
        <w:t>http://tj-sp.jusbrasil.com.br/jurisprudencia/171724629/agravo-de-instrumento-ai-20042363920158260000-sp-2004236-3920158260000</w:t>
      </w:r>
      <w:r w:rsidRPr="00337EBE">
        <w:rPr>
          <w:rFonts w:ascii="Times New Roman" w:hAnsi="Times New Roman"/>
          <w:color w:val="000000"/>
          <w:sz w:val="24"/>
          <w:szCs w:val="24"/>
        </w:rPr>
        <w:t>&gt;. Acesso em: 02/10/2015.</w:t>
      </w:r>
    </w:p>
    <w:p w:rsidR="00957800" w:rsidRPr="00337EBE" w:rsidRDefault="007E6A00" w:rsidP="003C0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BE">
        <w:rPr>
          <w:rFonts w:ascii="Times New Roman" w:hAnsi="Times New Roman" w:cs="Times New Roman"/>
          <w:sz w:val="24"/>
          <w:szCs w:val="24"/>
        </w:rPr>
        <w:t xml:space="preserve">DIDIER JR. </w:t>
      </w:r>
      <w:proofErr w:type="spellStart"/>
      <w:r w:rsidRPr="00337EBE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Pr="00337EBE">
        <w:rPr>
          <w:rFonts w:ascii="Times New Roman" w:hAnsi="Times New Roman" w:cs="Times New Roman"/>
          <w:sz w:val="24"/>
          <w:szCs w:val="24"/>
        </w:rPr>
        <w:t>; CUNHA, Leonardo Carneiro; BRAGA, Paula Sarno; OLIVEIRA, Rafael Alexandria.</w:t>
      </w:r>
      <w:r w:rsidR="0033659A" w:rsidRPr="00337EBE">
        <w:rPr>
          <w:rFonts w:ascii="Times New Roman" w:hAnsi="Times New Roman" w:cs="Times New Roman"/>
          <w:sz w:val="24"/>
          <w:szCs w:val="24"/>
        </w:rPr>
        <w:t xml:space="preserve"> </w:t>
      </w:r>
      <w:r w:rsidR="0033659A" w:rsidRPr="00337EBE"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 w:rsidR="00423147" w:rsidRPr="00337E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3147" w:rsidRPr="00337EBE">
        <w:rPr>
          <w:rFonts w:ascii="Times New Roman" w:hAnsi="Times New Roman" w:cs="Times New Roman"/>
          <w:sz w:val="24"/>
          <w:szCs w:val="24"/>
        </w:rPr>
        <w:t>execução. 5</w:t>
      </w:r>
      <w:r w:rsidR="00CE60E0" w:rsidRPr="00337EBE">
        <w:rPr>
          <w:rFonts w:ascii="Times New Roman" w:hAnsi="Times New Roman" w:cs="Times New Roman"/>
          <w:sz w:val="24"/>
          <w:szCs w:val="24"/>
        </w:rPr>
        <w:t xml:space="preserve">ª Ed. </w:t>
      </w:r>
      <w:r w:rsidR="00423147" w:rsidRPr="00337EBE">
        <w:rPr>
          <w:rFonts w:ascii="Times New Roman" w:hAnsi="Times New Roman" w:cs="Times New Roman"/>
          <w:sz w:val="24"/>
          <w:szCs w:val="24"/>
        </w:rPr>
        <w:t>vol</w:t>
      </w:r>
      <w:r w:rsidR="00CE60E0" w:rsidRPr="00337EBE">
        <w:rPr>
          <w:rFonts w:ascii="Times New Roman" w:hAnsi="Times New Roman" w:cs="Times New Roman"/>
          <w:sz w:val="24"/>
          <w:szCs w:val="24"/>
        </w:rPr>
        <w:t xml:space="preserve">.5. Salvador: </w:t>
      </w:r>
      <w:proofErr w:type="spellStart"/>
      <w:r w:rsidR="00CE60E0" w:rsidRPr="00337EBE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="00CE60E0" w:rsidRPr="00337EBE">
        <w:rPr>
          <w:rFonts w:ascii="Times New Roman" w:hAnsi="Times New Roman" w:cs="Times New Roman"/>
          <w:sz w:val="24"/>
          <w:szCs w:val="24"/>
        </w:rPr>
        <w:t>, 201</w:t>
      </w:r>
      <w:r w:rsidR="00756484" w:rsidRPr="00337EBE">
        <w:rPr>
          <w:rFonts w:ascii="Times New Roman" w:hAnsi="Times New Roman" w:cs="Times New Roman"/>
          <w:sz w:val="24"/>
          <w:szCs w:val="24"/>
        </w:rPr>
        <w:t>3.</w:t>
      </w:r>
    </w:p>
    <w:p w:rsidR="00957800" w:rsidRPr="000F6915" w:rsidRDefault="00957800" w:rsidP="00957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CA5" w:rsidRPr="000F6915" w:rsidRDefault="00185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CA5" w:rsidRPr="000F6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0F" w:rsidRDefault="007E7B0F" w:rsidP="00957800">
      <w:pPr>
        <w:spacing w:after="0" w:line="240" w:lineRule="auto"/>
      </w:pPr>
      <w:r>
        <w:separator/>
      </w:r>
    </w:p>
  </w:endnote>
  <w:endnote w:type="continuationSeparator" w:id="0">
    <w:p w:rsidR="007E7B0F" w:rsidRDefault="007E7B0F" w:rsidP="0095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0F" w:rsidRDefault="007E7B0F" w:rsidP="00957800">
      <w:pPr>
        <w:spacing w:after="0" w:line="240" w:lineRule="auto"/>
      </w:pPr>
      <w:r>
        <w:separator/>
      </w:r>
    </w:p>
  </w:footnote>
  <w:footnote w:type="continuationSeparator" w:id="0">
    <w:p w:rsidR="007E7B0F" w:rsidRDefault="007E7B0F" w:rsidP="00957800">
      <w:pPr>
        <w:spacing w:after="0" w:line="240" w:lineRule="auto"/>
      </w:pPr>
      <w:r>
        <w:continuationSeparator/>
      </w:r>
    </w:p>
  </w:footnote>
  <w:footnote w:id="1">
    <w:p w:rsidR="00957800" w:rsidRDefault="00957800" w:rsidP="0095780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Case apresentado à disciplina </w:t>
      </w:r>
      <w:r w:rsidR="00A011E7">
        <w:rPr>
          <w:rFonts w:ascii="Times New Roman" w:hAnsi="Times New Roman" w:cs="Times New Roman"/>
        </w:rPr>
        <w:t>Processo de Execução</w:t>
      </w:r>
      <w:r>
        <w:rPr>
          <w:rFonts w:ascii="Times New Roman" w:hAnsi="Times New Roman" w:cs="Times New Roman"/>
        </w:rPr>
        <w:t>, da Unidade de Ensino Superior Dom Bosco;</w:t>
      </w:r>
    </w:p>
  </w:footnote>
  <w:footnote w:id="2">
    <w:p w:rsidR="00957800" w:rsidRDefault="00957800" w:rsidP="0095780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Aluno do 7º período</w:t>
      </w:r>
      <w:r w:rsidR="000F72A0">
        <w:rPr>
          <w:rFonts w:ascii="Times New Roman" w:hAnsi="Times New Roman" w:cs="Times New Roman"/>
        </w:rPr>
        <w:t xml:space="preserve"> vespertino</w:t>
      </w:r>
      <w:r>
        <w:rPr>
          <w:rFonts w:ascii="Times New Roman" w:hAnsi="Times New Roman" w:cs="Times New Roman"/>
        </w:rPr>
        <w:t>, do curso de Direito da UNDB;</w:t>
      </w:r>
    </w:p>
  </w:footnote>
  <w:footnote w:id="3">
    <w:p w:rsidR="00380C31" w:rsidRDefault="00380C31" w:rsidP="00D8099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80C31">
        <w:rPr>
          <w:rFonts w:ascii="Times New Roman" w:hAnsi="Times New Roman" w:cs="Times New Roman"/>
        </w:rPr>
        <w:t xml:space="preserve">Neste sentido, o STJ: </w:t>
      </w:r>
      <w:r w:rsidR="00D8099F" w:rsidRPr="00D8099F">
        <w:rPr>
          <w:rFonts w:ascii="Times New Roman" w:hAnsi="Times New Roman" w:cs="Times New Roman"/>
        </w:rPr>
        <w:t xml:space="preserve">AGRAVO REGIMENTAL. REDIRECIONAMENTO DA EXECUÇÃO FISCAL PARA OS SÓCIOS. MUDANÇA DE ENDEREÇO DA EMPRESA SEM COMUNICAÇÃO. SIMPLES DEVOLUÇÃO DE AR-POSTAL SEM CUMPRIMENTO. PRESUNÇÃO. NECESSIDADE DE OUTROS MEIOS PARA VERIFICAÇÃO. 1. A jurisprudência desta Corte firmou a compreensão, consubstanciada na Súmula 435, no sentido de que se presume dissolvida irregularmente a empresa que deixar de funcionar no seu domicílio fiscal, sem comunicação aos órgãos competentes, legitimando o redirecionamento da execução fiscal para o sócio-gerente. 2. Entretanto, há que se verificar a incidência desse entendimento diante de cada caso concreto, </w:t>
      </w:r>
      <w:r w:rsidR="00D8099F" w:rsidRPr="00D8099F">
        <w:rPr>
          <w:rFonts w:ascii="Times New Roman" w:hAnsi="Times New Roman" w:cs="Times New Roman"/>
          <w:b/>
          <w:u w:val="single"/>
        </w:rPr>
        <w:t>não sendo razoável se proceder ao redirecionamento da execução fiscal, baseando-se, tão somente, em simples devolução de AR-postal sem cumprimento, impondo-se, nesse particular, que se utilizem meios outros para verificação, localização e citação da sociedade empresária</w:t>
      </w:r>
      <w:r w:rsidR="00D8099F" w:rsidRPr="00D8099F">
        <w:rPr>
          <w:rFonts w:ascii="Times New Roman" w:hAnsi="Times New Roman" w:cs="Times New Roman"/>
        </w:rPr>
        <w:t>. 3. Agravo regimental a que se nega provimento.</w:t>
      </w:r>
      <w:r w:rsidR="00D8099F">
        <w:rPr>
          <w:rFonts w:ascii="Times New Roman" w:hAnsi="Times New Roman" w:cs="Times New Roman"/>
        </w:rPr>
        <w:t xml:space="preserve"> </w:t>
      </w:r>
      <w:r w:rsidR="00D8099F" w:rsidRPr="00D8099F">
        <w:rPr>
          <w:rFonts w:ascii="Times New Roman" w:hAnsi="Times New Roman" w:cs="Times New Roman"/>
        </w:rPr>
        <w:t xml:space="preserve">(STJ - </w:t>
      </w:r>
      <w:proofErr w:type="spellStart"/>
      <w:r w:rsidR="00D8099F" w:rsidRPr="00D8099F">
        <w:rPr>
          <w:rFonts w:ascii="Times New Roman" w:hAnsi="Times New Roman" w:cs="Times New Roman"/>
        </w:rPr>
        <w:t>AgRg</w:t>
      </w:r>
      <w:proofErr w:type="spellEnd"/>
      <w:r w:rsidR="00D8099F" w:rsidRPr="00D8099F">
        <w:rPr>
          <w:rFonts w:ascii="Times New Roman" w:hAnsi="Times New Roman" w:cs="Times New Roman"/>
        </w:rPr>
        <w:t xml:space="preserve"> no </w:t>
      </w:r>
      <w:proofErr w:type="spellStart"/>
      <w:r w:rsidR="00D8099F" w:rsidRPr="00D8099F">
        <w:rPr>
          <w:rFonts w:ascii="Times New Roman" w:hAnsi="Times New Roman" w:cs="Times New Roman"/>
        </w:rPr>
        <w:t>AgRg</w:t>
      </w:r>
      <w:proofErr w:type="spellEnd"/>
      <w:r w:rsidR="00D8099F" w:rsidRPr="00D8099F">
        <w:rPr>
          <w:rFonts w:ascii="Times New Roman" w:hAnsi="Times New Roman" w:cs="Times New Roman"/>
        </w:rPr>
        <w:t xml:space="preserve"> no </w:t>
      </w:r>
      <w:proofErr w:type="spellStart"/>
      <w:r w:rsidR="00D8099F" w:rsidRPr="00D8099F">
        <w:rPr>
          <w:rFonts w:ascii="Times New Roman" w:hAnsi="Times New Roman" w:cs="Times New Roman"/>
        </w:rPr>
        <w:t>REsp</w:t>
      </w:r>
      <w:proofErr w:type="spellEnd"/>
      <w:r w:rsidR="00D8099F" w:rsidRPr="00D8099F">
        <w:rPr>
          <w:rFonts w:ascii="Times New Roman" w:hAnsi="Times New Roman" w:cs="Times New Roman"/>
        </w:rPr>
        <w:t xml:space="preserve">: 1358007 SP 2012/0259454-5, Relator: Ministro OG FERNANDES, Data de Julgamento: 05/12/2013, T2 - SEGUNDA TURMA, Data de Publicação: </w:t>
      </w:r>
      <w:proofErr w:type="spellStart"/>
      <w:r w:rsidR="00D8099F" w:rsidRPr="00D8099F">
        <w:rPr>
          <w:rFonts w:ascii="Times New Roman" w:hAnsi="Times New Roman" w:cs="Times New Roman"/>
        </w:rPr>
        <w:t>DJe</w:t>
      </w:r>
      <w:proofErr w:type="spellEnd"/>
      <w:r w:rsidR="00D8099F" w:rsidRPr="00D8099F">
        <w:rPr>
          <w:rFonts w:ascii="Times New Roman" w:hAnsi="Times New Roman" w:cs="Times New Roman"/>
        </w:rPr>
        <w:t xml:space="preserve"> 18/12/2013)</w:t>
      </w:r>
    </w:p>
  </w:footnote>
  <w:footnote w:id="4">
    <w:p w:rsidR="0068337D" w:rsidRPr="0068337D" w:rsidRDefault="0068337D" w:rsidP="0068337D">
      <w:pPr>
        <w:pStyle w:val="Textodenotaderodap"/>
        <w:rPr>
          <w:rFonts w:ascii="Times New Roman" w:hAnsi="Times New Roman" w:cs="Times New Roman"/>
        </w:rPr>
      </w:pPr>
      <w:r w:rsidRPr="0068337D">
        <w:rPr>
          <w:rStyle w:val="Refdenotaderodap"/>
          <w:rFonts w:ascii="Times New Roman" w:hAnsi="Times New Roman" w:cs="Times New Roman"/>
        </w:rPr>
        <w:footnoteRef/>
      </w:r>
      <w:r w:rsidRPr="0068337D">
        <w:rPr>
          <w:rFonts w:ascii="Times New Roman" w:hAnsi="Times New Roman" w:cs="Times New Roman"/>
        </w:rPr>
        <w:t xml:space="preserve"> EXECUÇÃO POR TÍTULO EXTRAJUDICIAL. DILIGÊNCIAS. PENHORA. EXPEDIÇÃO DE OFÍCIO. SUSEP. VGBL E PGBL. CARÁTER ALIMENTAR. RELATIVIDADE. 1. O caráter alimentar dos valores investidos a título de PGBL e VGBL deve ser analisado casuisticamente, observando se apenas se presta a garantir necessidades básicas de subsistência ou se tem finalidade de engordar o patrimônio ou de servir de precaução para futuras, eventuais e incertas necessidades. 2. Diante disso, é possível permitir expedição de ofício à SUSEP, para que o credor e o juízo possam conhecer as condições econômicas do devedor, que não pode se utilizar desses investimentos para se furtar ao seu dever de pagar. 3. Cuidando-se de informação protegida pelo sigilo bancário, viável expedição de ofício à SUSEP. 4. Recurso provido. (TJ-SP - AI: 20042363920158260000 SP 2004236-39.2015.8.26.0000, Relator: Melo </w:t>
      </w:r>
      <w:proofErr w:type="spellStart"/>
      <w:r w:rsidRPr="0068337D">
        <w:rPr>
          <w:rFonts w:ascii="Times New Roman" w:hAnsi="Times New Roman" w:cs="Times New Roman"/>
        </w:rPr>
        <w:t>Colombi</w:t>
      </w:r>
      <w:proofErr w:type="spellEnd"/>
      <w:r w:rsidRPr="0068337D">
        <w:rPr>
          <w:rFonts w:ascii="Times New Roman" w:hAnsi="Times New Roman" w:cs="Times New Roman"/>
        </w:rPr>
        <w:t>, Data de Julgamento: 04/03/2015, 14ª Câmara de Direito Privado, Data de Publicação: 05/03/2015)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26022"/>
    <w:multiLevelType w:val="hybridMultilevel"/>
    <w:tmpl w:val="AB324D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C3B99"/>
    <w:multiLevelType w:val="hybridMultilevel"/>
    <w:tmpl w:val="4274D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A7FFA"/>
    <w:multiLevelType w:val="hybridMultilevel"/>
    <w:tmpl w:val="C24EC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D467E"/>
    <w:multiLevelType w:val="hybridMultilevel"/>
    <w:tmpl w:val="07C0D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00"/>
    <w:rsid w:val="00027B8B"/>
    <w:rsid w:val="0003671F"/>
    <w:rsid w:val="000639B0"/>
    <w:rsid w:val="00072040"/>
    <w:rsid w:val="00076628"/>
    <w:rsid w:val="000970CF"/>
    <w:rsid w:val="000A040A"/>
    <w:rsid w:val="000B1956"/>
    <w:rsid w:val="000B221D"/>
    <w:rsid w:val="000C13BA"/>
    <w:rsid w:val="000C1CC9"/>
    <w:rsid w:val="000D7E93"/>
    <w:rsid w:val="000F41C3"/>
    <w:rsid w:val="000F72A0"/>
    <w:rsid w:val="00117542"/>
    <w:rsid w:val="00136792"/>
    <w:rsid w:val="00137293"/>
    <w:rsid w:val="00144E00"/>
    <w:rsid w:val="00164EEF"/>
    <w:rsid w:val="00166900"/>
    <w:rsid w:val="00175D26"/>
    <w:rsid w:val="00176A32"/>
    <w:rsid w:val="00180E56"/>
    <w:rsid w:val="00185CA5"/>
    <w:rsid w:val="001B1762"/>
    <w:rsid w:val="001B280C"/>
    <w:rsid w:val="001C70ED"/>
    <w:rsid w:val="001D46FB"/>
    <w:rsid w:val="001D4D1E"/>
    <w:rsid w:val="001D6365"/>
    <w:rsid w:val="001F273B"/>
    <w:rsid w:val="00206FEE"/>
    <w:rsid w:val="00207FED"/>
    <w:rsid w:val="00216716"/>
    <w:rsid w:val="002426BB"/>
    <w:rsid w:val="0024723A"/>
    <w:rsid w:val="00256EB1"/>
    <w:rsid w:val="00270F4C"/>
    <w:rsid w:val="00273027"/>
    <w:rsid w:val="002770E8"/>
    <w:rsid w:val="00277607"/>
    <w:rsid w:val="002C056F"/>
    <w:rsid w:val="002C0590"/>
    <w:rsid w:val="002D0220"/>
    <w:rsid w:val="002D5958"/>
    <w:rsid w:val="002E3393"/>
    <w:rsid w:val="002F2EC4"/>
    <w:rsid w:val="00301DD1"/>
    <w:rsid w:val="003024D0"/>
    <w:rsid w:val="0033659A"/>
    <w:rsid w:val="00337EBE"/>
    <w:rsid w:val="00340B92"/>
    <w:rsid w:val="00341990"/>
    <w:rsid w:val="003520D6"/>
    <w:rsid w:val="00354A2F"/>
    <w:rsid w:val="00357C03"/>
    <w:rsid w:val="0037028B"/>
    <w:rsid w:val="0037501D"/>
    <w:rsid w:val="003766C2"/>
    <w:rsid w:val="00380C31"/>
    <w:rsid w:val="00385499"/>
    <w:rsid w:val="003A35F4"/>
    <w:rsid w:val="003B6401"/>
    <w:rsid w:val="003B6465"/>
    <w:rsid w:val="003C0C6C"/>
    <w:rsid w:val="003C20B3"/>
    <w:rsid w:val="003D5A7F"/>
    <w:rsid w:val="003F548D"/>
    <w:rsid w:val="00415DA8"/>
    <w:rsid w:val="0041620A"/>
    <w:rsid w:val="00423147"/>
    <w:rsid w:val="0045238D"/>
    <w:rsid w:val="00457DFA"/>
    <w:rsid w:val="00467387"/>
    <w:rsid w:val="00477643"/>
    <w:rsid w:val="0048450B"/>
    <w:rsid w:val="00487DCF"/>
    <w:rsid w:val="004939B8"/>
    <w:rsid w:val="004B26E1"/>
    <w:rsid w:val="004B31C8"/>
    <w:rsid w:val="004B71DD"/>
    <w:rsid w:val="004D17C9"/>
    <w:rsid w:val="004F717C"/>
    <w:rsid w:val="004F77F4"/>
    <w:rsid w:val="00505F3A"/>
    <w:rsid w:val="005062FD"/>
    <w:rsid w:val="00510D3F"/>
    <w:rsid w:val="0052175C"/>
    <w:rsid w:val="005310A0"/>
    <w:rsid w:val="00544BB0"/>
    <w:rsid w:val="0058707A"/>
    <w:rsid w:val="00587AF5"/>
    <w:rsid w:val="00591C90"/>
    <w:rsid w:val="005C4231"/>
    <w:rsid w:val="005C4A72"/>
    <w:rsid w:val="00601E2B"/>
    <w:rsid w:val="0062433E"/>
    <w:rsid w:val="0062574B"/>
    <w:rsid w:val="00640DEF"/>
    <w:rsid w:val="00640E9E"/>
    <w:rsid w:val="006465A8"/>
    <w:rsid w:val="0064725C"/>
    <w:rsid w:val="00655940"/>
    <w:rsid w:val="006624C5"/>
    <w:rsid w:val="006735E7"/>
    <w:rsid w:val="0068337D"/>
    <w:rsid w:val="006B0E94"/>
    <w:rsid w:val="006B1157"/>
    <w:rsid w:val="006B25B0"/>
    <w:rsid w:val="006C53A0"/>
    <w:rsid w:val="006E1B1F"/>
    <w:rsid w:val="006F5CB1"/>
    <w:rsid w:val="00701D13"/>
    <w:rsid w:val="0072229F"/>
    <w:rsid w:val="00726660"/>
    <w:rsid w:val="00727854"/>
    <w:rsid w:val="007309B8"/>
    <w:rsid w:val="00744A1A"/>
    <w:rsid w:val="00756484"/>
    <w:rsid w:val="007901A9"/>
    <w:rsid w:val="007B0FD5"/>
    <w:rsid w:val="007B37DF"/>
    <w:rsid w:val="007C61B0"/>
    <w:rsid w:val="007D497D"/>
    <w:rsid w:val="007E6A00"/>
    <w:rsid w:val="007E7B0F"/>
    <w:rsid w:val="007F63D7"/>
    <w:rsid w:val="00800405"/>
    <w:rsid w:val="00817B33"/>
    <w:rsid w:val="00823251"/>
    <w:rsid w:val="00855D88"/>
    <w:rsid w:val="008574A5"/>
    <w:rsid w:val="00867A7F"/>
    <w:rsid w:val="00877AF2"/>
    <w:rsid w:val="00896E50"/>
    <w:rsid w:val="008C06BE"/>
    <w:rsid w:val="008C6D10"/>
    <w:rsid w:val="008D0E39"/>
    <w:rsid w:val="008F3D7C"/>
    <w:rsid w:val="008F73A2"/>
    <w:rsid w:val="00901A52"/>
    <w:rsid w:val="009060E6"/>
    <w:rsid w:val="00947670"/>
    <w:rsid w:val="00952D3C"/>
    <w:rsid w:val="0095344F"/>
    <w:rsid w:val="00957800"/>
    <w:rsid w:val="00957A9C"/>
    <w:rsid w:val="0096729B"/>
    <w:rsid w:val="009704DB"/>
    <w:rsid w:val="00972C7D"/>
    <w:rsid w:val="00983986"/>
    <w:rsid w:val="00990660"/>
    <w:rsid w:val="00995B27"/>
    <w:rsid w:val="009B51B3"/>
    <w:rsid w:val="009C0496"/>
    <w:rsid w:val="009D3E31"/>
    <w:rsid w:val="009E047E"/>
    <w:rsid w:val="009E1CB2"/>
    <w:rsid w:val="009E477B"/>
    <w:rsid w:val="009F329B"/>
    <w:rsid w:val="00A011E7"/>
    <w:rsid w:val="00A01D26"/>
    <w:rsid w:val="00A053AE"/>
    <w:rsid w:val="00A125DA"/>
    <w:rsid w:val="00A26801"/>
    <w:rsid w:val="00A41185"/>
    <w:rsid w:val="00A41A7A"/>
    <w:rsid w:val="00A6206D"/>
    <w:rsid w:val="00A72FE1"/>
    <w:rsid w:val="00A76578"/>
    <w:rsid w:val="00A847CB"/>
    <w:rsid w:val="00AB080B"/>
    <w:rsid w:val="00AB7A7C"/>
    <w:rsid w:val="00AC09F1"/>
    <w:rsid w:val="00AC5DBE"/>
    <w:rsid w:val="00AE0E7E"/>
    <w:rsid w:val="00AF24F7"/>
    <w:rsid w:val="00AF4808"/>
    <w:rsid w:val="00B13D71"/>
    <w:rsid w:val="00B150FB"/>
    <w:rsid w:val="00B166CD"/>
    <w:rsid w:val="00B30CCD"/>
    <w:rsid w:val="00B333C9"/>
    <w:rsid w:val="00B42BE5"/>
    <w:rsid w:val="00B464DB"/>
    <w:rsid w:val="00B81553"/>
    <w:rsid w:val="00B90E55"/>
    <w:rsid w:val="00BA0140"/>
    <w:rsid w:val="00BB4A7B"/>
    <w:rsid w:val="00BD7B1E"/>
    <w:rsid w:val="00BE5BDB"/>
    <w:rsid w:val="00BF0234"/>
    <w:rsid w:val="00BF3F1B"/>
    <w:rsid w:val="00C0257A"/>
    <w:rsid w:val="00C06232"/>
    <w:rsid w:val="00C074F4"/>
    <w:rsid w:val="00C127B1"/>
    <w:rsid w:val="00C1313A"/>
    <w:rsid w:val="00C15666"/>
    <w:rsid w:val="00C2276F"/>
    <w:rsid w:val="00C30497"/>
    <w:rsid w:val="00C33B86"/>
    <w:rsid w:val="00C40424"/>
    <w:rsid w:val="00C41957"/>
    <w:rsid w:val="00C435D0"/>
    <w:rsid w:val="00C51A1A"/>
    <w:rsid w:val="00C60E24"/>
    <w:rsid w:val="00C65E0C"/>
    <w:rsid w:val="00C74F82"/>
    <w:rsid w:val="00C8243A"/>
    <w:rsid w:val="00C92858"/>
    <w:rsid w:val="00C94582"/>
    <w:rsid w:val="00CB5C73"/>
    <w:rsid w:val="00CD0C63"/>
    <w:rsid w:val="00CE5D86"/>
    <w:rsid w:val="00CE60E0"/>
    <w:rsid w:val="00CE7720"/>
    <w:rsid w:val="00D15696"/>
    <w:rsid w:val="00D15F3C"/>
    <w:rsid w:val="00D23A2D"/>
    <w:rsid w:val="00D26F61"/>
    <w:rsid w:val="00D365C0"/>
    <w:rsid w:val="00D807E1"/>
    <w:rsid w:val="00D8099F"/>
    <w:rsid w:val="00D835E6"/>
    <w:rsid w:val="00D9136E"/>
    <w:rsid w:val="00D97DD5"/>
    <w:rsid w:val="00DB7C72"/>
    <w:rsid w:val="00DC0153"/>
    <w:rsid w:val="00DC07A6"/>
    <w:rsid w:val="00DC3722"/>
    <w:rsid w:val="00DD139C"/>
    <w:rsid w:val="00DF0E42"/>
    <w:rsid w:val="00DF7111"/>
    <w:rsid w:val="00E21A29"/>
    <w:rsid w:val="00E360A6"/>
    <w:rsid w:val="00E42245"/>
    <w:rsid w:val="00E51C8B"/>
    <w:rsid w:val="00E63EA8"/>
    <w:rsid w:val="00EC5BEF"/>
    <w:rsid w:val="00ED2266"/>
    <w:rsid w:val="00EF7D62"/>
    <w:rsid w:val="00F03A59"/>
    <w:rsid w:val="00F1489C"/>
    <w:rsid w:val="00F21F2D"/>
    <w:rsid w:val="00F23419"/>
    <w:rsid w:val="00F464F3"/>
    <w:rsid w:val="00F524AE"/>
    <w:rsid w:val="00F7621D"/>
    <w:rsid w:val="00F7661A"/>
    <w:rsid w:val="00F76C89"/>
    <w:rsid w:val="00F865A3"/>
    <w:rsid w:val="00FB2FFA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6A9A9-8CA8-4543-BCA2-4B3FC2C3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78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7800"/>
    <w:rPr>
      <w:sz w:val="20"/>
      <w:szCs w:val="20"/>
    </w:rPr>
  </w:style>
  <w:style w:type="paragraph" w:styleId="SemEspaamento">
    <w:name w:val="No Spacing"/>
    <w:uiPriority w:val="1"/>
    <w:qFormat/>
    <w:rsid w:val="00957800"/>
    <w:pPr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sid w:val="0095780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266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D6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8CE5-6832-4B6D-972E-7A96A0F1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6</Pages>
  <Words>1721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Muniz Neto .</cp:lastModifiedBy>
  <cp:revision>224</cp:revision>
  <dcterms:created xsi:type="dcterms:W3CDTF">2015-03-07T21:55:00Z</dcterms:created>
  <dcterms:modified xsi:type="dcterms:W3CDTF">2015-11-24T03:05:00Z</dcterms:modified>
</cp:coreProperties>
</file>