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59" w:rsidRPr="00A82E59" w:rsidRDefault="00A82E59" w:rsidP="00A82E59">
      <w:pPr>
        <w:rPr>
          <w:sz w:val="24"/>
          <w:szCs w:val="24"/>
        </w:rPr>
      </w:pPr>
      <w:r w:rsidRPr="00A82E59">
        <w:rPr>
          <w:sz w:val="24"/>
          <w:szCs w:val="24"/>
        </w:rPr>
        <w:t xml:space="preserve">Cabe, preliminarmente, conceituar o Costume internacional. Francisco Rezek define como “A repetição, ao longo do tempo, de </w:t>
      </w:r>
      <w:proofErr w:type="gramStart"/>
      <w:r w:rsidRPr="00A82E59">
        <w:rPr>
          <w:sz w:val="24"/>
          <w:szCs w:val="24"/>
        </w:rPr>
        <w:t>um certo</w:t>
      </w:r>
      <w:proofErr w:type="gramEnd"/>
      <w:r w:rsidRPr="00A82E59">
        <w:rPr>
          <w:sz w:val="24"/>
          <w:szCs w:val="24"/>
        </w:rPr>
        <w:t xml:space="preserve"> modo de proceder ante determinado quadro de fato.” </w:t>
      </w:r>
    </w:p>
    <w:p w:rsidR="00A82E59" w:rsidRPr="00A82E59" w:rsidRDefault="00A82E59" w:rsidP="00A82E59">
      <w:pPr>
        <w:rPr>
          <w:sz w:val="24"/>
          <w:szCs w:val="24"/>
        </w:rPr>
      </w:pPr>
      <w:r w:rsidRPr="00A82E59">
        <w:rPr>
          <w:sz w:val="24"/>
          <w:szCs w:val="24"/>
        </w:rPr>
        <w:tab/>
        <w:t xml:space="preserve">Para que um costume internacional possa se consolidar como tal, é necessária a repetição de uma determinada prática, de modo uniforme e continuado, por um lapso temporal suficiente para torná-lo efetivo. Não há, no direito internacional, uma norma que determine de modo enfático por quanto tempo o ato deve ser praticado, cabendo </w:t>
      </w:r>
      <w:proofErr w:type="gramStart"/>
      <w:r w:rsidRPr="00A82E59">
        <w:rPr>
          <w:sz w:val="24"/>
          <w:szCs w:val="24"/>
        </w:rPr>
        <w:t>às</w:t>
      </w:r>
      <w:proofErr w:type="gramEnd"/>
      <w:r w:rsidRPr="00A82E59">
        <w:rPr>
          <w:sz w:val="24"/>
          <w:szCs w:val="24"/>
        </w:rPr>
        <w:t xml:space="preserve"> Corte Internacionais se manifestarem a respeito.</w:t>
      </w:r>
    </w:p>
    <w:p w:rsidR="00A82E59" w:rsidRPr="00A82E59" w:rsidRDefault="00A82E59" w:rsidP="00012990">
      <w:pPr>
        <w:ind w:left="708" w:firstLine="708"/>
        <w:rPr>
          <w:rFonts w:cs="Arial"/>
          <w:sz w:val="24"/>
          <w:szCs w:val="24"/>
        </w:rPr>
      </w:pPr>
      <w:bookmarkStart w:id="0" w:name="_GoBack"/>
      <w:bookmarkEnd w:id="0"/>
      <w:r w:rsidRPr="00A82E59">
        <w:rPr>
          <w:sz w:val="24"/>
          <w:szCs w:val="24"/>
        </w:rPr>
        <w:t xml:space="preserve">O </w:t>
      </w:r>
      <w:r w:rsidRPr="00A82E59">
        <w:rPr>
          <w:rFonts w:cs="Arial"/>
          <w:sz w:val="24"/>
          <w:szCs w:val="24"/>
        </w:rPr>
        <w:t>Estatuto da Corte Internacional de Justiça em ser artigo 38.1, b, dispõe:</w:t>
      </w:r>
    </w:p>
    <w:p w:rsidR="00E747E2" w:rsidRDefault="00A82E59" w:rsidP="00E747E2">
      <w:pPr>
        <w:pStyle w:val="NormalWeb"/>
        <w:autoSpaceDE w:val="0"/>
        <w:autoSpaceDN w:val="0"/>
        <w:ind w:left="3686"/>
        <w:rPr>
          <w:rFonts w:asciiTheme="minorHAnsi" w:hAnsiTheme="minorHAnsi" w:cs="Arial"/>
        </w:rPr>
      </w:pPr>
      <w:r w:rsidRPr="00A82E59">
        <w:rPr>
          <w:rFonts w:asciiTheme="minorHAnsi" w:hAnsiTheme="minorHAnsi" w:cs="Arial"/>
        </w:rPr>
        <w:t xml:space="preserve">Artigo 38. 1. A </w:t>
      </w:r>
      <w:proofErr w:type="spellStart"/>
      <w:r w:rsidRPr="00A82E59">
        <w:rPr>
          <w:rFonts w:asciiTheme="minorHAnsi" w:hAnsiTheme="minorHAnsi" w:cs="Arial"/>
        </w:rPr>
        <w:t>Côrte</w:t>
      </w:r>
      <w:proofErr w:type="spellEnd"/>
      <w:r w:rsidRPr="00A82E59">
        <w:rPr>
          <w:rFonts w:asciiTheme="minorHAnsi" w:hAnsiTheme="minorHAnsi" w:cs="Arial"/>
        </w:rPr>
        <w:t>, cuja função é decidir de acordo com o direito internacional as controvérsias que lhe forem submetidas, aplicará:</w:t>
      </w:r>
    </w:p>
    <w:p w:rsidR="00E747E2" w:rsidRPr="00A82E59" w:rsidRDefault="00E747E2" w:rsidP="00E747E2">
      <w:pPr>
        <w:pStyle w:val="NormalWeb"/>
        <w:autoSpaceDE w:val="0"/>
        <w:autoSpaceDN w:val="0"/>
        <w:ind w:left="368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(...)</w:t>
      </w:r>
    </w:p>
    <w:p w:rsidR="00E747E2" w:rsidRDefault="00A82E59" w:rsidP="00E747E2">
      <w:pPr>
        <w:pStyle w:val="NormalWeb"/>
        <w:autoSpaceDE w:val="0"/>
        <w:autoSpaceDN w:val="0"/>
        <w:ind w:left="3686"/>
        <w:rPr>
          <w:rFonts w:asciiTheme="minorHAnsi" w:hAnsiTheme="minorHAnsi" w:cs="Arial"/>
        </w:rPr>
      </w:pPr>
      <w:r w:rsidRPr="00A82E59">
        <w:rPr>
          <w:rFonts w:asciiTheme="minorHAnsi" w:hAnsiTheme="minorHAnsi" w:cs="Arial"/>
        </w:rPr>
        <w:t>b)</w:t>
      </w:r>
      <w:r w:rsidRPr="00A82E59">
        <w:rPr>
          <w:rFonts w:asciiTheme="minorHAnsi" w:hAnsiTheme="minorHAnsi" w:cs="Arial"/>
          <w:i/>
          <w:iCs/>
        </w:rPr>
        <w:t xml:space="preserve"> </w:t>
      </w:r>
      <w:r w:rsidRPr="00A82E59">
        <w:rPr>
          <w:rFonts w:asciiTheme="minorHAnsi" w:hAnsiTheme="minorHAnsi" w:cs="Arial"/>
        </w:rPr>
        <w:t>o costume internacional, como prova de uma prática geral aceita como sendo o direito;</w:t>
      </w:r>
    </w:p>
    <w:p w:rsidR="00A82E59" w:rsidRPr="00E747E2" w:rsidRDefault="00A82E59" w:rsidP="00E747E2">
      <w:pPr>
        <w:pStyle w:val="NormalWeb"/>
        <w:autoSpaceDE w:val="0"/>
        <w:autoSpaceDN w:val="0"/>
        <w:ind w:left="3686"/>
        <w:rPr>
          <w:rFonts w:asciiTheme="minorHAnsi" w:hAnsiTheme="minorHAnsi"/>
        </w:rPr>
      </w:pPr>
      <w:r w:rsidRPr="00A82E59">
        <w:rPr>
          <w:rFonts w:asciiTheme="minorHAnsi" w:hAnsiTheme="minorHAnsi"/>
        </w:rPr>
        <w:t>(...)</w:t>
      </w:r>
    </w:p>
    <w:p w:rsidR="00E85682" w:rsidRPr="00A82E59" w:rsidRDefault="00E85682" w:rsidP="00A82E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Por excelência, “a parte que alega em seu prol certa regra costumeira deve provar sua existência e sua </w:t>
      </w:r>
      <w:r w:rsidR="00E747E2">
        <w:rPr>
          <w:sz w:val="24"/>
          <w:szCs w:val="24"/>
        </w:rPr>
        <w:t>oponibilidade</w:t>
      </w:r>
      <w:r>
        <w:rPr>
          <w:sz w:val="24"/>
          <w:szCs w:val="24"/>
        </w:rPr>
        <w:t xml:space="preserve"> à parte adversa”, como bem esclarece o professor Rezek</w:t>
      </w:r>
    </w:p>
    <w:p w:rsidR="00E747E2" w:rsidRDefault="00A82E59" w:rsidP="00A82E59">
      <w:pPr>
        <w:rPr>
          <w:sz w:val="24"/>
          <w:szCs w:val="24"/>
        </w:rPr>
      </w:pPr>
      <w:r w:rsidRPr="00A82E59">
        <w:rPr>
          <w:sz w:val="24"/>
          <w:szCs w:val="24"/>
        </w:rPr>
        <w:tab/>
        <w:t>O Costume Internacional é constituído por dois elementos: o material e o subjetivo. O elemento material diz respeito à repetição de um procedimento, podendo ser ação ou omissão, realizada por sujeitos de direito internacional. Enquanto o elemento subjetivo está associado à aceitação de determinada prática, entre sujeitos de direito internacional, por assim entenderem e estarem ajustados de que tal procedimento é justo, correto e se faz necessário, passando, assim, a ser tratado como direito.</w:t>
      </w:r>
      <w:r w:rsidR="00E747E2">
        <w:rPr>
          <w:sz w:val="24"/>
          <w:szCs w:val="24"/>
        </w:rPr>
        <w:t xml:space="preserve"> Os Costumes Internacionais encontram subsídios nos testos legais, nos atos dos Estados e na jurisprudência.</w:t>
      </w:r>
    </w:p>
    <w:p w:rsidR="008B2545" w:rsidRDefault="00E85682">
      <w:r>
        <w:tab/>
        <w:t xml:space="preserve">Conclui-se que o costume é uma das mais importantes e fundamentais fontes de direito no âmbito </w:t>
      </w:r>
      <w:r w:rsidR="00E747E2">
        <w:t>internacional, se não a mais importante, uma vez que leva em conta a conduta do agente em face da parte contrária, observando, desde logo, a relação pacífica entre sujeitos de direito intranacional.</w:t>
      </w:r>
    </w:p>
    <w:sectPr w:rsidR="008B25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59"/>
    <w:rsid w:val="00012990"/>
    <w:rsid w:val="00640DEB"/>
    <w:rsid w:val="00A65360"/>
    <w:rsid w:val="00A82E59"/>
    <w:rsid w:val="00E747E2"/>
    <w:rsid w:val="00E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Oliveira e Silva</dc:creator>
  <cp:lastModifiedBy>Mateus Oliveira e Silva</cp:lastModifiedBy>
  <cp:revision>2</cp:revision>
  <dcterms:created xsi:type="dcterms:W3CDTF">2015-11-16T12:35:00Z</dcterms:created>
  <dcterms:modified xsi:type="dcterms:W3CDTF">2015-11-16T13:10:00Z</dcterms:modified>
</cp:coreProperties>
</file>