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82" w:rsidRDefault="00F01682" w:rsidP="00F01682">
      <w:pPr>
        <w:jc w:val="center"/>
        <w:rPr>
          <w:rFonts w:ascii="Arial" w:hAnsi="Arial" w:cs="Arial"/>
          <w:b/>
          <w:sz w:val="24"/>
          <w:szCs w:val="24"/>
        </w:rPr>
      </w:pPr>
      <w:r w:rsidRPr="00271C7A">
        <w:rPr>
          <w:rFonts w:ascii="Arial" w:hAnsi="Arial" w:cs="Arial"/>
          <w:b/>
          <w:sz w:val="24"/>
          <w:szCs w:val="24"/>
        </w:rPr>
        <w:t>FARMÁCIA CLÍNICA: UMA IMPORTÂNCIA AO IDOSO</w:t>
      </w:r>
    </w:p>
    <w:p w:rsidR="00F01682" w:rsidRDefault="00F01682" w:rsidP="00F01682">
      <w:pPr>
        <w:spacing w:after="0" w:line="240" w:lineRule="auto"/>
        <w:ind w:left="708"/>
        <w:jc w:val="right"/>
        <w:outlineLvl w:val="2"/>
        <w:rPr>
          <w:rFonts w:ascii="Arial" w:hAnsi="Arial" w:cs="Arial"/>
          <w:b/>
          <w:sz w:val="24"/>
          <w:szCs w:val="24"/>
        </w:rPr>
      </w:pPr>
    </w:p>
    <w:p w:rsidR="00F95CA5" w:rsidRPr="00F95CA5" w:rsidRDefault="00937432" w:rsidP="00F95CA5">
      <w:pPr>
        <w:spacing w:after="0" w:line="240" w:lineRule="auto"/>
        <w:ind w:left="708"/>
        <w:jc w:val="center"/>
        <w:outlineLvl w:val="2"/>
        <w:rPr>
          <w:rFonts w:ascii="Arial" w:hAnsi="Arial" w:cs="Arial"/>
          <w:sz w:val="20"/>
          <w:szCs w:val="20"/>
          <w:u w:val="thick"/>
        </w:rPr>
      </w:pPr>
      <w:r>
        <w:rPr>
          <w:rFonts w:ascii="Arial" w:hAnsi="Arial" w:cs="Arial"/>
          <w:b/>
          <w:sz w:val="24"/>
          <w:szCs w:val="24"/>
        </w:rPr>
        <w:t xml:space="preserve">           </w:t>
      </w:r>
      <w:r w:rsidR="00F01682" w:rsidRPr="00271C7A">
        <w:rPr>
          <w:rFonts w:ascii="Arial" w:hAnsi="Arial" w:cs="Arial"/>
          <w:b/>
          <w:sz w:val="24"/>
          <w:szCs w:val="24"/>
        </w:rPr>
        <w:t xml:space="preserve">                           </w:t>
      </w:r>
      <w:r w:rsidR="00F01682" w:rsidRPr="00F95CA5">
        <w:rPr>
          <w:rFonts w:ascii="Arial" w:hAnsi="Arial" w:cs="Arial"/>
          <w:sz w:val="20"/>
          <w:szCs w:val="20"/>
        </w:rPr>
        <w:t>Bruno Rogério Ferreira</w:t>
      </w:r>
      <w:r w:rsidR="00F95CA5">
        <w:rPr>
          <w:rFonts w:ascii="Arial" w:hAnsi="Arial" w:cs="Arial"/>
          <w:sz w:val="20"/>
          <w:szCs w:val="20"/>
        </w:rPr>
        <w:t>: Farmacêutico Generalista, especialista em farmácia clínica pela</w:t>
      </w:r>
      <w:r w:rsidR="00DC2573">
        <w:rPr>
          <w:rFonts w:ascii="Arial" w:hAnsi="Arial" w:cs="Arial"/>
          <w:sz w:val="20"/>
          <w:szCs w:val="20"/>
        </w:rPr>
        <w:t xml:space="preserve"> faculdade </w:t>
      </w:r>
      <w:r w:rsidR="00F95CA5">
        <w:rPr>
          <w:rFonts w:ascii="Arial" w:hAnsi="Arial" w:cs="Arial"/>
          <w:sz w:val="20"/>
          <w:szCs w:val="20"/>
        </w:rPr>
        <w:t>Arthur Thomas.</w:t>
      </w:r>
    </w:p>
    <w:p w:rsidR="00F01682" w:rsidRDefault="00937432" w:rsidP="00F01682">
      <w:pPr>
        <w:spacing w:after="0" w:line="240" w:lineRule="auto"/>
        <w:ind w:left="708"/>
        <w:jc w:val="right"/>
        <w:outlineLvl w:val="2"/>
        <w:rPr>
          <w:rStyle w:val="Hyperlink"/>
          <w:rFonts w:ascii="Arial" w:hAnsi="Arial" w:cs="Arial"/>
          <w:sz w:val="20"/>
          <w:szCs w:val="20"/>
        </w:rPr>
      </w:pPr>
      <w:r w:rsidRPr="00F95CA5">
        <w:rPr>
          <w:rFonts w:ascii="Arial" w:hAnsi="Arial" w:cs="Arial"/>
          <w:sz w:val="20"/>
          <w:szCs w:val="20"/>
        </w:rPr>
        <w:t xml:space="preserve"> </w:t>
      </w:r>
      <w:hyperlink r:id="rId7" w:history="1">
        <w:r w:rsidR="00F01682" w:rsidRPr="00224DFB">
          <w:rPr>
            <w:rStyle w:val="Hyperlink"/>
            <w:rFonts w:ascii="Arial" w:hAnsi="Arial" w:cs="Arial"/>
            <w:sz w:val="20"/>
            <w:szCs w:val="20"/>
          </w:rPr>
          <w:t>bruf</w:t>
        </w:r>
        <w:bookmarkStart w:id="0" w:name="_GoBack"/>
        <w:bookmarkEnd w:id="0"/>
        <w:r w:rsidR="00F01682" w:rsidRPr="00224DFB">
          <w:rPr>
            <w:rStyle w:val="Hyperlink"/>
            <w:rFonts w:ascii="Arial" w:hAnsi="Arial" w:cs="Arial"/>
            <w:sz w:val="20"/>
            <w:szCs w:val="20"/>
          </w:rPr>
          <w:t>ar@bol.com.br</w:t>
        </w:r>
      </w:hyperlink>
    </w:p>
    <w:p w:rsidR="00F95CA5" w:rsidRDefault="00F95CA5" w:rsidP="00F01682">
      <w:pPr>
        <w:spacing w:after="0" w:line="240" w:lineRule="auto"/>
        <w:ind w:left="708"/>
        <w:jc w:val="right"/>
        <w:outlineLvl w:val="2"/>
        <w:rPr>
          <w:rFonts w:ascii="Arial" w:hAnsi="Arial" w:cs="Arial"/>
          <w:sz w:val="20"/>
          <w:szCs w:val="20"/>
        </w:rPr>
      </w:pPr>
    </w:p>
    <w:p w:rsidR="00F01682" w:rsidRPr="00F95CA5" w:rsidRDefault="00F01682" w:rsidP="00F01682">
      <w:pPr>
        <w:tabs>
          <w:tab w:val="left" w:pos="7650"/>
        </w:tabs>
        <w:spacing w:after="0"/>
        <w:rPr>
          <w:rFonts w:ascii="Times New Roman" w:hAnsi="Times New Roman" w:cs="Times New Roman"/>
          <w:sz w:val="20"/>
          <w:szCs w:val="20"/>
        </w:rPr>
      </w:pPr>
      <w:r w:rsidRPr="00F95CA5">
        <w:rPr>
          <w:rFonts w:ascii="Times New Roman" w:hAnsi="Times New Roman" w:cs="Times New Roman"/>
          <w:sz w:val="20"/>
          <w:szCs w:val="20"/>
        </w:rPr>
        <w:t xml:space="preserve">     </w:t>
      </w:r>
    </w:p>
    <w:p w:rsidR="00F01682" w:rsidRDefault="00DC2573" w:rsidP="00DC2573">
      <w:pPr>
        <w:tabs>
          <w:tab w:val="left" w:pos="7650"/>
        </w:tabs>
        <w:ind w:left="708"/>
        <w:rPr>
          <w:rFonts w:ascii="Arial" w:hAnsi="Arial" w:cs="Arial"/>
          <w:sz w:val="24"/>
          <w:szCs w:val="24"/>
        </w:rPr>
      </w:pPr>
      <w:r>
        <w:rPr>
          <w:rFonts w:ascii="Arial" w:hAnsi="Arial" w:cs="Arial"/>
          <w:sz w:val="24"/>
          <w:szCs w:val="24"/>
        </w:rPr>
        <w:t>Área de conhecimento:</w:t>
      </w:r>
      <w:r w:rsidR="00F63F93">
        <w:rPr>
          <w:rFonts w:ascii="Arial" w:hAnsi="Arial" w:cs="Arial"/>
          <w:sz w:val="24"/>
          <w:szCs w:val="24"/>
        </w:rPr>
        <w:t xml:space="preserve"> Farmácia</w:t>
      </w:r>
    </w:p>
    <w:p w:rsidR="00F01682" w:rsidRDefault="00F01682" w:rsidP="00F01682">
      <w:pPr>
        <w:tabs>
          <w:tab w:val="left" w:pos="7650"/>
        </w:tabs>
        <w:jc w:val="both"/>
        <w:rPr>
          <w:rFonts w:ascii="Arial" w:hAnsi="Arial" w:cs="Arial"/>
          <w:b/>
          <w:sz w:val="24"/>
          <w:szCs w:val="24"/>
        </w:rPr>
      </w:pPr>
      <w:r w:rsidRPr="00271C7A">
        <w:rPr>
          <w:rFonts w:ascii="Arial" w:hAnsi="Arial" w:cs="Arial"/>
          <w:b/>
          <w:sz w:val="24"/>
          <w:szCs w:val="24"/>
        </w:rPr>
        <w:t xml:space="preserve">RESUMO </w:t>
      </w:r>
    </w:p>
    <w:p w:rsidR="00F01682" w:rsidRDefault="00F01682" w:rsidP="00F01682">
      <w:pPr>
        <w:tabs>
          <w:tab w:val="left" w:pos="7650"/>
        </w:tabs>
        <w:spacing w:after="0" w:line="240" w:lineRule="auto"/>
        <w:jc w:val="both"/>
        <w:rPr>
          <w:rFonts w:ascii="Arial" w:hAnsi="Arial" w:cs="Arial"/>
          <w:sz w:val="24"/>
          <w:szCs w:val="24"/>
        </w:rPr>
      </w:pPr>
      <w:r>
        <w:rPr>
          <w:rFonts w:ascii="Arial" w:hAnsi="Arial" w:cs="Arial"/>
          <w:sz w:val="24"/>
          <w:szCs w:val="24"/>
        </w:rPr>
        <w:t>Várias literaturas reconhece que, com a pessoa idosa, a predisposição com o consumo de medicamentos aumenta; Tanto os prescritos quanto não prescritos.</w:t>
      </w:r>
    </w:p>
    <w:p w:rsidR="00F01682" w:rsidRPr="009B5D6B" w:rsidRDefault="00F01682" w:rsidP="00F01682">
      <w:pPr>
        <w:tabs>
          <w:tab w:val="left" w:pos="7650"/>
        </w:tabs>
        <w:spacing w:after="0" w:line="240" w:lineRule="auto"/>
        <w:jc w:val="both"/>
        <w:rPr>
          <w:rFonts w:ascii="Arial" w:hAnsi="Arial" w:cs="Arial"/>
          <w:sz w:val="24"/>
          <w:szCs w:val="24"/>
        </w:rPr>
      </w:pPr>
      <w:r>
        <w:rPr>
          <w:rFonts w:ascii="Arial" w:hAnsi="Arial" w:cs="Arial"/>
          <w:sz w:val="24"/>
          <w:szCs w:val="24"/>
        </w:rPr>
        <w:t xml:space="preserve">Considerando que com a idade avançada existem modificações da composição corporal, e a redução da função renal e hepática, no entanto alterando a farmacocinética e farmacodinâmica de diversos fármacos, fazendo com que pessoas idosas estejam suscetíveis com maior frequência a efeitos adversos e terapêuticos mais intensos. </w:t>
      </w:r>
    </w:p>
    <w:p w:rsidR="00F01682" w:rsidRPr="00271C7A" w:rsidRDefault="00F01682" w:rsidP="00F01682">
      <w:pPr>
        <w:tabs>
          <w:tab w:val="left" w:pos="7650"/>
        </w:tabs>
        <w:spacing w:after="0" w:line="240" w:lineRule="auto"/>
        <w:jc w:val="both"/>
        <w:rPr>
          <w:rFonts w:ascii="Arial" w:hAnsi="Arial" w:cs="Arial"/>
          <w:sz w:val="24"/>
          <w:szCs w:val="24"/>
        </w:rPr>
      </w:pPr>
      <w:r w:rsidRPr="00271C7A">
        <w:rPr>
          <w:rFonts w:ascii="Arial" w:hAnsi="Arial" w:cs="Arial"/>
          <w:sz w:val="24"/>
          <w:szCs w:val="24"/>
        </w:rPr>
        <w:t>Este artigo mostra com precisão, que a farmácia clínica no idoso, interfere em todo o tratamento no qual é submetido. Diminuindo as reações adversas, interações medicamentosas alterando as reações farmacocinéticas e farmacodinâmicas; Levando estes pacientes a uma melhor adesão no tratamento e uma qualidade de vida satisfatória.</w:t>
      </w:r>
    </w:p>
    <w:p w:rsidR="00F01682" w:rsidRDefault="00F01682" w:rsidP="00F01682">
      <w:pPr>
        <w:tabs>
          <w:tab w:val="left" w:pos="7650"/>
        </w:tabs>
        <w:spacing w:after="0"/>
        <w:jc w:val="both"/>
        <w:rPr>
          <w:rFonts w:ascii="Arial" w:hAnsi="Arial" w:cs="Arial"/>
          <w:b/>
          <w:sz w:val="24"/>
          <w:szCs w:val="24"/>
        </w:rPr>
      </w:pPr>
    </w:p>
    <w:p w:rsidR="00F01682" w:rsidRPr="00E27A76" w:rsidRDefault="00F01682" w:rsidP="00F01682">
      <w:pPr>
        <w:tabs>
          <w:tab w:val="left" w:pos="7650"/>
        </w:tabs>
        <w:spacing w:after="0"/>
        <w:jc w:val="both"/>
        <w:rPr>
          <w:rFonts w:ascii="Arial" w:hAnsi="Arial" w:cs="Arial"/>
          <w:sz w:val="24"/>
          <w:szCs w:val="24"/>
        </w:rPr>
      </w:pPr>
      <w:r w:rsidRPr="0017507B">
        <w:rPr>
          <w:rFonts w:ascii="Arial" w:hAnsi="Arial" w:cs="Arial"/>
          <w:b/>
          <w:sz w:val="24"/>
          <w:szCs w:val="24"/>
        </w:rPr>
        <w:t xml:space="preserve">Palavras Chaves: </w:t>
      </w:r>
      <w:r w:rsidR="00CD1B5C">
        <w:rPr>
          <w:rFonts w:ascii="Arial" w:hAnsi="Arial" w:cs="Arial"/>
          <w:sz w:val="24"/>
          <w:szCs w:val="24"/>
        </w:rPr>
        <w:t>I</w:t>
      </w:r>
      <w:r w:rsidRPr="00E27A76">
        <w:rPr>
          <w:rFonts w:ascii="Arial" w:hAnsi="Arial" w:cs="Arial"/>
          <w:sz w:val="24"/>
          <w:szCs w:val="24"/>
        </w:rPr>
        <w:t>doso,</w:t>
      </w:r>
      <w:r>
        <w:rPr>
          <w:rFonts w:ascii="Arial" w:hAnsi="Arial" w:cs="Arial"/>
          <w:sz w:val="24"/>
          <w:szCs w:val="24"/>
        </w:rPr>
        <w:t xml:space="preserve"> farmácia clínica.</w:t>
      </w:r>
      <w:r w:rsidRPr="00E27A76">
        <w:rPr>
          <w:rFonts w:ascii="Arial" w:hAnsi="Arial" w:cs="Arial"/>
          <w:sz w:val="24"/>
          <w:szCs w:val="24"/>
        </w:rPr>
        <w:t xml:space="preserve"> </w:t>
      </w:r>
    </w:p>
    <w:p w:rsidR="00F01682" w:rsidRPr="00E27A76" w:rsidRDefault="00F01682" w:rsidP="00F01682">
      <w:pPr>
        <w:tabs>
          <w:tab w:val="left" w:pos="7650"/>
        </w:tabs>
        <w:jc w:val="both"/>
        <w:rPr>
          <w:rFonts w:ascii="Arial" w:hAnsi="Arial" w:cs="Arial"/>
          <w:b/>
          <w:sz w:val="24"/>
          <w:szCs w:val="24"/>
        </w:rPr>
      </w:pPr>
    </w:p>
    <w:p w:rsidR="00F01682" w:rsidRPr="00CD1B5C" w:rsidRDefault="00F01682" w:rsidP="00F01682">
      <w:pPr>
        <w:rPr>
          <w:rFonts w:ascii="Arial" w:hAnsi="Arial" w:cs="Arial"/>
          <w:sz w:val="24"/>
          <w:szCs w:val="24"/>
        </w:rPr>
      </w:pPr>
    </w:p>
    <w:p w:rsidR="00F01682" w:rsidRPr="00271C7A" w:rsidRDefault="00F01682" w:rsidP="00F01682">
      <w:pPr>
        <w:rPr>
          <w:rFonts w:ascii="Arial" w:hAnsi="Arial" w:cs="Arial"/>
          <w:b/>
          <w:sz w:val="24"/>
          <w:szCs w:val="24"/>
        </w:rPr>
      </w:pPr>
      <w:r w:rsidRPr="00271C7A">
        <w:rPr>
          <w:rFonts w:ascii="Arial" w:hAnsi="Arial" w:cs="Arial"/>
          <w:b/>
          <w:sz w:val="24"/>
          <w:szCs w:val="24"/>
        </w:rPr>
        <w:t>INTRODUÇÃO</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Medicamentos embora seja uma questão importante em todas as faixas etária, o grupo de pacientes idosos tem suas peculiaridades que devem ser assistidas de uma maneira mais clinica e responsável pelo farmacêutico.</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No Brasil, dados de 1999 indicavam que a quantidades de pessoas com 60 anos ou mais era de 9,05%, Devendo alcançar 13% em 2020 (IBGE, 1998, 1999). Com essa proporção levará o Brasil na sexta posição de população idosa do mundo, e para acompanhar esse crescimento terá que demandar melhorias no sistema de saúde principalmente na assistência farmacêutica prestada a população (FONSECA E CARMO, 2000).</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Pacientes idosos são assistidos por uma demanda maior de médicos, com isso o leva ao uso de vários medicamentos levando a grandes efeitos adversos, </w:t>
      </w:r>
      <w:r w:rsidRPr="00271C7A">
        <w:rPr>
          <w:rFonts w:ascii="Arial" w:hAnsi="Arial" w:cs="Arial"/>
          <w:sz w:val="24"/>
          <w:szCs w:val="24"/>
        </w:rPr>
        <w:lastRenderedPageBreak/>
        <w:t xml:space="preserve">interações medicamentosas prescrições inadequado, não adesão ao tratamento, </w:t>
      </w:r>
      <w:proofErr w:type="spellStart"/>
      <w:r w:rsidRPr="00271C7A">
        <w:rPr>
          <w:rFonts w:ascii="Arial" w:hAnsi="Arial" w:cs="Arial"/>
          <w:sz w:val="24"/>
          <w:szCs w:val="24"/>
        </w:rPr>
        <w:t>superdosagem</w:t>
      </w:r>
      <w:proofErr w:type="spellEnd"/>
      <w:r w:rsidRPr="00271C7A">
        <w:rPr>
          <w:rFonts w:ascii="Arial" w:hAnsi="Arial" w:cs="Arial"/>
          <w:sz w:val="24"/>
          <w:szCs w:val="24"/>
        </w:rPr>
        <w:t xml:space="preserve"> e ou </w:t>
      </w:r>
      <w:proofErr w:type="spellStart"/>
      <w:r w:rsidRPr="00271C7A">
        <w:rPr>
          <w:rFonts w:ascii="Arial" w:hAnsi="Arial" w:cs="Arial"/>
          <w:sz w:val="24"/>
          <w:szCs w:val="24"/>
        </w:rPr>
        <w:t>subdosagem</w:t>
      </w:r>
      <w:proofErr w:type="spellEnd"/>
      <w:r w:rsidRPr="00271C7A">
        <w:rPr>
          <w:rFonts w:ascii="Arial" w:hAnsi="Arial" w:cs="Arial"/>
          <w:sz w:val="24"/>
          <w:szCs w:val="24"/>
        </w:rPr>
        <w:t xml:space="preserve"> (ANDERSON E KERLUKE, 1997).</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Portanto deve se levar em consideração que o organismo do idoso apresenta mudanças </w:t>
      </w:r>
      <w:r>
        <w:rPr>
          <w:rFonts w:ascii="Arial" w:hAnsi="Arial" w:cs="Arial"/>
          <w:sz w:val="24"/>
          <w:szCs w:val="24"/>
        </w:rPr>
        <w:t xml:space="preserve">das </w:t>
      </w:r>
      <w:r w:rsidRPr="00271C7A">
        <w:rPr>
          <w:rFonts w:ascii="Arial" w:hAnsi="Arial" w:cs="Arial"/>
          <w:sz w:val="24"/>
          <w:szCs w:val="24"/>
        </w:rPr>
        <w:t>suas funções fisiológicas e não deve ser desconsideradas, pois podem levar a uma farmacocinética diferenciada e maior sensibilidade.</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O uso de medicamentos constitui-se hoje epidemia entre idosos; cuja ocorrência o aumento exponencial da prevalência de doenças crônicas e das sequelas que acompanham o avançar da idade, o poder da indústria farmacêutica e do marketing dos medicamentos e a medicalização presente na formação de parte expressiva dos profissionais de saúde; atingindo o impacto de âmbito clinico e econômico e repercutindo na segurança do paciente (SECOLI, S.R, 2010).</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A farmácia clinica constitui uma pratica profissional para o paciente, com o objetivo de que este receba o melhor tratamento medicamentoso possível, sendo o principal beneficiário das ações do far</w:t>
      </w:r>
      <w:r w:rsidR="009F2D1A">
        <w:rPr>
          <w:rFonts w:ascii="Arial" w:hAnsi="Arial" w:cs="Arial"/>
          <w:sz w:val="24"/>
          <w:szCs w:val="24"/>
        </w:rPr>
        <w:t>macêutico. O objetivo do artigo</w:t>
      </w:r>
      <w:r w:rsidRPr="00271C7A">
        <w:rPr>
          <w:rFonts w:ascii="Arial" w:hAnsi="Arial" w:cs="Arial"/>
          <w:sz w:val="24"/>
          <w:szCs w:val="24"/>
        </w:rPr>
        <w:t xml:space="preserve"> é ressaltar a importância da farmácia clinica no id</w:t>
      </w:r>
      <w:r w:rsidR="009F2D1A">
        <w:rPr>
          <w:rFonts w:ascii="Arial" w:hAnsi="Arial" w:cs="Arial"/>
          <w:sz w:val="24"/>
          <w:szCs w:val="24"/>
        </w:rPr>
        <w:t xml:space="preserve">oso relatando o uso de </w:t>
      </w:r>
      <w:proofErr w:type="spellStart"/>
      <w:r w:rsidR="009F2D1A">
        <w:rPr>
          <w:rFonts w:ascii="Arial" w:hAnsi="Arial" w:cs="Arial"/>
          <w:sz w:val="24"/>
          <w:szCs w:val="24"/>
        </w:rPr>
        <w:t>polifarma</w:t>
      </w:r>
      <w:r w:rsidRPr="00271C7A">
        <w:rPr>
          <w:rFonts w:ascii="Arial" w:hAnsi="Arial" w:cs="Arial"/>
          <w:sz w:val="24"/>
          <w:szCs w:val="24"/>
        </w:rPr>
        <w:t>cia</w:t>
      </w:r>
      <w:proofErr w:type="spellEnd"/>
      <w:r w:rsidRPr="00271C7A">
        <w:rPr>
          <w:rFonts w:ascii="Arial" w:hAnsi="Arial" w:cs="Arial"/>
          <w:sz w:val="24"/>
          <w:szCs w:val="24"/>
        </w:rPr>
        <w:t xml:space="preserve"> e algumas principais reações adversas e interações medicamentosas de algumas classes terapêuticas. </w:t>
      </w:r>
    </w:p>
    <w:p w:rsidR="00937432" w:rsidRDefault="00F01682" w:rsidP="00F01682">
      <w:pPr>
        <w:spacing w:line="360" w:lineRule="auto"/>
        <w:rPr>
          <w:rFonts w:ascii="Arial" w:hAnsi="Arial" w:cs="Arial"/>
          <w:b/>
          <w:sz w:val="24"/>
          <w:szCs w:val="24"/>
        </w:rPr>
      </w:pPr>
      <w:r w:rsidRPr="00271C7A">
        <w:rPr>
          <w:rFonts w:ascii="Arial" w:hAnsi="Arial" w:cs="Arial"/>
          <w:b/>
          <w:sz w:val="24"/>
          <w:szCs w:val="24"/>
        </w:rPr>
        <w:t>1. DESENVOLVIMENTO</w:t>
      </w:r>
      <w:proofErr w:type="gramStart"/>
      <w:r w:rsidRPr="00271C7A">
        <w:rPr>
          <w:rFonts w:ascii="Arial" w:hAnsi="Arial" w:cs="Arial"/>
          <w:b/>
          <w:sz w:val="24"/>
          <w:szCs w:val="24"/>
        </w:rPr>
        <w:t xml:space="preserve">   </w:t>
      </w:r>
    </w:p>
    <w:p w:rsidR="00F01682" w:rsidRPr="00271C7A" w:rsidRDefault="00F01682" w:rsidP="00F01682">
      <w:pPr>
        <w:spacing w:line="360" w:lineRule="auto"/>
        <w:rPr>
          <w:rFonts w:ascii="Arial" w:hAnsi="Arial" w:cs="Arial"/>
          <w:b/>
          <w:sz w:val="24"/>
          <w:szCs w:val="24"/>
        </w:rPr>
      </w:pPr>
      <w:proofErr w:type="gramEnd"/>
      <w:r w:rsidRPr="00271C7A">
        <w:rPr>
          <w:rFonts w:ascii="Arial" w:hAnsi="Arial" w:cs="Arial"/>
          <w:b/>
          <w:sz w:val="24"/>
          <w:szCs w:val="24"/>
        </w:rPr>
        <w:t>1.1 FARMACIA CLÍNICA</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O conceito de farmácia clínica está imbuído pela filosofia de que o farmacêutico deve utilizar seu conhecimento profissional para promover o uso seguro e apropriado de medicamentos para os pacientes, em trabalho conjunto com outros profissionais da área da saúde. O farmacêutico passou a ter maior participação nas áreas de atenção ao paciente, incluindo componentes clínicos em seus serviços e tornando necessária sua integração na equipe multidisciplinar de atendimento ao paciente. Como consequência do desenvolvimento da indústria farmacêutica, que trouxe um grande aumento no numero de fármacos sintéticos disponíveis no mercado, verificou- se um aumento na frequência de problemas relacionados ao uso de medicamentos. A </w:t>
      </w:r>
      <w:r w:rsidRPr="00271C7A">
        <w:rPr>
          <w:rFonts w:ascii="Arial" w:hAnsi="Arial" w:cs="Arial"/>
          <w:sz w:val="24"/>
          <w:szCs w:val="24"/>
        </w:rPr>
        <w:lastRenderedPageBreak/>
        <w:t xml:space="preserve">farmácia clinica surgiu com a finalidade de reduzir a ocorrência de tais problemas e por uma necessidade de mercado. </w:t>
      </w:r>
    </w:p>
    <w:p w:rsidR="00F01682" w:rsidRPr="00271C7A" w:rsidRDefault="00F01682" w:rsidP="00F01682">
      <w:pPr>
        <w:tabs>
          <w:tab w:val="center" w:pos="4252"/>
        </w:tabs>
        <w:spacing w:line="480" w:lineRule="auto"/>
        <w:jc w:val="both"/>
        <w:rPr>
          <w:rFonts w:ascii="Arial" w:hAnsi="Arial" w:cs="Arial"/>
          <w:b/>
          <w:sz w:val="24"/>
          <w:szCs w:val="24"/>
        </w:rPr>
      </w:pPr>
      <w:r w:rsidRPr="00271C7A">
        <w:rPr>
          <w:rFonts w:ascii="Arial" w:hAnsi="Arial" w:cs="Arial"/>
          <w:b/>
          <w:sz w:val="24"/>
          <w:szCs w:val="24"/>
        </w:rPr>
        <w:t>1.2 PACIENTES IDOSOS</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O principal motivo pelo qual a idade afeta a ação das drogas reside no fato de que o metabolismo das drogas e a função renal são menos eficientes nos idosos; de modo que, com algumas exceções, as drogas tendem a produzir efeitos maiores e mais prolongados. Outros fatores relacionados com a idade, como variação na sensibilidade farmacodinâmica, também são importantes para algumas drogas. Os fatores fisiológicos e os fatores patológicos, que são mais comuns em indivíduos idosos, podem influenciar os efeitos das drogas. A composição corporal modifica- se com a idade, e a gordura passa a constituir uma maior proporção da massa corporal nos idosos, com</w:t>
      </w:r>
      <w:proofErr w:type="gramStart"/>
      <w:r w:rsidRPr="00271C7A">
        <w:rPr>
          <w:rFonts w:ascii="Arial" w:hAnsi="Arial" w:cs="Arial"/>
          <w:sz w:val="24"/>
          <w:szCs w:val="24"/>
        </w:rPr>
        <w:t xml:space="preserve">  </w:t>
      </w:r>
      <w:proofErr w:type="gramEnd"/>
      <w:r w:rsidRPr="00271C7A">
        <w:rPr>
          <w:rFonts w:ascii="Arial" w:hAnsi="Arial" w:cs="Arial"/>
          <w:sz w:val="24"/>
          <w:szCs w:val="24"/>
        </w:rPr>
        <w:t>consequentes alterações no volume d</w:t>
      </w:r>
      <w:r w:rsidR="00937432">
        <w:rPr>
          <w:rFonts w:ascii="Arial" w:hAnsi="Arial" w:cs="Arial"/>
          <w:sz w:val="24"/>
          <w:szCs w:val="24"/>
        </w:rPr>
        <w:t>e distribuição das drogas. Alé</w:t>
      </w:r>
      <w:r w:rsidRPr="00271C7A">
        <w:rPr>
          <w:rFonts w:ascii="Arial" w:hAnsi="Arial" w:cs="Arial"/>
          <w:sz w:val="24"/>
          <w:szCs w:val="24"/>
        </w:rPr>
        <w:t xml:space="preserve">m disso, as pessoas idosas consomem mais drogas que os adultos mais jovens, de modo que aumenta também o potencial de interações farmacológicas (RANG, H.P, 2001). </w:t>
      </w:r>
    </w:p>
    <w:p w:rsidR="00F01682" w:rsidRPr="00271C7A" w:rsidRDefault="00F01682" w:rsidP="00F01682">
      <w:pPr>
        <w:spacing w:line="360" w:lineRule="auto"/>
        <w:rPr>
          <w:rFonts w:ascii="Arial" w:hAnsi="Arial" w:cs="Arial"/>
          <w:b/>
          <w:sz w:val="24"/>
          <w:szCs w:val="24"/>
        </w:rPr>
      </w:pPr>
      <w:r w:rsidRPr="00271C7A">
        <w:rPr>
          <w:rFonts w:ascii="Arial" w:hAnsi="Arial" w:cs="Arial"/>
          <w:b/>
          <w:sz w:val="24"/>
          <w:szCs w:val="24"/>
        </w:rPr>
        <w:t>2. ALTERAÇÕES FARMACOCINÉTICAS</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       Alterações no PH, devido à menor produção do ácido gástrico, afetam parte da população geriátrica, sendo que a maior parte dela mantém a produção gástrica durante toda vida. Em relação à motilidade gastrintestinal, podem ocorrer alterações, como redução no esvaziamento gástrico e redução no peristaltismo (WILEY, 2002).</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      Apesar de essas mudanças fisiológicas no trato gastrintestinal serem evidentes, sua influencia na biodisponibilidade dos fármacos ainda não foi totalmente esclarecida. Acredita-se que essas alterações possam interferir em maior grau na biodisponibilidade do que possuam uma menor solubilidade e permeabilidade (HOFFAMAN, 2004). </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     A massa muscular e reduzida com consequente diminuição do volume de distribuição de fármacos hidrofílicos, como a aspirina e muitos antimicrobianos. Sendo assim, doses semelhantes às empregadas em indivíduos jovens </w:t>
      </w:r>
      <w:r w:rsidRPr="00271C7A">
        <w:rPr>
          <w:rFonts w:ascii="Arial" w:hAnsi="Arial" w:cs="Arial"/>
          <w:sz w:val="24"/>
          <w:szCs w:val="24"/>
        </w:rPr>
        <w:lastRenderedPageBreak/>
        <w:t xml:space="preserve">poderão resultar em maiores concentrações plasmáticas, aumentando a probabilidade da ocorrência de reações adversas (FRANCO ET AL, 2007).  </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 xml:space="preserve"> Em acréscimo, a massa adiposa aumenta em 18 a 36% nos homens e em 33 a 45% nas mulheres (VESTAL 1997). Isso leva a um aumento no volume de distribuição de fármacos lipossolúveis, como os anestésicos gerais e benzodiazepínicos, que acabam por ser armazenados por mais tempo nesse </w:t>
      </w:r>
      <w:r>
        <w:rPr>
          <w:rFonts w:ascii="Arial" w:hAnsi="Arial" w:cs="Arial"/>
          <w:sz w:val="24"/>
          <w:szCs w:val="24"/>
        </w:rPr>
        <w:t>t</w:t>
      </w:r>
      <w:r w:rsidRPr="00271C7A">
        <w:rPr>
          <w:rFonts w:ascii="Arial" w:hAnsi="Arial" w:cs="Arial"/>
          <w:sz w:val="24"/>
          <w:szCs w:val="24"/>
        </w:rPr>
        <w:t xml:space="preserve">ecido, resultando no tempo de meia vida mais longo e consequentemente prolongando seus efeitos (HOFFAMAN, 2004). </w:t>
      </w:r>
    </w:p>
    <w:p w:rsidR="00F01682" w:rsidRPr="00271C7A" w:rsidRDefault="00F01682" w:rsidP="00F01682">
      <w:pPr>
        <w:spacing w:line="360" w:lineRule="auto"/>
        <w:jc w:val="both"/>
        <w:rPr>
          <w:rFonts w:ascii="Arial" w:hAnsi="Arial" w:cs="Arial"/>
          <w:sz w:val="24"/>
          <w:szCs w:val="24"/>
        </w:rPr>
      </w:pPr>
      <w:r w:rsidRPr="00271C7A">
        <w:rPr>
          <w:rFonts w:ascii="Arial" w:hAnsi="Arial" w:cs="Arial"/>
          <w:sz w:val="24"/>
          <w:szCs w:val="24"/>
        </w:rPr>
        <w:t>Na metabolização, os pacientes idosos podem apresentar redução da massa hepática com diminuição na quantidade de hepatócitos funcionais e redução do fluxo sanguíneo hepático (MONTAMAT ET AL. 1989</w:t>
      </w:r>
      <w:proofErr w:type="gramStart"/>
      <w:r w:rsidRPr="00271C7A">
        <w:rPr>
          <w:rFonts w:ascii="Arial" w:hAnsi="Arial" w:cs="Arial"/>
          <w:sz w:val="24"/>
          <w:szCs w:val="24"/>
        </w:rPr>
        <w:t>)</w:t>
      </w:r>
      <w:proofErr w:type="gramEnd"/>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 xml:space="preserve">Alterações na filtração glomerular, fluxo sanguíneo renal e secreção tubular podem apresentar uma redução na função renal em pacientes idosos. A taxa de filtração glomerular é considerada a mudança farmacocinética mais importante em idosos, reduzindo 25 </w:t>
      </w:r>
      <w:r>
        <w:rPr>
          <w:rFonts w:ascii="Arial" w:hAnsi="Arial" w:cs="Arial"/>
          <w:sz w:val="24"/>
          <w:szCs w:val="24"/>
        </w:rPr>
        <w:t>a 40</w:t>
      </w:r>
      <w:r w:rsidRPr="00271C7A">
        <w:rPr>
          <w:rFonts w:ascii="Arial" w:hAnsi="Arial" w:cs="Arial"/>
          <w:sz w:val="24"/>
          <w:szCs w:val="24"/>
        </w:rPr>
        <w:t xml:space="preserve">%, além disso, o fluxo sanguíneo renal é decrescido em quase 1% ao </w:t>
      </w:r>
      <w:proofErr w:type="spellStart"/>
      <w:proofErr w:type="gramStart"/>
      <w:r w:rsidRPr="00271C7A">
        <w:rPr>
          <w:rFonts w:ascii="Arial" w:hAnsi="Arial" w:cs="Arial"/>
          <w:sz w:val="24"/>
          <w:szCs w:val="24"/>
        </w:rPr>
        <w:t>ano,</w:t>
      </w:r>
      <w:proofErr w:type="gramEnd"/>
      <w:r w:rsidRPr="00271C7A">
        <w:rPr>
          <w:rFonts w:ascii="Arial" w:hAnsi="Arial" w:cs="Arial"/>
          <w:sz w:val="24"/>
          <w:szCs w:val="24"/>
        </w:rPr>
        <w:t>com</w:t>
      </w:r>
      <w:proofErr w:type="spellEnd"/>
      <w:r w:rsidRPr="00271C7A">
        <w:rPr>
          <w:rFonts w:ascii="Arial" w:hAnsi="Arial" w:cs="Arial"/>
          <w:sz w:val="24"/>
          <w:szCs w:val="24"/>
        </w:rPr>
        <w:t xml:space="preserve"> redução da secreção e da capacidade de reabsorção tubular(MUHBERG E PLATT,1999).</w:t>
      </w:r>
    </w:p>
    <w:p w:rsidR="009F2D1A" w:rsidRDefault="00F01682" w:rsidP="009F2D1A">
      <w:pPr>
        <w:spacing w:before="240" w:line="360" w:lineRule="auto"/>
        <w:rPr>
          <w:rFonts w:ascii="Arial" w:hAnsi="Arial" w:cs="Arial"/>
          <w:b/>
          <w:sz w:val="24"/>
          <w:szCs w:val="24"/>
        </w:rPr>
      </w:pPr>
      <w:r w:rsidRPr="00271C7A">
        <w:rPr>
          <w:rFonts w:ascii="Arial" w:hAnsi="Arial" w:cs="Arial"/>
          <w:b/>
          <w:sz w:val="24"/>
          <w:szCs w:val="24"/>
        </w:rPr>
        <w:t xml:space="preserve">2.1 ALTERAÇÕES FARMACODINÂMICAS </w:t>
      </w:r>
    </w:p>
    <w:p w:rsidR="00F01682" w:rsidRPr="00271C7A" w:rsidRDefault="00F01682" w:rsidP="009F2D1A">
      <w:pPr>
        <w:spacing w:before="240" w:line="360" w:lineRule="auto"/>
        <w:rPr>
          <w:rFonts w:ascii="Arial" w:hAnsi="Arial" w:cs="Arial"/>
          <w:sz w:val="24"/>
          <w:szCs w:val="24"/>
        </w:rPr>
      </w:pPr>
      <w:r w:rsidRPr="00271C7A">
        <w:rPr>
          <w:rFonts w:ascii="Arial" w:hAnsi="Arial" w:cs="Arial"/>
          <w:sz w:val="24"/>
          <w:szCs w:val="24"/>
        </w:rPr>
        <w:t>As interações farmacodinâmicas são as que fazem entre dois ou mais fármacos, através de seus próprios mecanismos de ação, ou competindo junto aos receptores específicos ou independentes de receptores (OGA, 2003b).</w:t>
      </w:r>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 xml:space="preserve">Pacientes idosos têm seus parâmetros farmacocinéticos e farmacodinâmicos alterados com a idade isso faz com que estes pacientes sejam mais sensíveis aos efeitos hipnóticos dos fármacos </w:t>
      </w:r>
      <w:proofErr w:type="spellStart"/>
      <w:r w:rsidRPr="00271C7A">
        <w:rPr>
          <w:rFonts w:ascii="Arial" w:hAnsi="Arial" w:cs="Arial"/>
          <w:sz w:val="24"/>
          <w:szCs w:val="24"/>
        </w:rPr>
        <w:t>propofol</w:t>
      </w:r>
      <w:proofErr w:type="spellEnd"/>
      <w:r w:rsidRPr="00271C7A">
        <w:rPr>
          <w:rFonts w:ascii="Arial" w:hAnsi="Arial" w:cs="Arial"/>
          <w:sz w:val="24"/>
          <w:szCs w:val="24"/>
        </w:rPr>
        <w:t xml:space="preserve"> (SCHNEIDER ET AL. 1998,1999).</w:t>
      </w:r>
    </w:p>
    <w:p w:rsidR="00F01682" w:rsidRPr="006F5B21" w:rsidRDefault="00F01682" w:rsidP="00F01682">
      <w:pPr>
        <w:spacing w:before="240" w:line="360" w:lineRule="auto"/>
        <w:jc w:val="both"/>
        <w:rPr>
          <w:rFonts w:ascii="Arial" w:hAnsi="Arial" w:cs="Arial"/>
          <w:sz w:val="24"/>
          <w:szCs w:val="24"/>
        </w:rPr>
      </w:pPr>
      <w:r w:rsidRPr="00271C7A">
        <w:rPr>
          <w:rFonts w:ascii="Arial" w:hAnsi="Arial" w:cs="Arial"/>
          <w:sz w:val="24"/>
          <w:szCs w:val="24"/>
        </w:rPr>
        <w:t>A frequência de efeitos adversos co</w:t>
      </w:r>
      <w:r w:rsidR="009F2D1A">
        <w:rPr>
          <w:rFonts w:ascii="Arial" w:hAnsi="Arial" w:cs="Arial"/>
          <w:sz w:val="24"/>
          <w:szCs w:val="24"/>
        </w:rPr>
        <w:t>m</w:t>
      </w:r>
      <w:r w:rsidRPr="00271C7A">
        <w:rPr>
          <w:rFonts w:ascii="Arial" w:hAnsi="Arial" w:cs="Arial"/>
          <w:sz w:val="24"/>
          <w:szCs w:val="24"/>
        </w:rPr>
        <w:t xml:space="preserve"> o uso de efeito </w:t>
      </w:r>
      <w:proofErr w:type="spellStart"/>
      <w:r w:rsidRPr="00271C7A">
        <w:rPr>
          <w:rFonts w:ascii="Arial" w:hAnsi="Arial" w:cs="Arial"/>
          <w:sz w:val="24"/>
          <w:szCs w:val="24"/>
        </w:rPr>
        <w:t>antiflamatórios</w:t>
      </w:r>
      <w:proofErr w:type="spellEnd"/>
      <w:r w:rsidRPr="00271C7A">
        <w:rPr>
          <w:rFonts w:ascii="Arial" w:hAnsi="Arial" w:cs="Arial"/>
          <w:sz w:val="24"/>
          <w:szCs w:val="24"/>
        </w:rPr>
        <w:t xml:space="preserve"> não </w:t>
      </w:r>
      <w:proofErr w:type="spellStart"/>
      <w:r w:rsidRPr="00271C7A">
        <w:rPr>
          <w:rFonts w:ascii="Arial" w:hAnsi="Arial" w:cs="Arial"/>
          <w:sz w:val="24"/>
          <w:szCs w:val="24"/>
        </w:rPr>
        <w:t>esteroidais</w:t>
      </w:r>
      <w:proofErr w:type="spellEnd"/>
      <w:r w:rsidRPr="00271C7A">
        <w:rPr>
          <w:rFonts w:ascii="Arial" w:hAnsi="Arial" w:cs="Arial"/>
          <w:sz w:val="24"/>
          <w:szCs w:val="24"/>
        </w:rPr>
        <w:t xml:space="preserve"> (AINES) no trato gastrintestinal e nos rins aumenta com a idade, sendo que 3 a 4% dos pacientes em tratamento com </w:t>
      </w:r>
      <w:proofErr w:type="spellStart"/>
      <w:r w:rsidRPr="00271C7A">
        <w:rPr>
          <w:rFonts w:ascii="Arial" w:hAnsi="Arial" w:cs="Arial"/>
          <w:sz w:val="24"/>
          <w:szCs w:val="24"/>
        </w:rPr>
        <w:t>AINEs</w:t>
      </w:r>
      <w:proofErr w:type="spellEnd"/>
      <w:r w:rsidRPr="00271C7A">
        <w:rPr>
          <w:rFonts w:ascii="Arial" w:hAnsi="Arial" w:cs="Arial"/>
          <w:sz w:val="24"/>
          <w:szCs w:val="24"/>
        </w:rPr>
        <w:t xml:space="preserve"> apresentaram </w:t>
      </w:r>
      <w:r>
        <w:rPr>
          <w:rFonts w:ascii="Arial" w:hAnsi="Arial" w:cs="Arial"/>
          <w:sz w:val="24"/>
          <w:szCs w:val="24"/>
        </w:rPr>
        <w:t>s</w:t>
      </w:r>
      <w:r w:rsidRPr="00271C7A">
        <w:rPr>
          <w:rFonts w:ascii="Arial" w:hAnsi="Arial" w:cs="Arial"/>
          <w:sz w:val="24"/>
          <w:szCs w:val="24"/>
        </w:rPr>
        <w:t xml:space="preserve">angramento em comparação com 1% dos indivíduos </w:t>
      </w:r>
      <w:r w:rsidRPr="006F5B21">
        <w:rPr>
          <w:rFonts w:ascii="Arial" w:hAnsi="Arial" w:cs="Arial"/>
          <w:sz w:val="24"/>
          <w:szCs w:val="24"/>
        </w:rPr>
        <w:t xml:space="preserve">Jovens (AGS </w:t>
      </w:r>
      <w:proofErr w:type="spellStart"/>
      <w:r w:rsidRPr="006F5B21">
        <w:rPr>
          <w:rFonts w:ascii="Arial" w:hAnsi="Arial" w:cs="Arial"/>
          <w:sz w:val="24"/>
          <w:szCs w:val="24"/>
        </w:rPr>
        <w:t>Panel</w:t>
      </w:r>
      <w:proofErr w:type="spellEnd"/>
      <w:r w:rsidRPr="006F5B21">
        <w:rPr>
          <w:rFonts w:ascii="Arial" w:hAnsi="Arial" w:cs="Arial"/>
          <w:sz w:val="24"/>
          <w:szCs w:val="24"/>
        </w:rPr>
        <w:t xml:space="preserve"> </w:t>
      </w:r>
      <w:proofErr w:type="spellStart"/>
      <w:r w:rsidRPr="006F5B21">
        <w:rPr>
          <w:rFonts w:ascii="Arial" w:hAnsi="Arial" w:cs="Arial"/>
          <w:sz w:val="24"/>
          <w:szCs w:val="24"/>
        </w:rPr>
        <w:t>on</w:t>
      </w:r>
      <w:proofErr w:type="spellEnd"/>
      <w:r w:rsidRPr="006F5B21">
        <w:rPr>
          <w:rFonts w:ascii="Arial" w:hAnsi="Arial" w:cs="Arial"/>
          <w:sz w:val="24"/>
          <w:szCs w:val="24"/>
        </w:rPr>
        <w:t xml:space="preserve"> </w:t>
      </w:r>
      <w:proofErr w:type="spellStart"/>
      <w:r w:rsidRPr="006F5B21">
        <w:rPr>
          <w:rFonts w:ascii="Arial" w:hAnsi="Arial" w:cs="Arial"/>
          <w:sz w:val="24"/>
          <w:szCs w:val="24"/>
        </w:rPr>
        <w:t>chronic</w:t>
      </w:r>
      <w:proofErr w:type="spellEnd"/>
      <w:r w:rsidRPr="006F5B21">
        <w:rPr>
          <w:rFonts w:ascii="Arial" w:hAnsi="Arial" w:cs="Arial"/>
          <w:sz w:val="24"/>
          <w:szCs w:val="24"/>
        </w:rPr>
        <w:t xml:space="preserve"> </w:t>
      </w:r>
      <w:proofErr w:type="spellStart"/>
      <w:r w:rsidRPr="006F5B21">
        <w:rPr>
          <w:rFonts w:ascii="Arial" w:hAnsi="Arial" w:cs="Arial"/>
          <w:sz w:val="24"/>
          <w:szCs w:val="24"/>
        </w:rPr>
        <w:t>Pain</w:t>
      </w:r>
      <w:proofErr w:type="spellEnd"/>
      <w:r w:rsidRPr="006F5B21">
        <w:rPr>
          <w:rFonts w:ascii="Arial" w:hAnsi="Arial" w:cs="Arial"/>
          <w:sz w:val="24"/>
          <w:szCs w:val="24"/>
        </w:rPr>
        <w:t xml:space="preserve"> in </w:t>
      </w:r>
      <w:proofErr w:type="spellStart"/>
      <w:r w:rsidRPr="006F5B21">
        <w:rPr>
          <w:rFonts w:ascii="Arial" w:hAnsi="Arial" w:cs="Arial"/>
          <w:sz w:val="24"/>
          <w:szCs w:val="24"/>
        </w:rPr>
        <w:t>Older</w:t>
      </w:r>
      <w:proofErr w:type="spellEnd"/>
      <w:r w:rsidRPr="006F5B21">
        <w:rPr>
          <w:rFonts w:ascii="Arial" w:hAnsi="Arial" w:cs="Arial"/>
          <w:sz w:val="24"/>
          <w:szCs w:val="24"/>
        </w:rPr>
        <w:t xml:space="preserve"> </w:t>
      </w:r>
      <w:proofErr w:type="spellStart"/>
      <w:r w:rsidRPr="006F5B21">
        <w:rPr>
          <w:rFonts w:ascii="Arial" w:hAnsi="Arial" w:cs="Arial"/>
          <w:sz w:val="24"/>
          <w:szCs w:val="24"/>
        </w:rPr>
        <w:t>Persons</w:t>
      </w:r>
      <w:proofErr w:type="spellEnd"/>
      <w:r w:rsidRPr="006F5B21">
        <w:rPr>
          <w:rFonts w:ascii="Arial" w:hAnsi="Arial" w:cs="Arial"/>
          <w:sz w:val="24"/>
          <w:szCs w:val="24"/>
        </w:rPr>
        <w:t xml:space="preserve">, 1998; </w:t>
      </w:r>
      <w:proofErr w:type="gramStart"/>
      <w:r w:rsidRPr="006F5B21">
        <w:rPr>
          <w:rFonts w:ascii="Arial" w:hAnsi="Arial" w:cs="Arial"/>
          <w:sz w:val="24"/>
          <w:szCs w:val="24"/>
        </w:rPr>
        <w:t>et</w:t>
      </w:r>
      <w:proofErr w:type="gramEnd"/>
      <w:r w:rsidRPr="006F5B21">
        <w:rPr>
          <w:rFonts w:ascii="Arial" w:hAnsi="Arial" w:cs="Arial"/>
          <w:sz w:val="24"/>
          <w:szCs w:val="24"/>
        </w:rPr>
        <w:t xml:space="preserve"> al., 1999).</w:t>
      </w:r>
    </w:p>
    <w:p w:rsidR="00F01682" w:rsidRPr="00271C7A" w:rsidRDefault="00F01682" w:rsidP="00F01682">
      <w:pPr>
        <w:spacing w:before="240" w:line="360" w:lineRule="auto"/>
        <w:jc w:val="both"/>
        <w:rPr>
          <w:rFonts w:ascii="Arial" w:hAnsi="Arial" w:cs="Arial"/>
          <w:b/>
          <w:sz w:val="24"/>
          <w:szCs w:val="24"/>
        </w:rPr>
      </w:pPr>
      <w:r w:rsidRPr="00271C7A">
        <w:rPr>
          <w:rFonts w:ascii="Arial" w:hAnsi="Arial" w:cs="Arial"/>
          <w:b/>
          <w:sz w:val="24"/>
          <w:szCs w:val="24"/>
        </w:rPr>
        <w:lastRenderedPageBreak/>
        <w:t>3. INTERAÇÕES MEDICAMENTOSAS</w:t>
      </w:r>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Interações medicamentosas são ações recíprocas dos componentes ativos dos medicamentos. Os efeitos resultantes podem ser benéficos quando melhoram a eficácia terapêutica ou reduzem seus efeitos adversos. As interações são prejudiciais quando aumentam exageradamente os efeitos farmacológicos dos princípios ativos, ou estes se antagonizam a ponto de anular, mesmos que parcialmente, seus efeitos terapêuticos.</w:t>
      </w:r>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 xml:space="preserve">Vários medicamentos comumente usados por idosos como, por exemplo, </w:t>
      </w:r>
      <w:proofErr w:type="spellStart"/>
      <w:r w:rsidRPr="00271C7A">
        <w:rPr>
          <w:rFonts w:ascii="Arial" w:hAnsi="Arial" w:cs="Arial"/>
          <w:sz w:val="24"/>
          <w:szCs w:val="24"/>
        </w:rPr>
        <w:t>antiiflamatórios</w:t>
      </w:r>
      <w:proofErr w:type="spellEnd"/>
      <w:r w:rsidRPr="00271C7A">
        <w:rPr>
          <w:rFonts w:ascii="Arial" w:hAnsi="Arial" w:cs="Arial"/>
          <w:sz w:val="24"/>
          <w:szCs w:val="24"/>
        </w:rPr>
        <w:t xml:space="preserve"> </w:t>
      </w:r>
      <w:proofErr w:type="spellStart"/>
      <w:r w:rsidRPr="00271C7A">
        <w:rPr>
          <w:rFonts w:ascii="Arial" w:hAnsi="Arial" w:cs="Arial"/>
          <w:sz w:val="24"/>
          <w:szCs w:val="24"/>
        </w:rPr>
        <w:t>esteroidais</w:t>
      </w:r>
      <w:proofErr w:type="spellEnd"/>
      <w:r w:rsidRPr="00271C7A">
        <w:rPr>
          <w:rFonts w:ascii="Arial" w:hAnsi="Arial" w:cs="Arial"/>
          <w:sz w:val="24"/>
          <w:szCs w:val="24"/>
        </w:rPr>
        <w:t xml:space="preserve"> (AINES), beta- bloqueadores, inibidores da enzima conversora de angiotensina (IECA), diuréticos, digoxina, </w:t>
      </w:r>
      <w:proofErr w:type="spellStart"/>
      <w:r w:rsidRPr="00271C7A">
        <w:rPr>
          <w:rFonts w:ascii="Arial" w:hAnsi="Arial" w:cs="Arial"/>
          <w:sz w:val="24"/>
          <w:szCs w:val="24"/>
        </w:rPr>
        <w:t>antilipidêmicos</w:t>
      </w:r>
      <w:proofErr w:type="spellEnd"/>
      <w:r w:rsidRPr="00271C7A">
        <w:rPr>
          <w:rFonts w:ascii="Arial" w:hAnsi="Arial" w:cs="Arial"/>
          <w:sz w:val="24"/>
          <w:szCs w:val="24"/>
        </w:rPr>
        <w:t xml:space="preserve">, depressores do sistema nervoso central são potencialmente interativos. </w:t>
      </w:r>
      <w:proofErr w:type="spellStart"/>
      <w:proofErr w:type="gramStart"/>
      <w:r w:rsidRPr="00271C7A">
        <w:rPr>
          <w:rFonts w:ascii="Arial" w:hAnsi="Arial" w:cs="Arial"/>
          <w:sz w:val="24"/>
          <w:szCs w:val="24"/>
        </w:rPr>
        <w:t>Há,</w:t>
      </w:r>
      <w:proofErr w:type="gramEnd"/>
      <w:r w:rsidRPr="00271C7A">
        <w:rPr>
          <w:rFonts w:ascii="Arial" w:hAnsi="Arial" w:cs="Arial"/>
          <w:sz w:val="24"/>
          <w:szCs w:val="24"/>
        </w:rPr>
        <w:t>ainda</w:t>
      </w:r>
      <w:proofErr w:type="spellEnd"/>
      <w:r w:rsidRPr="00271C7A">
        <w:rPr>
          <w:rFonts w:ascii="Arial" w:hAnsi="Arial" w:cs="Arial"/>
          <w:sz w:val="24"/>
          <w:szCs w:val="24"/>
        </w:rPr>
        <w:t>, os indutores(</w:t>
      </w:r>
      <w:proofErr w:type="spellStart"/>
      <w:r w:rsidRPr="00271C7A">
        <w:rPr>
          <w:rFonts w:ascii="Arial" w:hAnsi="Arial" w:cs="Arial"/>
          <w:sz w:val="24"/>
          <w:szCs w:val="24"/>
        </w:rPr>
        <w:t>fenitoína,carbamazepina</w:t>
      </w:r>
      <w:proofErr w:type="spellEnd"/>
      <w:r w:rsidRPr="00271C7A">
        <w:rPr>
          <w:rFonts w:ascii="Arial" w:hAnsi="Arial" w:cs="Arial"/>
          <w:sz w:val="24"/>
          <w:szCs w:val="24"/>
        </w:rPr>
        <w:t xml:space="preserve">)e inibidores enzimáticos como, por exemplo, </w:t>
      </w:r>
      <w:proofErr w:type="spellStart"/>
      <w:r w:rsidRPr="00271C7A">
        <w:rPr>
          <w:rFonts w:ascii="Arial" w:hAnsi="Arial" w:cs="Arial"/>
          <w:sz w:val="24"/>
          <w:szCs w:val="24"/>
        </w:rPr>
        <w:t>cimetidina</w:t>
      </w:r>
      <w:proofErr w:type="spellEnd"/>
      <w:r w:rsidRPr="00271C7A">
        <w:rPr>
          <w:rFonts w:ascii="Arial" w:hAnsi="Arial" w:cs="Arial"/>
          <w:sz w:val="24"/>
          <w:szCs w:val="24"/>
        </w:rPr>
        <w:t xml:space="preserve">, </w:t>
      </w:r>
      <w:proofErr w:type="spellStart"/>
      <w:r w:rsidRPr="00271C7A">
        <w:rPr>
          <w:rFonts w:ascii="Arial" w:hAnsi="Arial" w:cs="Arial"/>
          <w:sz w:val="24"/>
          <w:szCs w:val="24"/>
        </w:rPr>
        <w:t>omeprazol</w:t>
      </w:r>
      <w:proofErr w:type="spellEnd"/>
      <w:r w:rsidRPr="00271C7A">
        <w:rPr>
          <w:rFonts w:ascii="Arial" w:hAnsi="Arial" w:cs="Arial"/>
          <w:sz w:val="24"/>
          <w:szCs w:val="24"/>
        </w:rPr>
        <w:t xml:space="preserve"> </w:t>
      </w:r>
      <w:proofErr w:type="spellStart"/>
      <w:r w:rsidRPr="00271C7A">
        <w:rPr>
          <w:rFonts w:ascii="Arial" w:hAnsi="Arial" w:cs="Arial"/>
          <w:sz w:val="24"/>
          <w:szCs w:val="24"/>
        </w:rPr>
        <w:t>que,frequentemente</w:t>
      </w:r>
      <w:proofErr w:type="spellEnd"/>
      <w:r w:rsidRPr="00271C7A">
        <w:rPr>
          <w:rFonts w:ascii="Arial" w:hAnsi="Arial" w:cs="Arial"/>
          <w:sz w:val="24"/>
          <w:szCs w:val="24"/>
        </w:rPr>
        <w:t>, encontram se envolvidos nas interações medicamentosas, que ameaçam à saúde do idoso.(PRYBYS KM, 2002).</w:t>
      </w:r>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É fundamental que os profissionais conheçam esses medicamentos potencialmente interativos, no intuito de prevenir eventos adversos decorrentes da combinação terapêutica. Apesar do difícil estabelecimento de relação causal, é possível predizer algumas interações medicamentosas.</w:t>
      </w:r>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 xml:space="preserve">A terapia combinada do </w:t>
      </w:r>
      <w:proofErr w:type="spellStart"/>
      <w:r w:rsidRPr="00271C7A">
        <w:rPr>
          <w:rFonts w:ascii="Arial" w:hAnsi="Arial" w:cs="Arial"/>
          <w:sz w:val="24"/>
          <w:szCs w:val="24"/>
        </w:rPr>
        <w:t>AINEs</w:t>
      </w:r>
      <w:proofErr w:type="spellEnd"/>
      <w:r w:rsidRPr="00271C7A">
        <w:rPr>
          <w:rFonts w:ascii="Arial" w:hAnsi="Arial" w:cs="Arial"/>
          <w:sz w:val="24"/>
          <w:szCs w:val="24"/>
        </w:rPr>
        <w:t xml:space="preserve"> e diuréticos </w:t>
      </w:r>
      <w:proofErr w:type="spellStart"/>
      <w:r w:rsidRPr="00271C7A">
        <w:rPr>
          <w:rFonts w:ascii="Arial" w:hAnsi="Arial" w:cs="Arial"/>
          <w:sz w:val="24"/>
          <w:szCs w:val="24"/>
        </w:rPr>
        <w:t>tiazídicos</w:t>
      </w:r>
      <w:proofErr w:type="spellEnd"/>
      <w:r w:rsidRPr="00271C7A">
        <w:rPr>
          <w:rFonts w:ascii="Arial" w:hAnsi="Arial" w:cs="Arial"/>
          <w:sz w:val="24"/>
          <w:szCs w:val="24"/>
        </w:rPr>
        <w:t xml:space="preserve">, bem como dos IECA e </w:t>
      </w:r>
      <w:proofErr w:type="spellStart"/>
      <w:r w:rsidRPr="00271C7A">
        <w:rPr>
          <w:rFonts w:ascii="Arial" w:hAnsi="Arial" w:cs="Arial"/>
          <w:sz w:val="24"/>
          <w:szCs w:val="24"/>
        </w:rPr>
        <w:t>AINEs</w:t>
      </w:r>
      <w:proofErr w:type="spellEnd"/>
      <w:r w:rsidRPr="00271C7A">
        <w:rPr>
          <w:rFonts w:ascii="Arial" w:hAnsi="Arial" w:cs="Arial"/>
          <w:sz w:val="24"/>
          <w:szCs w:val="24"/>
        </w:rPr>
        <w:t xml:space="preserve"> pode causar alterações da função renal, desequilíbrio eletrolítico, </w:t>
      </w:r>
      <w:proofErr w:type="spellStart"/>
      <w:r w:rsidRPr="00271C7A">
        <w:rPr>
          <w:rFonts w:ascii="Arial" w:hAnsi="Arial" w:cs="Arial"/>
          <w:sz w:val="24"/>
          <w:szCs w:val="24"/>
        </w:rPr>
        <w:t>alem</w:t>
      </w:r>
      <w:proofErr w:type="spellEnd"/>
      <w:r w:rsidRPr="00271C7A">
        <w:rPr>
          <w:rFonts w:ascii="Arial" w:hAnsi="Arial" w:cs="Arial"/>
          <w:sz w:val="24"/>
          <w:szCs w:val="24"/>
        </w:rPr>
        <w:t xml:space="preserve"> de afetar a eficácia da terapia </w:t>
      </w:r>
      <w:proofErr w:type="spellStart"/>
      <w:r w:rsidRPr="00271C7A">
        <w:rPr>
          <w:rFonts w:ascii="Arial" w:hAnsi="Arial" w:cs="Arial"/>
          <w:sz w:val="24"/>
          <w:szCs w:val="24"/>
        </w:rPr>
        <w:t>antihipertensiva</w:t>
      </w:r>
      <w:proofErr w:type="spellEnd"/>
      <w:r w:rsidRPr="00271C7A">
        <w:rPr>
          <w:rFonts w:ascii="Arial" w:hAnsi="Arial" w:cs="Arial"/>
          <w:sz w:val="24"/>
          <w:szCs w:val="24"/>
        </w:rPr>
        <w:t xml:space="preserve">. </w:t>
      </w:r>
      <w:r>
        <w:rPr>
          <w:rFonts w:ascii="Arial" w:hAnsi="Arial" w:cs="Arial"/>
          <w:sz w:val="24"/>
          <w:szCs w:val="24"/>
        </w:rPr>
        <w:t>(GALVÃO, 2006).</w:t>
      </w:r>
    </w:p>
    <w:p w:rsidR="00F01682" w:rsidRPr="00271C7A" w:rsidRDefault="00F01682" w:rsidP="00F01682">
      <w:pPr>
        <w:spacing w:before="240" w:line="360" w:lineRule="auto"/>
        <w:jc w:val="both"/>
        <w:rPr>
          <w:rFonts w:ascii="Arial" w:hAnsi="Arial" w:cs="Arial"/>
          <w:sz w:val="24"/>
          <w:szCs w:val="24"/>
        </w:rPr>
      </w:pPr>
      <w:r w:rsidRPr="00271C7A">
        <w:rPr>
          <w:rFonts w:ascii="Arial" w:hAnsi="Arial" w:cs="Arial"/>
          <w:sz w:val="24"/>
          <w:szCs w:val="24"/>
        </w:rPr>
        <w:t xml:space="preserve">A </w:t>
      </w:r>
      <w:proofErr w:type="spellStart"/>
      <w:r w:rsidRPr="00271C7A">
        <w:rPr>
          <w:rFonts w:ascii="Arial" w:hAnsi="Arial" w:cs="Arial"/>
          <w:sz w:val="24"/>
          <w:szCs w:val="24"/>
        </w:rPr>
        <w:t>amiodarona</w:t>
      </w:r>
      <w:proofErr w:type="spellEnd"/>
      <w:r w:rsidRPr="00271C7A">
        <w:rPr>
          <w:rFonts w:ascii="Arial" w:hAnsi="Arial" w:cs="Arial"/>
          <w:sz w:val="24"/>
          <w:szCs w:val="24"/>
        </w:rPr>
        <w:t xml:space="preserve"> e a digoxina usadas por muitos idosos que apresentam doenças cardiovasculares são implicadas em interações medicamentosas graves que podem causar respectivamente </w:t>
      </w:r>
      <w:proofErr w:type="spellStart"/>
      <w:r w:rsidRPr="00271C7A">
        <w:rPr>
          <w:rFonts w:ascii="Arial" w:hAnsi="Arial" w:cs="Arial"/>
          <w:sz w:val="24"/>
          <w:szCs w:val="24"/>
        </w:rPr>
        <w:t>cardiotoxicidade</w:t>
      </w:r>
      <w:proofErr w:type="spellEnd"/>
      <w:r w:rsidRPr="00271C7A">
        <w:rPr>
          <w:rFonts w:ascii="Arial" w:hAnsi="Arial" w:cs="Arial"/>
          <w:sz w:val="24"/>
          <w:szCs w:val="24"/>
        </w:rPr>
        <w:t xml:space="preserve"> e intoxicação digitálica. Muitas das interações medicamentosas apresentam grande impacto podendo resultar morte, hospitalização, injúria permanente do paciente ou insucesso terapêutico.</w:t>
      </w:r>
    </w:p>
    <w:tbl>
      <w:tblPr>
        <w:tblStyle w:val="Tabelacomgrade"/>
        <w:tblW w:w="0" w:type="auto"/>
        <w:tblLook w:val="04A0" w:firstRow="1" w:lastRow="0" w:firstColumn="1" w:lastColumn="0" w:noHBand="0" w:noVBand="1"/>
      </w:tblPr>
      <w:tblGrid>
        <w:gridCol w:w="2373"/>
        <w:gridCol w:w="3696"/>
        <w:gridCol w:w="2651"/>
      </w:tblGrid>
      <w:tr w:rsidR="00F01682" w:rsidRPr="001140AD" w:rsidTr="008A5AE8">
        <w:tc>
          <w:tcPr>
            <w:tcW w:w="0" w:type="auto"/>
            <w:tcBorders>
              <w:bottom w:val="nil"/>
            </w:tcBorders>
            <w:shd w:val="clear" w:color="auto" w:fill="4F81BD" w:themeFill="accent1"/>
          </w:tcPr>
          <w:p w:rsidR="00F01682" w:rsidRPr="001140AD" w:rsidRDefault="00F01682" w:rsidP="008A5AE8">
            <w:pPr>
              <w:rPr>
                <w:rFonts w:ascii="Arial" w:hAnsi="Arial" w:cs="Arial"/>
                <w:b/>
                <w:sz w:val="20"/>
                <w:szCs w:val="20"/>
              </w:rPr>
            </w:pPr>
            <w:r w:rsidRPr="001140AD">
              <w:rPr>
                <w:rFonts w:ascii="Arial" w:hAnsi="Arial" w:cs="Arial"/>
                <w:b/>
                <w:sz w:val="20"/>
                <w:szCs w:val="20"/>
              </w:rPr>
              <w:t>CLASSE TERAPÊUTICA /MEDICAMENTO</w:t>
            </w:r>
          </w:p>
        </w:tc>
        <w:tc>
          <w:tcPr>
            <w:tcW w:w="0" w:type="auto"/>
            <w:shd w:val="clear" w:color="auto" w:fill="4F81BD" w:themeFill="accent1"/>
          </w:tcPr>
          <w:p w:rsidR="00F01682" w:rsidRPr="001140AD" w:rsidRDefault="00F01682" w:rsidP="008A5AE8">
            <w:pPr>
              <w:rPr>
                <w:rFonts w:ascii="Arial" w:hAnsi="Arial" w:cs="Arial"/>
                <w:b/>
                <w:sz w:val="20"/>
                <w:szCs w:val="20"/>
              </w:rPr>
            </w:pPr>
            <w:r w:rsidRPr="001140AD">
              <w:rPr>
                <w:rFonts w:ascii="Arial" w:hAnsi="Arial" w:cs="Arial"/>
                <w:b/>
                <w:sz w:val="20"/>
                <w:szCs w:val="20"/>
              </w:rPr>
              <w:t>REAÇÕES ADVERSAS</w:t>
            </w:r>
          </w:p>
        </w:tc>
        <w:tc>
          <w:tcPr>
            <w:tcW w:w="0" w:type="auto"/>
            <w:shd w:val="clear" w:color="auto" w:fill="4F81BD" w:themeFill="accent1"/>
          </w:tcPr>
          <w:p w:rsidR="00F01682" w:rsidRPr="001140AD" w:rsidRDefault="00F01682" w:rsidP="008A5AE8">
            <w:pPr>
              <w:rPr>
                <w:rFonts w:ascii="Arial" w:hAnsi="Arial" w:cs="Arial"/>
                <w:b/>
                <w:sz w:val="20"/>
                <w:szCs w:val="20"/>
              </w:rPr>
            </w:pPr>
            <w:r w:rsidRPr="001140AD">
              <w:rPr>
                <w:rFonts w:ascii="Arial" w:hAnsi="Arial" w:cs="Arial"/>
                <w:b/>
                <w:sz w:val="20"/>
                <w:szCs w:val="20"/>
              </w:rPr>
              <w:t>CONSEQUÊNCIA CLÍNICA</w:t>
            </w:r>
          </w:p>
        </w:tc>
      </w:tr>
      <w:tr w:rsidR="00F01682" w:rsidRPr="001140AD" w:rsidTr="008A5AE8">
        <w:tc>
          <w:tcPr>
            <w:tcW w:w="0" w:type="auto"/>
            <w:tcBorders>
              <w:top w:val="nil"/>
            </w:tcBorders>
          </w:tcPr>
          <w:p w:rsidR="00F01682" w:rsidRPr="001140AD" w:rsidRDefault="00F01682" w:rsidP="008A5AE8">
            <w:pPr>
              <w:rPr>
                <w:rFonts w:ascii="Arial" w:hAnsi="Arial" w:cs="Arial"/>
                <w:sz w:val="20"/>
                <w:szCs w:val="20"/>
              </w:rPr>
            </w:pPr>
            <w:r w:rsidRPr="001140AD">
              <w:rPr>
                <w:rFonts w:ascii="Arial" w:hAnsi="Arial" w:cs="Arial"/>
                <w:sz w:val="20"/>
                <w:szCs w:val="20"/>
              </w:rPr>
              <w:t>Anti-inflamatórios não-</w:t>
            </w:r>
            <w:proofErr w:type="spellStart"/>
            <w:r w:rsidRPr="001140AD">
              <w:rPr>
                <w:rFonts w:ascii="Arial" w:hAnsi="Arial" w:cs="Arial"/>
                <w:sz w:val="20"/>
                <w:szCs w:val="20"/>
              </w:rPr>
              <w:t>esteroidais</w:t>
            </w:r>
            <w:proofErr w:type="spellEnd"/>
            <w:r w:rsidRPr="001140AD">
              <w:rPr>
                <w:rFonts w:ascii="Arial" w:hAnsi="Arial" w:cs="Arial"/>
                <w:sz w:val="20"/>
                <w:szCs w:val="20"/>
              </w:rPr>
              <w:t xml:space="preserve"> </w:t>
            </w:r>
          </w:p>
        </w:tc>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 xml:space="preserve">Irritação e úlcera gástrica, </w:t>
            </w:r>
            <w:proofErr w:type="spellStart"/>
            <w:r w:rsidRPr="001140AD">
              <w:rPr>
                <w:rFonts w:ascii="Arial" w:hAnsi="Arial" w:cs="Arial"/>
                <w:sz w:val="20"/>
                <w:szCs w:val="20"/>
              </w:rPr>
              <w:t>nefrotoxicidade</w:t>
            </w:r>
            <w:proofErr w:type="spellEnd"/>
            <w:r w:rsidRPr="001140AD">
              <w:rPr>
                <w:rFonts w:ascii="Arial" w:hAnsi="Arial" w:cs="Arial"/>
                <w:sz w:val="20"/>
                <w:szCs w:val="20"/>
              </w:rPr>
              <w:t>.</w:t>
            </w:r>
          </w:p>
        </w:tc>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Hemorragia, anemia, insuficiência renal, retenção de sódio.</w:t>
            </w:r>
          </w:p>
        </w:tc>
      </w:tr>
      <w:tr w:rsidR="00F01682" w:rsidRPr="001140AD" w:rsidTr="008A5AE8">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lastRenderedPageBreak/>
              <w:t>Anticolinérgicos</w:t>
            </w:r>
          </w:p>
        </w:tc>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Redução da motilidade do TGI, boca seca, hipotonia vesical, sedação, hipotensão ortostática, visão borrada.</w:t>
            </w:r>
          </w:p>
        </w:tc>
        <w:tc>
          <w:tcPr>
            <w:tcW w:w="0" w:type="auto"/>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Constipação, retenção urinária, confusão, quedas.</w:t>
            </w:r>
          </w:p>
        </w:tc>
      </w:tr>
      <w:tr w:rsidR="00F01682" w:rsidRPr="001140AD" w:rsidTr="008A5AE8">
        <w:tc>
          <w:tcPr>
            <w:tcW w:w="0" w:type="auto"/>
          </w:tcPr>
          <w:p w:rsidR="00F01682" w:rsidRPr="001140AD" w:rsidRDefault="00F01682" w:rsidP="008A5AE8">
            <w:pPr>
              <w:rPr>
                <w:rFonts w:ascii="Arial" w:hAnsi="Arial" w:cs="Arial"/>
                <w:sz w:val="20"/>
                <w:szCs w:val="20"/>
              </w:rPr>
            </w:pPr>
            <w:proofErr w:type="spellStart"/>
            <w:r w:rsidRPr="001140AD">
              <w:rPr>
                <w:rFonts w:ascii="Arial" w:hAnsi="Arial" w:cs="Arial"/>
                <w:sz w:val="20"/>
                <w:szCs w:val="20"/>
              </w:rPr>
              <w:t>Benzoadizepínicos</w:t>
            </w:r>
            <w:proofErr w:type="spellEnd"/>
          </w:p>
        </w:tc>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 xml:space="preserve">Hipotensão, fadiga, náusea, visão borrada, </w:t>
            </w:r>
            <w:proofErr w:type="spellStart"/>
            <w:r w:rsidRPr="001140AD">
              <w:rPr>
                <w:rFonts w:ascii="Arial" w:hAnsi="Arial" w:cs="Arial"/>
                <w:sz w:val="20"/>
                <w:szCs w:val="20"/>
              </w:rPr>
              <w:t>rash</w:t>
            </w:r>
            <w:proofErr w:type="spellEnd"/>
            <w:r w:rsidRPr="001140AD">
              <w:rPr>
                <w:rFonts w:ascii="Arial" w:hAnsi="Arial" w:cs="Arial"/>
                <w:sz w:val="20"/>
                <w:szCs w:val="20"/>
              </w:rPr>
              <w:t xml:space="preserve"> cutâneo.</w:t>
            </w:r>
          </w:p>
        </w:tc>
        <w:tc>
          <w:tcPr>
            <w:tcW w:w="0" w:type="auto"/>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Fratura de quadril, quedas, prejuízo na memória e confusão.</w:t>
            </w:r>
          </w:p>
        </w:tc>
      </w:tr>
      <w:tr w:rsidR="00F01682" w:rsidRPr="001140AD" w:rsidTr="008A5AE8">
        <w:tc>
          <w:tcPr>
            <w:tcW w:w="0" w:type="auto"/>
          </w:tcPr>
          <w:p w:rsidR="00F01682" w:rsidRPr="001140AD" w:rsidRDefault="00F01682" w:rsidP="008A5AE8">
            <w:pPr>
              <w:rPr>
                <w:rFonts w:ascii="Arial" w:hAnsi="Arial" w:cs="Arial"/>
                <w:sz w:val="20"/>
                <w:szCs w:val="20"/>
              </w:rPr>
            </w:pPr>
            <w:proofErr w:type="spellStart"/>
            <w:r w:rsidRPr="001140AD">
              <w:rPr>
                <w:rFonts w:ascii="Arial" w:hAnsi="Arial" w:cs="Arial"/>
                <w:sz w:val="20"/>
                <w:szCs w:val="20"/>
              </w:rPr>
              <w:t>Beta-bloqueadores</w:t>
            </w:r>
            <w:proofErr w:type="spellEnd"/>
          </w:p>
        </w:tc>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Redução da contratilidade miocárdica, da condução elétrica e da frequência cardíaca, sedação leve, hipotensão ortostática.</w:t>
            </w:r>
          </w:p>
        </w:tc>
        <w:tc>
          <w:tcPr>
            <w:tcW w:w="0" w:type="auto"/>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Bradicardia, insuficiência cardíaca, confusão, quedas.</w:t>
            </w:r>
          </w:p>
        </w:tc>
      </w:tr>
      <w:tr w:rsidR="00F01682" w:rsidRPr="001140AD" w:rsidTr="008A5AE8">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Digoxina</w:t>
            </w:r>
          </w:p>
        </w:tc>
        <w:tc>
          <w:tcPr>
            <w:tcW w:w="0" w:type="auto"/>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Redução da condução elétrica cardíaca,</w:t>
            </w:r>
          </w:p>
          <w:p w:rsidR="00F01682" w:rsidRPr="001140AD" w:rsidRDefault="00F01682" w:rsidP="008A5AE8">
            <w:pPr>
              <w:rPr>
                <w:rFonts w:ascii="Arial" w:hAnsi="Arial" w:cs="Arial"/>
                <w:sz w:val="20"/>
                <w:szCs w:val="20"/>
              </w:rPr>
            </w:pPr>
            <w:r w:rsidRPr="001140AD">
              <w:rPr>
                <w:rFonts w:ascii="Arial" w:hAnsi="Arial" w:cs="Arial"/>
                <w:sz w:val="20"/>
                <w:szCs w:val="20"/>
              </w:rPr>
              <w:t>Distúrbios no TGI.</w:t>
            </w:r>
          </w:p>
        </w:tc>
        <w:tc>
          <w:tcPr>
            <w:tcW w:w="0" w:type="auto"/>
          </w:tcPr>
          <w:p w:rsidR="00F01682" w:rsidRPr="001140AD" w:rsidRDefault="00F01682" w:rsidP="008A5AE8">
            <w:pPr>
              <w:rPr>
                <w:rFonts w:ascii="Arial" w:hAnsi="Arial" w:cs="Arial"/>
                <w:sz w:val="20"/>
                <w:szCs w:val="20"/>
              </w:rPr>
            </w:pPr>
            <w:r w:rsidRPr="001140AD">
              <w:rPr>
                <w:rFonts w:ascii="Arial" w:hAnsi="Arial" w:cs="Arial"/>
                <w:sz w:val="20"/>
                <w:szCs w:val="20"/>
              </w:rPr>
              <w:t>Arritmias, náusea, anorexia.</w:t>
            </w:r>
          </w:p>
        </w:tc>
      </w:tr>
      <w:tr w:rsidR="00F01682" w:rsidRPr="001140AD" w:rsidTr="008A5AE8">
        <w:tc>
          <w:tcPr>
            <w:tcW w:w="0" w:type="auto"/>
          </w:tcPr>
          <w:p w:rsidR="00F01682" w:rsidRPr="001140AD" w:rsidRDefault="00F01682" w:rsidP="008A5AE8">
            <w:pPr>
              <w:rPr>
                <w:rFonts w:ascii="Arial" w:hAnsi="Arial" w:cs="Arial"/>
                <w:sz w:val="20"/>
                <w:szCs w:val="20"/>
              </w:rPr>
            </w:pPr>
            <w:proofErr w:type="spellStart"/>
            <w:r w:rsidRPr="001140AD">
              <w:rPr>
                <w:rFonts w:ascii="Arial" w:hAnsi="Arial" w:cs="Arial"/>
                <w:sz w:val="20"/>
                <w:szCs w:val="20"/>
              </w:rPr>
              <w:t>Neurolépticos</w:t>
            </w:r>
            <w:proofErr w:type="spellEnd"/>
          </w:p>
        </w:tc>
        <w:tc>
          <w:tcPr>
            <w:tcW w:w="0" w:type="auto"/>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 xml:space="preserve">Sedação, </w:t>
            </w:r>
            <w:proofErr w:type="spellStart"/>
            <w:r w:rsidRPr="001140AD">
              <w:rPr>
                <w:rFonts w:ascii="Arial" w:hAnsi="Arial" w:cs="Arial"/>
                <w:sz w:val="20"/>
                <w:szCs w:val="20"/>
              </w:rPr>
              <w:t>discinesia</w:t>
            </w:r>
            <w:proofErr w:type="spellEnd"/>
            <w:r w:rsidRPr="001140AD">
              <w:rPr>
                <w:rFonts w:ascii="Arial" w:hAnsi="Arial" w:cs="Arial"/>
                <w:sz w:val="20"/>
                <w:szCs w:val="20"/>
              </w:rPr>
              <w:t xml:space="preserve"> tardia, redução dos     efeitos anticolinérgicos, distonia.    </w:t>
            </w:r>
          </w:p>
        </w:tc>
        <w:tc>
          <w:tcPr>
            <w:tcW w:w="0" w:type="auto"/>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Quedas, fratura de quadril, confusão, isolamento social.</w:t>
            </w:r>
          </w:p>
        </w:tc>
      </w:tr>
    </w:tbl>
    <w:p w:rsidR="00F01682" w:rsidRDefault="00F01682" w:rsidP="00F01682">
      <w:pPr>
        <w:autoSpaceDE w:val="0"/>
        <w:autoSpaceDN w:val="0"/>
        <w:adjustRightInd w:val="0"/>
        <w:spacing w:after="0" w:line="240" w:lineRule="auto"/>
        <w:rPr>
          <w:rFonts w:ascii="Arial" w:hAnsi="Arial" w:cs="Arial"/>
          <w:sz w:val="20"/>
          <w:szCs w:val="20"/>
        </w:rPr>
      </w:pPr>
      <w:r w:rsidRPr="001140AD">
        <w:rPr>
          <w:rFonts w:ascii="Arial" w:hAnsi="Arial" w:cs="Arial"/>
          <w:sz w:val="20"/>
          <w:szCs w:val="20"/>
        </w:rPr>
        <w:t>T</w:t>
      </w:r>
      <w:r w:rsidRPr="003B1A3B">
        <w:rPr>
          <w:rFonts w:ascii="Arial" w:hAnsi="Arial" w:cs="Arial"/>
          <w:sz w:val="20"/>
          <w:szCs w:val="20"/>
        </w:rPr>
        <w:t>GI: trato gastrintestinal _</w:t>
      </w:r>
      <w:r>
        <w:rPr>
          <w:rFonts w:ascii="Arial" w:hAnsi="Arial" w:cs="Arial"/>
          <w:sz w:val="20"/>
          <w:szCs w:val="20"/>
        </w:rPr>
        <w:t xml:space="preserve"> </w:t>
      </w:r>
      <w:proofErr w:type="gramStart"/>
      <w:r>
        <w:rPr>
          <w:rFonts w:ascii="Arial" w:hAnsi="Arial" w:cs="Arial"/>
          <w:sz w:val="20"/>
          <w:szCs w:val="20"/>
        </w:rPr>
        <w:t>SECOLI,</w:t>
      </w:r>
      <w:proofErr w:type="gramEnd"/>
      <w:r>
        <w:rPr>
          <w:rFonts w:ascii="Arial" w:hAnsi="Arial" w:cs="Arial"/>
          <w:sz w:val="20"/>
          <w:szCs w:val="20"/>
        </w:rPr>
        <w:t>SILVIA REGINA (2010)</w:t>
      </w:r>
    </w:p>
    <w:p w:rsidR="00F01682" w:rsidRDefault="00F01682" w:rsidP="00F01682">
      <w:pPr>
        <w:autoSpaceDE w:val="0"/>
        <w:autoSpaceDN w:val="0"/>
        <w:adjustRightInd w:val="0"/>
        <w:spacing w:after="0" w:line="240" w:lineRule="auto"/>
        <w:rPr>
          <w:rFonts w:ascii="Arial" w:hAnsi="Arial" w:cs="Arial"/>
          <w:sz w:val="20"/>
          <w:szCs w:val="20"/>
        </w:rPr>
      </w:pPr>
    </w:p>
    <w:p w:rsidR="00F01682" w:rsidRPr="00AC6723" w:rsidRDefault="00F01682" w:rsidP="00F01682">
      <w:pPr>
        <w:autoSpaceDE w:val="0"/>
        <w:autoSpaceDN w:val="0"/>
        <w:adjustRightInd w:val="0"/>
        <w:spacing w:after="0" w:line="240" w:lineRule="auto"/>
        <w:jc w:val="both"/>
        <w:rPr>
          <w:rFonts w:ascii="Arial" w:hAnsi="Arial" w:cs="Arial"/>
          <w:sz w:val="20"/>
          <w:szCs w:val="20"/>
        </w:rPr>
      </w:pPr>
      <w:r w:rsidRPr="00AC6723">
        <w:rPr>
          <w:rFonts w:ascii="Arial" w:hAnsi="Arial" w:cs="Arial"/>
          <w:sz w:val="24"/>
          <w:szCs w:val="24"/>
        </w:rPr>
        <w:t xml:space="preserve">Quadro </w:t>
      </w:r>
      <w:proofErr w:type="gramStart"/>
      <w:r w:rsidRPr="00AC6723">
        <w:rPr>
          <w:rFonts w:ascii="Arial" w:hAnsi="Arial" w:cs="Arial"/>
          <w:sz w:val="24"/>
          <w:szCs w:val="24"/>
        </w:rPr>
        <w:t>1</w:t>
      </w:r>
      <w:proofErr w:type="gramEnd"/>
      <w:r w:rsidRPr="00AC6723">
        <w:rPr>
          <w:rFonts w:ascii="Arial" w:hAnsi="Arial" w:cs="Arial"/>
          <w:sz w:val="24"/>
          <w:szCs w:val="24"/>
        </w:rPr>
        <w:t>. Medicamentos e classes terapêuticas associadas a reações adversas em idosos.</w:t>
      </w:r>
    </w:p>
    <w:p w:rsidR="00F01682" w:rsidRDefault="00F01682" w:rsidP="00F01682">
      <w:pPr>
        <w:spacing w:before="240" w:line="360" w:lineRule="auto"/>
        <w:rPr>
          <w:rFonts w:ascii="Arial" w:hAnsi="Arial" w:cs="Arial"/>
          <w:b/>
          <w:sz w:val="24"/>
          <w:szCs w:val="24"/>
        </w:rPr>
      </w:pPr>
    </w:p>
    <w:p w:rsidR="00F01682" w:rsidRDefault="00F01682" w:rsidP="00F01682">
      <w:pPr>
        <w:spacing w:before="240" w:line="360" w:lineRule="auto"/>
        <w:rPr>
          <w:rFonts w:ascii="Arial" w:hAnsi="Arial" w:cs="Arial"/>
          <w:b/>
          <w:sz w:val="24"/>
          <w:szCs w:val="24"/>
        </w:rPr>
      </w:pPr>
    </w:p>
    <w:p w:rsidR="00F01682" w:rsidRDefault="00F01682" w:rsidP="00F01682">
      <w:pPr>
        <w:spacing w:before="240" w:line="360" w:lineRule="auto"/>
        <w:rPr>
          <w:rFonts w:ascii="Arial" w:hAnsi="Arial" w:cs="Arial"/>
          <w:b/>
          <w:sz w:val="24"/>
          <w:szCs w:val="24"/>
        </w:rPr>
      </w:pPr>
    </w:p>
    <w:p w:rsidR="00F01682" w:rsidRPr="00271C7A" w:rsidRDefault="00F01682" w:rsidP="00F01682">
      <w:pPr>
        <w:spacing w:before="240" w:line="360" w:lineRule="auto"/>
        <w:rPr>
          <w:rFonts w:ascii="Arial" w:hAnsi="Arial" w:cs="Arial"/>
          <w:b/>
          <w:sz w:val="24"/>
          <w:szCs w:val="24"/>
        </w:rPr>
      </w:pPr>
    </w:p>
    <w:tbl>
      <w:tblPr>
        <w:tblStyle w:val="Tabelacomgrade"/>
        <w:tblW w:w="8755" w:type="dxa"/>
        <w:tblLook w:val="04A0" w:firstRow="1" w:lastRow="0" w:firstColumn="1" w:lastColumn="0" w:noHBand="0" w:noVBand="1"/>
      </w:tblPr>
      <w:tblGrid>
        <w:gridCol w:w="2540"/>
        <w:gridCol w:w="2540"/>
        <w:gridCol w:w="3675"/>
      </w:tblGrid>
      <w:tr w:rsidR="00F01682" w:rsidRPr="00271C7A" w:rsidTr="008A5AE8">
        <w:trPr>
          <w:trHeight w:val="421"/>
        </w:trPr>
        <w:tc>
          <w:tcPr>
            <w:tcW w:w="2540" w:type="dxa"/>
            <w:shd w:val="clear" w:color="auto" w:fill="4F81BD" w:themeFill="accent1"/>
          </w:tcPr>
          <w:p w:rsidR="00F01682" w:rsidRPr="00AC6723" w:rsidRDefault="00F01682" w:rsidP="008A5AE8">
            <w:pPr>
              <w:spacing w:before="240"/>
              <w:rPr>
                <w:rFonts w:ascii="Arial" w:hAnsi="Arial" w:cs="Arial"/>
                <w:b/>
                <w:sz w:val="20"/>
                <w:szCs w:val="20"/>
              </w:rPr>
            </w:pPr>
            <w:r w:rsidRPr="00AC6723">
              <w:rPr>
                <w:rFonts w:ascii="Arial" w:hAnsi="Arial" w:cs="Arial"/>
                <w:b/>
                <w:sz w:val="20"/>
                <w:szCs w:val="20"/>
              </w:rPr>
              <w:t>MEDICAMENTO</w:t>
            </w:r>
          </w:p>
        </w:tc>
        <w:tc>
          <w:tcPr>
            <w:tcW w:w="2540" w:type="dxa"/>
            <w:shd w:val="clear" w:color="auto" w:fill="4F81BD" w:themeFill="accent1"/>
          </w:tcPr>
          <w:p w:rsidR="00F01682" w:rsidRPr="00AC6723" w:rsidRDefault="00F01682" w:rsidP="008A5AE8">
            <w:pPr>
              <w:spacing w:before="240"/>
              <w:rPr>
                <w:rFonts w:ascii="Arial" w:hAnsi="Arial" w:cs="Arial"/>
                <w:b/>
                <w:sz w:val="20"/>
                <w:szCs w:val="20"/>
              </w:rPr>
            </w:pPr>
            <w:r w:rsidRPr="00AC6723">
              <w:rPr>
                <w:rFonts w:ascii="Arial" w:hAnsi="Arial" w:cs="Arial"/>
                <w:b/>
                <w:sz w:val="20"/>
                <w:szCs w:val="20"/>
              </w:rPr>
              <w:t>INTERAÇÃO COM</w:t>
            </w:r>
          </w:p>
        </w:tc>
        <w:tc>
          <w:tcPr>
            <w:tcW w:w="3675" w:type="dxa"/>
            <w:shd w:val="clear" w:color="auto" w:fill="4F81BD" w:themeFill="accent1"/>
          </w:tcPr>
          <w:p w:rsidR="00F01682" w:rsidRPr="00AC6723" w:rsidRDefault="00F01682" w:rsidP="008A5AE8">
            <w:pPr>
              <w:spacing w:before="240"/>
              <w:rPr>
                <w:rFonts w:ascii="Arial" w:hAnsi="Arial" w:cs="Arial"/>
                <w:b/>
                <w:sz w:val="20"/>
                <w:szCs w:val="20"/>
              </w:rPr>
            </w:pPr>
            <w:r w:rsidRPr="00AC6723">
              <w:rPr>
                <w:rFonts w:ascii="Arial" w:hAnsi="Arial" w:cs="Arial"/>
                <w:b/>
                <w:sz w:val="20"/>
                <w:szCs w:val="20"/>
              </w:rPr>
              <w:t>DESFECHOS CLÍNICOS</w:t>
            </w:r>
          </w:p>
        </w:tc>
      </w:tr>
      <w:tr w:rsidR="00F01682" w:rsidRPr="00271C7A" w:rsidTr="008A5AE8">
        <w:trPr>
          <w:trHeight w:val="1045"/>
        </w:trPr>
        <w:tc>
          <w:tcPr>
            <w:tcW w:w="2540" w:type="dxa"/>
          </w:tcPr>
          <w:p w:rsidR="00F01682" w:rsidRPr="001140AD" w:rsidRDefault="00F01682" w:rsidP="008A5AE8">
            <w:pPr>
              <w:tabs>
                <w:tab w:val="left" w:pos="1695"/>
              </w:tabs>
              <w:spacing w:before="240"/>
              <w:rPr>
                <w:rFonts w:ascii="Arial" w:hAnsi="Arial" w:cs="Arial"/>
                <w:b/>
                <w:sz w:val="20"/>
                <w:szCs w:val="20"/>
              </w:rPr>
            </w:pPr>
            <w:proofErr w:type="spellStart"/>
            <w:r w:rsidRPr="001140AD">
              <w:rPr>
                <w:rFonts w:ascii="Arial" w:hAnsi="Arial" w:cs="Arial"/>
                <w:sz w:val="20"/>
                <w:szCs w:val="20"/>
              </w:rPr>
              <w:t>Amiodarona</w:t>
            </w:r>
            <w:proofErr w:type="spellEnd"/>
            <w:r w:rsidRPr="001140AD">
              <w:rPr>
                <w:rFonts w:ascii="Arial" w:hAnsi="Arial" w:cs="Arial"/>
                <w:sz w:val="20"/>
                <w:szCs w:val="20"/>
              </w:rPr>
              <w:tab/>
            </w:r>
          </w:p>
        </w:tc>
        <w:tc>
          <w:tcPr>
            <w:tcW w:w="2540" w:type="dxa"/>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Anticoagulantes</w:t>
            </w:r>
          </w:p>
          <w:p w:rsidR="00F01682" w:rsidRPr="001140AD" w:rsidRDefault="00F01682" w:rsidP="008A5AE8">
            <w:pPr>
              <w:autoSpaceDE w:val="0"/>
              <w:autoSpaceDN w:val="0"/>
              <w:adjustRightInd w:val="0"/>
              <w:rPr>
                <w:rFonts w:ascii="Arial" w:hAnsi="Arial" w:cs="Arial"/>
                <w:sz w:val="20"/>
                <w:szCs w:val="20"/>
              </w:rPr>
            </w:pPr>
            <w:proofErr w:type="spellStart"/>
            <w:r w:rsidRPr="001140AD">
              <w:rPr>
                <w:rFonts w:ascii="Arial" w:hAnsi="Arial" w:cs="Arial"/>
                <w:sz w:val="20"/>
                <w:szCs w:val="20"/>
              </w:rPr>
              <w:t>Cisaprida</w:t>
            </w:r>
            <w:proofErr w:type="spellEnd"/>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Tioridazina</w:t>
            </w:r>
          </w:p>
        </w:tc>
        <w:tc>
          <w:tcPr>
            <w:tcW w:w="3675" w:type="dxa"/>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Aumento do efeito anticoagulante</w:t>
            </w: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Risco de arritmias cardíacas</w:t>
            </w:r>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Risco de arritmias cardíacas</w:t>
            </w:r>
          </w:p>
        </w:tc>
      </w:tr>
      <w:tr w:rsidR="00F01682" w:rsidRPr="00271C7A" w:rsidTr="008A5AE8">
        <w:trPr>
          <w:trHeight w:val="1248"/>
        </w:trPr>
        <w:tc>
          <w:tcPr>
            <w:tcW w:w="2540" w:type="dxa"/>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Anti-inflamatórios não</w:t>
            </w:r>
          </w:p>
          <w:p w:rsidR="00F01682" w:rsidRPr="001140AD" w:rsidRDefault="00F01682" w:rsidP="008A5AE8">
            <w:pPr>
              <w:spacing w:before="240"/>
              <w:rPr>
                <w:rFonts w:ascii="Arial" w:hAnsi="Arial" w:cs="Arial"/>
                <w:b/>
                <w:sz w:val="20"/>
                <w:szCs w:val="20"/>
              </w:rPr>
            </w:pPr>
            <w:proofErr w:type="spellStart"/>
            <w:proofErr w:type="gramStart"/>
            <w:r w:rsidRPr="001140AD">
              <w:rPr>
                <w:rFonts w:ascii="Arial" w:hAnsi="Arial" w:cs="Arial"/>
                <w:sz w:val="20"/>
                <w:szCs w:val="20"/>
              </w:rPr>
              <w:t>esteroidais</w:t>
            </w:r>
            <w:proofErr w:type="spellEnd"/>
            <w:proofErr w:type="gramEnd"/>
            <w:r w:rsidRPr="001140AD">
              <w:rPr>
                <w:rFonts w:ascii="Arial" w:hAnsi="Arial" w:cs="Arial"/>
                <w:sz w:val="20"/>
                <w:szCs w:val="20"/>
              </w:rPr>
              <w:t>.</w:t>
            </w:r>
          </w:p>
        </w:tc>
        <w:tc>
          <w:tcPr>
            <w:tcW w:w="2540" w:type="dxa"/>
          </w:tcPr>
          <w:p w:rsidR="00F01682" w:rsidRPr="001140AD" w:rsidRDefault="00F01682" w:rsidP="008A5AE8">
            <w:pPr>
              <w:autoSpaceDE w:val="0"/>
              <w:autoSpaceDN w:val="0"/>
              <w:adjustRightInd w:val="0"/>
              <w:rPr>
                <w:rFonts w:ascii="Arial" w:hAnsi="Arial" w:cs="Arial"/>
                <w:sz w:val="20"/>
                <w:szCs w:val="20"/>
              </w:rPr>
            </w:pPr>
            <w:proofErr w:type="spellStart"/>
            <w:r w:rsidRPr="001140AD">
              <w:rPr>
                <w:rFonts w:ascii="Arial" w:hAnsi="Arial" w:cs="Arial"/>
                <w:sz w:val="20"/>
                <w:szCs w:val="20"/>
              </w:rPr>
              <w:t>Beta-bloqueadores</w:t>
            </w:r>
            <w:proofErr w:type="spellEnd"/>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 xml:space="preserve">Diuréticos </w:t>
            </w:r>
            <w:proofErr w:type="spellStart"/>
            <w:r w:rsidRPr="001140AD">
              <w:rPr>
                <w:rFonts w:ascii="Arial" w:hAnsi="Arial" w:cs="Arial"/>
                <w:sz w:val="20"/>
                <w:szCs w:val="20"/>
              </w:rPr>
              <w:t>tiazidicos</w:t>
            </w:r>
            <w:proofErr w:type="spellEnd"/>
            <w:r w:rsidRPr="001140AD">
              <w:rPr>
                <w:rFonts w:ascii="Arial" w:hAnsi="Arial" w:cs="Arial"/>
                <w:sz w:val="20"/>
                <w:szCs w:val="20"/>
              </w:rPr>
              <w:t xml:space="preserve"> (</w:t>
            </w:r>
            <w:proofErr w:type="spellStart"/>
            <w:r w:rsidRPr="001140AD">
              <w:rPr>
                <w:rFonts w:ascii="Arial" w:hAnsi="Arial" w:cs="Arial"/>
                <w:sz w:val="20"/>
                <w:szCs w:val="20"/>
              </w:rPr>
              <w:t>clortalidona</w:t>
            </w:r>
            <w:proofErr w:type="spellEnd"/>
            <w:r w:rsidRPr="001140AD">
              <w:rPr>
                <w:rFonts w:ascii="Arial" w:hAnsi="Arial" w:cs="Arial"/>
                <w:sz w:val="20"/>
                <w:szCs w:val="20"/>
              </w:rPr>
              <w:t xml:space="preserve">, </w:t>
            </w:r>
            <w:proofErr w:type="spellStart"/>
            <w:r w:rsidRPr="001140AD">
              <w:rPr>
                <w:rFonts w:ascii="Arial" w:hAnsi="Arial" w:cs="Arial"/>
                <w:sz w:val="20"/>
                <w:szCs w:val="20"/>
              </w:rPr>
              <w:t>hidroclorotiazida</w:t>
            </w:r>
            <w:proofErr w:type="spellEnd"/>
            <w:proofErr w:type="gramStart"/>
            <w:r w:rsidRPr="001140AD">
              <w:rPr>
                <w:rFonts w:ascii="Arial" w:hAnsi="Arial" w:cs="Arial"/>
                <w:sz w:val="20"/>
                <w:szCs w:val="20"/>
              </w:rPr>
              <w:t>)</w:t>
            </w:r>
            <w:proofErr w:type="gramEnd"/>
          </w:p>
        </w:tc>
        <w:tc>
          <w:tcPr>
            <w:tcW w:w="3675" w:type="dxa"/>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Redução do efeito hipotensor</w:t>
            </w: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Aumento do efeito anticoagulante</w:t>
            </w:r>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Aumento de reações adversas no TGI</w:t>
            </w:r>
          </w:p>
        </w:tc>
      </w:tr>
      <w:tr w:rsidR="00F01682" w:rsidRPr="00271C7A" w:rsidTr="008A5AE8">
        <w:trPr>
          <w:trHeight w:val="1289"/>
        </w:trPr>
        <w:tc>
          <w:tcPr>
            <w:tcW w:w="2540" w:type="dxa"/>
          </w:tcPr>
          <w:p w:rsidR="00F01682" w:rsidRPr="001140AD" w:rsidRDefault="00F01682" w:rsidP="008A5AE8">
            <w:pPr>
              <w:spacing w:before="240"/>
              <w:rPr>
                <w:rFonts w:ascii="Arial" w:hAnsi="Arial" w:cs="Arial"/>
                <w:b/>
                <w:sz w:val="20"/>
                <w:szCs w:val="20"/>
              </w:rPr>
            </w:pPr>
            <w:proofErr w:type="spellStart"/>
            <w:r w:rsidRPr="001140AD">
              <w:rPr>
                <w:rFonts w:ascii="Arial" w:hAnsi="Arial" w:cs="Arial"/>
                <w:sz w:val="20"/>
                <w:szCs w:val="20"/>
              </w:rPr>
              <w:t>Beta-bloqueadores</w:t>
            </w:r>
            <w:proofErr w:type="spellEnd"/>
          </w:p>
        </w:tc>
        <w:tc>
          <w:tcPr>
            <w:tcW w:w="2540" w:type="dxa"/>
          </w:tcPr>
          <w:p w:rsidR="00F01682" w:rsidRPr="001140AD" w:rsidRDefault="00F01682" w:rsidP="008A5AE8">
            <w:pPr>
              <w:pBdr>
                <w:bottom w:val="single" w:sz="4" w:space="1" w:color="auto"/>
              </w:pBdr>
              <w:autoSpaceDE w:val="0"/>
              <w:autoSpaceDN w:val="0"/>
              <w:adjustRightInd w:val="0"/>
              <w:rPr>
                <w:rFonts w:ascii="Arial" w:hAnsi="Arial" w:cs="Arial"/>
                <w:sz w:val="20"/>
                <w:szCs w:val="20"/>
              </w:rPr>
            </w:pPr>
            <w:r w:rsidRPr="001140AD">
              <w:rPr>
                <w:rFonts w:ascii="Arial" w:hAnsi="Arial" w:cs="Arial"/>
                <w:sz w:val="20"/>
                <w:szCs w:val="20"/>
              </w:rPr>
              <w:t>Bloqueadores canais de cálcio</w:t>
            </w: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w:t>
            </w:r>
            <w:proofErr w:type="spellStart"/>
            <w:r w:rsidRPr="001140AD">
              <w:rPr>
                <w:rFonts w:ascii="Arial" w:hAnsi="Arial" w:cs="Arial"/>
                <w:sz w:val="20"/>
                <w:szCs w:val="20"/>
              </w:rPr>
              <w:t>diltiazem</w:t>
            </w:r>
            <w:proofErr w:type="spellEnd"/>
            <w:r w:rsidRPr="001140AD">
              <w:rPr>
                <w:rFonts w:ascii="Arial" w:hAnsi="Arial" w:cs="Arial"/>
                <w:sz w:val="20"/>
                <w:szCs w:val="20"/>
              </w:rPr>
              <w:t xml:space="preserve">, </w:t>
            </w:r>
            <w:proofErr w:type="spellStart"/>
            <w:r w:rsidRPr="001140AD">
              <w:rPr>
                <w:rFonts w:ascii="Arial" w:hAnsi="Arial" w:cs="Arial"/>
                <w:sz w:val="20"/>
                <w:szCs w:val="20"/>
              </w:rPr>
              <w:t>verapamil</w:t>
            </w:r>
            <w:proofErr w:type="spellEnd"/>
            <w:r w:rsidRPr="001140AD">
              <w:rPr>
                <w:rFonts w:ascii="Arial" w:hAnsi="Arial" w:cs="Arial"/>
                <w:sz w:val="20"/>
                <w:szCs w:val="20"/>
              </w:rPr>
              <w:t xml:space="preserve">, </w:t>
            </w:r>
            <w:proofErr w:type="spellStart"/>
            <w:r w:rsidRPr="001140AD">
              <w:rPr>
                <w:rFonts w:ascii="Arial" w:hAnsi="Arial" w:cs="Arial"/>
                <w:sz w:val="20"/>
                <w:szCs w:val="20"/>
              </w:rPr>
              <w:t>anlodipina</w:t>
            </w:r>
            <w:proofErr w:type="spellEnd"/>
            <w:proofErr w:type="gramStart"/>
            <w:r w:rsidRPr="001140AD">
              <w:rPr>
                <w:rFonts w:ascii="Arial" w:hAnsi="Arial" w:cs="Arial"/>
                <w:sz w:val="20"/>
                <w:szCs w:val="20"/>
              </w:rPr>
              <w:t>)</w:t>
            </w:r>
            <w:proofErr w:type="gramEnd"/>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Antidiabéticos orais</w:t>
            </w:r>
          </w:p>
        </w:tc>
        <w:tc>
          <w:tcPr>
            <w:tcW w:w="3675" w:type="dxa"/>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Hipotensão</w:t>
            </w:r>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Alterações glicêmicas, hipotensão e sedação.</w:t>
            </w:r>
          </w:p>
        </w:tc>
      </w:tr>
      <w:tr w:rsidR="00F01682" w:rsidRPr="00271C7A" w:rsidTr="008A5AE8">
        <w:trPr>
          <w:trHeight w:val="1045"/>
        </w:trPr>
        <w:tc>
          <w:tcPr>
            <w:tcW w:w="2540" w:type="dxa"/>
          </w:tcPr>
          <w:p w:rsidR="00F01682" w:rsidRPr="001140AD" w:rsidRDefault="00F01682" w:rsidP="008A5AE8">
            <w:pPr>
              <w:spacing w:before="240"/>
              <w:rPr>
                <w:rFonts w:ascii="Arial" w:hAnsi="Arial" w:cs="Arial"/>
                <w:b/>
                <w:sz w:val="20"/>
                <w:szCs w:val="20"/>
              </w:rPr>
            </w:pPr>
            <w:r w:rsidRPr="001140AD">
              <w:rPr>
                <w:rFonts w:ascii="Arial" w:hAnsi="Arial" w:cs="Arial"/>
                <w:sz w:val="20"/>
                <w:szCs w:val="20"/>
              </w:rPr>
              <w:t>Digoxina</w:t>
            </w:r>
          </w:p>
        </w:tc>
        <w:tc>
          <w:tcPr>
            <w:tcW w:w="2540" w:type="dxa"/>
          </w:tcPr>
          <w:p w:rsidR="00F01682" w:rsidRPr="001140AD" w:rsidRDefault="00F01682" w:rsidP="008A5AE8">
            <w:pPr>
              <w:autoSpaceDE w:val="0"/>
              <w:autoSpaceDN w:val="0"/>
              <w:adjustRightInd w:val="0"/>
              <w:rPr>
                <w:rFonts w:ascii="Arial" w:hAnsi="Arial" w:cs="Arial"/>
                <w:sz w:val="20"/>
                <w:szCs w:val="20"/>
              </w:rPr>
            </w:pPr>
            <w:proofErr w:type="spellStart"/>
            <w:r w:rsidRPr="001140AD">
              <w:rPr>
                <w:rFonts w:ascii="Arial" w:hAnsi="Arial" w:cs="Arial"/>
                <w:sz w:val="20"/>
                <w:szCs w:val="20"/>
              </w:rPr>
              <w:t>Amiodarona</w:t>
            </w:r>
            <w:proofErr w:type="spellEnd"/>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Benzodiazepínicos</w:t>
            </w:r>
          </w:p>
          <w:p w:rsidR="00F01682" w:rsidRPr="001140AD" w:rsidRDefault="00F01682" w:rsidP="008A5AE8">
            <w:pPr>
              <w:autoSpaceDE w:val="0"/>
              <w:autoSpaceDN w:val="0"/>
              <w:adjustRightInd w:val="0"/>
              <w:rPr>
                <w:rFonts w:ascii="Arial" w:hAnsi="Arial" w:cs="Arial"/>
                <w:sz w:val="20"/>
                <w:szCs w:val="20"/>
              </w:rPr>
            </w:pPr>
            <w:proofErr w:type="spellStart"/>
            <w:r w:rsidRPr="001140AD">
              <w:rPr>
                <w:rFonts w:ascii="Arial" w:hAnsi="Arial" w:cs="Arial"/>
                <w:sz w:val="20"/>
                <w:szCs w:val="20"/>
              </w:rPr>
              <w:t>Hidroclorotiazida</w:t>
            </w:r>
            <w:proofErr w:type="spellEnd"/>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Furosemida</w:t>
            </w:r>
          </w:p>
        </w:tc>
        <w:tc>
          <w:tcPr>
            <w:tcW w:w="3675" w:type="dxa"/>
          </w:tcPr>
          <w:p w:rsidR="00F01682" w:rsidRPr="001140AD" w:rsidRDefault="00F01682" w:rsidP="008A5AE8">
            <w:pPr>
              <w:spacing w:before="240"/>
              <w:rPr>
                <w:rFonts w:ascii="Arial" w:hAnsi="Arial" w:cs="Arial"/>
                <w:b/>
                <w:sz w:val="20"/>
                <w:szCs w:val="20"/>
              </w:rPr>
            </w:pPr>
            <w:r w:rsidRPr="001140AD">
              <w:rPr>
                <w:rFonts w:ascii="Arial" w:hAnsi="Arial" w:cs="Arial"/>
                <w:sz w:val="20"/>
                <w:szCs w:val="20"/>
              </w:rPr>
              <w:t>Intoxicação digitálica</w:t>
            </w:r>
          </w:p>
        </w:tc>
      </w:tr>
      <w:tr w:rsidR="00F01682" w:rsidRPr="00271C7A" w:rsidTr="008A5AE8">
        <w:trPr>
          <w:trHeight w:val="3961"/>
        </w:trPr>
        <w:tc>
          <w:tcPr>
            <w:tcW w:w="2540" w:type="dxa"/>
          </w:tcPr>
          <w:p w:rsidR="00F01682" w:rsidRPr="001140AD" w:rsidRDefault="00F01682" w:rsidP="008A5AE8">
            <w:pPr>
              <w:spacing w:before="240"/>
              <w:rPr>
                <w:rFonts w:ascii="Arial" w:hAnsi="Arial" w:cs="Arial"/>
                <w:b/>
                <w:sz w:val="20"/>
                <w:szCs w:val="20"/>
              </w:rPr>
            </w:pPr>
            <w:r w:rsidRPr="001140AD">
              <w:rPr>
                <w:rFonts w:ascii="Arial" w:hAnsi="Arial" w:cs="Arial"/>
                <w:sz w:val="20"/>
                <w:szCs w:val="20"/>
              </w:rPr>
              <w:lastRenderedPageBreak/>
              <w:t>Captopril</w:t>
            </w:r>
          </w:p>
        </w:tc>
        <w:tc>
          <w:tcPr>
            <w:tcW w:w="2540" w:type="dxa"/>
          </w:tcPr>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Diurético poupador de potássio (</w:t>
            </w:r>
            <w:proofErr w:type="spellStart"/>
            <w:r w:rsidRPr="001140AD">
              <w:rPr>
                <w:rFonts w:ascii="Arial" w:hAnsi="Arial" w:cs="Arial"/>
                <w:sz w:val="20"/>
                <w:szCs w:val="20"/>
              </w:rPr>
              <w:t>espironolactona</w:t>
            </w:r>
            <w:proofErr w:type="spellEnd"/>
            <w:r w:rsidRPr="001140AD">
              <w:rPr>
                <w:rFonts w:ascii="Arial" w:hAnsi="Arial" w:cs="Arial"/>
                <w:sz w:val="20"/>
                <w:szCs w:val="20"/>
              </w:rPr>
              <w:t>)</w:t>
            </w: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Furosemida</w:t>
            </w:r>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Antiácidos (hidróxido de Alumínio, Magnésio</w:t>
            </w:r>
            <w:proofErr w:type="gramStart"/>
            <w:r w:rsidRPr="001140AD">
              <w:rPr>
                <w:rFonts w:ascii="Arial" w:hAnsi="Arial" w:cs="Arial"/>
                <w:sz w:val="20"/>
                <w:szCs w:val="20"/>
              </w:rPr>
              <w:t>)</w:t>
            </w:r>
            <w:proofErr w:type="gramEnd"/>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Alimentos</w:t>
            </w:r>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Sulfato ferroso</w:t>
            </w:r>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proofErr w:type="spellStart"/>
            <w:r w:rsidRPr="001140AD">
              <w:rPr>
                <w:rFonts w:ascii="Arial" w:hAnsi="Arial" w:cs="Arial"/>
                <w:sz w:val="20"/>
                <w:szCs w:val="20"/>
              </w:rPr>
              <w:t>Fenotiazidas</w:t>
            </w:r>
            <w:proofErr w:type="spellEnd"/>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w:t>
            </w:r>
            <w:proofErr w:type="spellStart"/>
            <w:r w:rsidRPr="001140AD">
              <w:rPr>
                <w:rFonts w:ascii="Arial" w:hAnsi="Arial" w:cs="Arial"/>
                <w:sz w:val="20"/>
                <w:szCs w:val="20"/>
              </w:rPr>
              <w:t>clorpromazina</w:t>
            </w:r>
            <w:proofErr w:type="spellEnd"/>
            <w:r w:rsidRPr="001140AD">
              <w:rPr>
                <w:rFonts w:ascii="Arial" w:hAnsi="Arial" w:cs="Arial"/>
                <w:sz w:val="20"/>
                <w:szCs w:val="20"/>
              </w:rPr>
              <w:t xml:space="preserve">, </w:t>
            </w:r>
            <w:proofErr w:type="spellStart"/>
            <w:r w:rsidRPr="001140AD">
              <w:rPr>
                <w:rFonts w:ascii="Arial" w:hAnsi="Arial" w:cs="Arial"/>
                <w:sz w:val="20"/>
                <w:szCs w:val="20"/>
              </w:rPr>
              <w:t>flufenazina</w:t>
            </w:r>
            <w:proofErr w:type="spellEnd"/>
            <w:r w:rsidRPr="001140AD">
              <w:rPr>
                <w:rFonts w:ascii="Arial" w:hAnsi="Arial" w:cs="Arial"/>
                <w:sz w:val="20"/>
                <w:szCs w:val="20"/>
              </w:rPr>
              <w:t xml:space="preserve">, </w:t>
            </w:r>
            <w:proofErr w:type="spellStart"/>
            <w:r w:rsidRPr="001140AD">
              <w:rPr>
                <w:rFonts w:ascii="Arial" w:hAnsi="Arial" w:cs="Arial"/>
                <w:sz w:val="20"/>
                <w:szCs w:val="20"/>
              </w:rPr>
              <w:t>prometazina</w:t>
            </w:r>
            <w:proofErr w:type="spellEnd"/>
            <w:proofErr w:type="gramStart"/>
            <w:r w:rsidRPr="001140AD">
              <w:rPr>
                <w:rFonts w:ascii="Arial" w:hAnsi="Arial" w:cs="Arial"/>
                <w:sz w:val="20"/>
                <w:szCs w:val="20"/>
              </w:rPr>
              <w:t>)</w:t>
            </w:r>
            <w:proofErr w:type="gramEnd"/>
          </w:p>
        </w:tc>
        <w:tc>
          <w:tcPr>
            <w:tcW w:w="3675" w:type="dxa"/>
          </w:tcPr>
          <w:p w:rsidR="00F01682" w:rsidRPr="001140AD" w:rsidRDefault="00F01682" w:rsidP="008A5AE8">
            <w:pPr>
              <w:autoSpaceDE w:val="0"/>
              <w:autoSpaceDN w:val="0"/>
              <w:adjustRightInd w:val="0"/>
              <w:rPr>
                <w:rFonts w:ascii="Arial" w:hAnsi="Arial" w:cs="Arial"/>
                <w:sz w:val="20"/>
                <w:szCs w:val="20"/>
              </w:rPr>
            </w:pPr>
            <w:proofErr w:type="spellStart"/>
            <w:r w:rsidRPr="001140AD">
              <w:rPr>
                <w:rFonts w:ascii="Arial" w:hAnsi="Arial" w:cs="Arial"/>
                <w:sz w:val="20"/>
                <w:szCs w:val="20"/>
              </w:rPr>
              <w:t>Hipercalemia</w:t>
            </w:r>
            <w:proofErr w:type="spellEnd"/>
            <w:r w:rsidRPr="001140AD">
              <w:rPr>
                <w:rFonts w:ascii="Arial" w:hAnsi="Arial" w:cs="Arial"/>
                <w:sz w:val="20"/>
                <w:szCs w:val="20"/>
              </w:rPr>
              <w:t xml:space="preserve"> e alterações no ECG</w:t>
            </w: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Hipotensão</w:t>
            </w:r>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Redução do efeito hipotensor</w:t>
            </w:r>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Redução do efeito hipotensor (redução da biodisponibilidade em 35-40%)</w:t>
            </w:r>
          </w:p>
          <w:p w:rsidR="00F01682" w:rsidRPr="001140AD" w:rsidRDefault="00F01682" w:rsidP="008A5AE8">
            <w:pPr>
              <w:autoSpaceDE w:val="0"/>
              <w:autoSpaceDN w:val="0"/>
              <w:adjustRightInd w:val="0"/>
              <w:rPr>
                <w:rFonts w:ascii="Arial" w:hAnsi="Arial" w:cs="Arial"/>
                <w:sz w:val="20"/>
                <w:szCs w:val="20"/>
              </w:rPr>
            </w:pPr>
          </w:p>
          <w:p w:rsidR="00F01682" w:rsidRPr="001140AD" w:rsidRDefault="00F01682" w:rsidP="008A5AE8">
            <w:pPr>
              <w:autoSpaceDE w:val="0"/>
              <w:autoSpaceDN w:val="0"/>
              <w:adjustRightInd w:val="0"/>
              <w:rPr>
                <w:rFonts w:ascii="Arial" w:hAnsi="Arial" w:cs="Arial"/>
                <w:sz w:val="20"/>
                <w:szCs w:val="20"/>
              </w:rPr>
            </w:pPr>
            <w:r w:rsidRPr="001140AD">
              <w:rPr>
                <w:rFonts w:ascii="Arial" w:hAnsi="Arial" w:cs="Arial"/>
                <w:sz w:val="20"/>
                <w:szCs w:val="20"/>
              </w:rPr>
              <w:t xml:space="preserve">Reações após injeção intravenosa, febre, </w:t>
            </w:r>
            <w:proofErr w:type="spellStart"/>
            <w:r w:rsidRPr="001140AD">
              <w:rPr>
                <w:rFonts w:ascii="Arial" w:hAnsi="Arial" w:cs="Arial"/>
                <w:sz w:val="20"/>
                <w:szCs w:val="20"/>
              </w:rPr>
              <w:t>artralgia</w:t>
            </w:r>
            <w:proofErr w:type="spellEnd"/>
            <w:r w:rsidRPr="001140AD">
              <w:rPr>
                <w:rFonts w:ascii="Arial" w:hAnsi="Arial" w:cs="Arial"/>
                <w:sz w:val="20"/>
                <w:szCs w:val="20"/>
              </w:rPr>
              <w:t>. Hipotensão. Após via oral redução do efeito</w:t>
            </w:r>
          </w:p>
          <w:p w:rsidR="00F01682" w:rsidRPr="001140AD" w:rsidRDefault="00F01682" w:rsidP="008A5AE8">
            <w:pPr>
              <w:autoSpaceDE w:val="0"/>
              <w:autoSpaceDN w:val="0"/>
              <w:adjustRightInd w:val="0"/>
              <w:rPr>
                <w:rFonts w:ascii="Arial" w:hAnsi="Arial" w:cs="Arial"/>
                <w:sz w:val="20"/>
                <w:szCs w:val="20"/>
              </w:rPr>
            </w:pPr>
            <w:proofErr w:type="gramStart"/>
            <w:r w:rsidRPr="001140AD">
              <w:rPr>
                <w:rFonts w:ascii="Arial" w:hAnsi="Arial" w:cs="Arial"/>
                <w:sz w:val="20"/>
                <w:szCs w:val="20"/>
              </w:rPr>
              <w:t>hipotensor</w:t>
            </w:r>
            <w:proofErr w:type="gramEnd"/>
          </w:p>
          <w:p w:rsidR="00F01682" w:rsidRPr="001140AD" w:rsidRDefault="00F01682" w:rsidP="008A5AE8">
            <w:pPr>
              <w:spacing w:before="240"/>
              <w:rPr>
                <w:rFonts w:ascii="Arial" w:hAnsi="Arial" w:cs="Arial"/>
                <w:b/>
                <w:sz w:val="20"/>
                <w:szCs w:val="20"/>
              </w:rPr>
            </w:pPr>
            <w:r w:rsidRPr="001140AD">
              <w:rPr>
                <w:rFonts w:ascii="Arial" w:hAnsi="Arial" w:cs="Arial"/>
                <w:sz w:val="20"/>
                <w:szCs w:val="20"/>
              </w:rPr>
              <w:t>Efeito aditivo – hipotensão postural</w:t>
            </w:r>
          </w:p>
        </w:tc>
      </w:tr>
    </w:tbl>
    <w:p w:rsidR="00F01682" w:rsidRPr="00AC6723" w:rsidRDefault="00F01682" w:rsidP="00F01682">
      <w:pPr>
        <w:autoSpaceDE w:val="0"/>
        <w:autoSpaceDN w:val="0"/>
        <w:adjustRightInd w:val="0"/>
        <w:spacing w:after="0" w:line="240" w:lineRule="auto"/>
        <w:jc w:val="both"/>
        <w:rPr>
          <w:rFonts w:ascii="Arial" w:hAnsi="Arial" w:cs="Arial"/>
          <w:sz w:val="20"/>
          <w:szCs w:val="20"/>
        </w:rPr>
      </w:pPr>
      <w:r w:rsidRPr="00AC6723">
        <w:rPr>
          <w:rFonts w:ascii="Arial" w:hAnsi="Arial" w:cs="Arial"/>
          <w:sz w:val="20"/>
          <w:szCs w:val="20"/>
        </w:rPr>
        <w:t xml:space="preserve">ISRS – inibidores seletivos de </w:t>
      </w:r>
      <w:proofErr w:type="spellStart"/>
      <w:r w:rsidRPr="00AC6723">
        <w:rPr>
          <w:rFonts w:ascii="Arial" w:hAnsi="Arial" w:cs="Arial"/>
          <w:sz w:val="20"/>
          <w:szCs w:val="20"/>
        </w:rPr>
        <w:t>recaptação</w:t>
      </w:r>
      <w:proofErr w:type="spellEnd"/>
      <w:r w:rsidRPr="00AC6723">
        <w:rPr>
          <w:rFonts w:ascii="Arial" w:hAnsi="Arial" w:cs="Arial"/>
          <w:sz w:val="20"/>
          <w:szCs w:val="20"/>
        </w:rPr>
        <w:t xml:space="preserve"> de serotonina, IECA – Inibidores da enzima conversora de angiotensina ECG – eletrocardiograma, TGI – [Trato</w:t>
      </w:r>
      <w:proofErr w:type="gramStart"/>
      <w:r w:rsidRPr="00AC6723">
        <w:rPr>
          <w:rFonts w:ascii="Arial" w:hAnsi="Arial" w:cs="Arial"/>
          <w:sz w:val="20"/>
          <w:szCs w:val="20"/>
        </w:rPr>
        <w:t>-</w:t>
      </w:r>
      <w:proofErr w:type="gramEnd"/>
    </w:p>
    <w:p w:rsidR="00F01682" w:rsidRPr="00AC6723" w:rsidRDefault="00F01682" w:rsidP="00F01682">
      <w:pPr>
        <w:autoSpaceDE w:val="0"/>
        <w:autoSpaceDN w:val="0"/>
        <w:adjustRightInd w:val="0"/>
        <w:spacing w:after="0" w:line="240" w:lineRule="auto"/>
        <w:jc w:val="both"/>
        <w:rPr>
          <w:rFonts w:ascii="Arial" w:hAnsi="Arial" w:cs="Arial"/>
          <w:sz w:val="20"/>
          <w:szCs w:val="20"/>
        </w:rPr>
      </w:pPr>
      <w:proofErr w:type="gramStart"/>
      <w:r w:rsidRPr="00AC6723">
        <w:rPr>
          <w:rFonts w:ascii="Arial" w:hAnsi="Arial" w:cs="Arial"/>
          <w:sz w:val="20"/>
          <w:szCs w:val="20"/>
        </w:rPr>
        <w:t>Gastrintestinal]</w:t>
      </w:r>
      <w:proofErr w:type="gramEnd"/>
      <w:r w:rsidRPr="00AC6723">
        <w:rPr>
          <w:rFonts w:ascii="Arial" w:hAnsi="Arial" w:cs="Arial"/>
          <w:sz w:val="20"/>
          <w:szCs w:val="20"/>
        </w:rPr>
        <w:t xml:space="preserve"> _</w:t>
      </w:r>
      <w:r>
        <w:rPr>
          <w:rFonts w:ascii="Arial" w:hAnsi="Arial" w:cs="Arial"/>
          <w:sz w:val="20"/>
          <w:szCs w:val="20"/>
        </w:rPr>
        <w:t xml:space="preserve"> SECOLI,SILVIA REGINA (2010)</w:t>
      </w:r>
    </w:p>
    <w:p w:rsidR="00F01682" w:rsidRDefault="00F01682" w:rsidP="00F01682">
      <w:pPr>
        <w:spacing w:before="240" w:line="360" w:lineRule="auto"/>
        <w:jc w:val="both"/>
        <w:rPr>
          <w:rFonts w:ascii="Arial" w:hAnsi="Arial" w:cs="Arial"/>
          <w:b/>
          <w:sz w:val="24"/>
          <w:szCs w:val="24"/>
        </w:rPr>
      </w:pPr>
      <w:r w:rsidRPr="00AC6723">
        <w:rPr>
          <w:rFonts w:ascii="Arial" w:hAnsi="Arial" w:cs="Arial"/>
          <w:sz w:val="24"/>
          <w:szCs w:val="24"/>
        </w:rPr>
        <w:t xml:space="preserve">Quadro </w:t>
      </w:r>
      <w:proofErr w:type="gramStart"/>
      <w:r w:rsidRPr="00AC6723">
        <w:rPr>
          <w:rFonts w:ascii="Arial" w:hAnsi="Arial" w:cs="Arial"/>
          <w:sz w:val="24"/>
          <w:szCs w:val="24"/>
        </w:rPr>
        <w:t>2</w:t>
      </w:r>
      <w:proofErr w:type="gramEnd"/>
      <w:r w:rsidRPr="00AC6723">
        <w:rPr>
          <w:rFonts w:ascii="Arial" w:hAnsi="Arial" w:cs="Arial"/>
          <w:sz w:val="24"/>
          <w:szCs w:val="24"/>
        </w:rPr>
        <w:t>. Interações medicamentosas potenciais e respectivos desfechos clínicos.</w:t>
      </w:r>
    </w:p>
    <w:p w:rsidR="00F01682" w:rsidRDefault="00F01682" w:rsidP="00F01682">
      <w:pPr>
        <w:spacing w:before="240" w:line="360" w:lineRule="auto"/>
        <w:rPr>
          <w:rFonts w:ascii="Arial" w:hAnsi="Arial" w:cs="Arial"/>
          <w:b/>
          <w:sz w:val="24"/>
          <w:szCs w:val="24"/>
        </w:rPr>
      </w:pPr>
    </w:p>
    <w:p w:rsidR="00F01682" w:rsidRDefault="00F01682" w:rsidP="00F01682">
      <w:pPr>
        <w:spacing w:before="240" w:line="360" w:lineRule="auto"/>
        <w:rPr>
          <w:rFonts w:ascii="Arial" w:hAnsi="Arial" w:cs="Arial"/>
          <w:b/>
          <w:sz w:val="24"/>
          <w:szCs w:val="24"/>
        </w:rPr>
      </w:pPr>
      <w:r w:rsidRPr="001D7AD9">
        <w:rPr>
          <w:rFonts w:ascii="Arial" w:hAnsi="Arial" w:cs="Arial"/>
          <w:b/>
          <w:sz w:val="24"/>
          <w:szCs w:val="24"/>
        </w:rPr>
        <w:t>CONCLUSÕES</w:t>
      </w:r>
    </w:p>
    <w:p w:rsidR="00F01682" w:rsidRDefault="00F01682" w:rsidP="00F01682">
      <w:pPr>
        <w:spacing w:before="240" w:line="360" w:lineRule="auto"/>
        <w:jc w:val="both"/>
        <w:rPr>
          <w:rFonts w:ascii="Arial" w:hAnsi="Arial" w:cs="Arial"/>
          <w:sz w:val="24"/>
          <w:szCs w:val="24"/>
        </w:rPr>
      </w:pPr>
      <w:r>
        <w:rPr>
          <w:rFonts w:ascii="Arial" w:hAnsi="Arial" w:cs="Arial"/>
          <w:sz w:val="24"/>
          <w:szCs w:val="24"/>
        </w:rPr>
        <w:t>Devido a um avanço significativo dos casos de interações medicamentosas, reações adversas em idosos é</w:t>
      </w:r>
      <w:r w:rsidRPr="003F0AF4">
        <w:rPr>
          <w:rFonts w:ascii="Arial" w:hAnsi="Arial" w:cs="Arial"/>
          <w:sz w:val="24"/>
          <w:szCs w:val="24"/>
        </w:rPr>
        <w:t xml:space="preserve"> preciso incorporar na prática </w:t>
      </w:r>
      <w:r>
        <w:rPr>
          <w:rFonts w:ascii="Arial" w:hAnsi="Arial" w:cs="Arial"/>
          <w:sz w:val="24"/>
          <w:szCs w:val="24"/>
        </w:rPr>
        <w:t>profi</w:t>
      </w:r>
      <w:r w:rsidRPr="003F0AF4">
        <w:rPr>
          <w:rFonts w:ascii="Arial" w:hAnsi="Arial" w:cs="Arial"/>
          <w:sz w:val="24"/>
          <w:szCs w:val="24"/>
        </w:rPr>
        <w:t>ssional farmac</w:t>
      </w:r>
      <w:r>
        <w:rPr>
          <w:rFonts w:ascii="Arial" w:hAnsi="Arial" w:cs="Arial"/>
          <w:sz w:val="24"/>
          <w:szCs w:val="24"/>
        </w:rPr>
        <w:t xml:space="preserve">êutica um modelo que garante aos farmacêuticos a responsabilidade com a </w:t>
      </w:r>
      <w:proofErr w:type="spellStart"/>
      <w:r>
        <w:rPr>
          <w:rFonts w:ascii="Arial" w:hAnsi="Arial" w:cs="Arial"/>
          <w:sz w:val="24"/>
          <w:szCs w:val="24"/>
        </w:rPr>
        <w:t>farmacoterapia</w:t>
      </w:r>
      <w:proofErr w:type="spellEnd"/>
      <w:r>
        <w:rPr>
          <w:rFonts w:ascii="Arial" w:hAnsi="Arial" w:cs="Arial"/>
          <w:sz w:val="24"/>
          <w:szCs w:val="24"/>
        </w:rPr>
        <w:t xml:space="preserve"> e atuar como promotor do uso racional de medicamentos para melhoria da qualidade de vida do idoso.</w:t>
      </w:r>
    </w:p>
    <w:p w:rsidR="00F01682" w:rsidRDefault="00F01682" w:rsidP="00F01682">
      <w:pPr>
        <w:spacing w:before="240" w:line="360" w:lineRule="auto"/>
        <w:jc w:val="both"/>
        <w:rPr>
          <w:rFonts w:ascii="Arial" w:hAnsi="Arial" w:cs="Arial"/>
          <w:sz w:val="24"/>
          <w:szCs w:val="24"/>
        </w:rPr>
      </w:pPr>
      <w:r>
        <w:rPr>
          <w:rFonts w:ascii="Arial" w:hAnsi="Arial" w:cs="Arial"/>
          <w:sz w:val="24"/>
          <w:szCs w:val="24"/>
        </w:rPr>
        <w:t>A farmácia clínica tem um papel extremamente importante, desde o receituário que chega à mão do farmacêutico no balcão da farmácia até a dispensação do medicamento para o paciente; orientando, questionando os medicamentos que já toma, e fazendo um estudo dos medicamentos desses pacientes.</w:t>
      </w:r>
    </w:p>
    <w:p w:rsidR="00F01682" w:rsidRPr="009850CC" w:rsidRDefault="00F01682" w:rsidP="00F01682">
      <w:pPr>
        <w:spacing w:before="240" w:line="360" w:lineRule="auto"/>
        <w:jc w:val="both"/>
        <w:rPr>
          <w:rFonts w:ascii="Arial" w:hAnsi="Arial" w:cs="Arial"/>
          <w:b/>
          <w:sz w:val="24"/>
          <w:szCs w:val="24"/>
        </w:rPr>
      </w:pPr>
      <w:r w:rsidRPr="009850CC">
        <w:rPr>
          <w:rFonts w:ascii="Arial" w:hAnsi="Arial" w:cs="Arial"/>
          <w:sz w:val="24"/>
          <w:szCs w:val="24"/>
        </w:rPr>
        <w:t>O farmacêutico é o profissional tecnicamente</w:t>
      </w:r>
      <w:r>
        <w:rPr>
          <w:rFonts w:ascii="Arial" w:hAnsi="Arial" w:cs="Arial"/>
          <w:sz w:val="24"/>
          <w:szCs w:val="24"/>
        </w:rPr>
        <w:t xml:space="preserve"> qualificado para </w:t>
      </w:r>
      <w:proofErr w:type="gramStart"/>
      <w:r>
        <w:rPr>
          <w:rFonts w:ascii="Arial" w:hAnsi="Arial" w:cs="Arial"/>
          <w:sz w:val="24"/>
          <w:szCs w:val="24"/>
        </w:rPr>
        <w:t>otimizar</w:t>
      </w:r>
      <w:proofErr w:type="gramEnd"/>
      <w:r>
        <w:rPr>
          <w:rFonts w:ascii="Arial" w:hAnsi="Arial" w:cs="Arial"/>
          <w:sz w:val="24"/>
          <w:szCs w:val="24"/>
        </w:rPr>
        <w:t xml:space="preserve"> a terapia medicamentosa, prevenindo, detectando e corrigindo problemas relacionados aos medicamentos, racionalizando a terapia medicamentosa e evitando o aparecimento de reações adversas, toxicidade e interações medicamentosas  satisfazendo assim as necessidades sociais ao ajudar os indivíduos a obter </w:t>
      </w:r>
      <w:r>
        <w:rPr>
          <w:rFonts w:ascii="Arial" w:hAnsi="Arial" w:cs="Arial"/>
          <w:sz w:val="24"/>
          <w:szCs w:val="24"/>
        </w:rPr>
        <w:lastRenderedPageBreak/>
        <w:t xml:space="preserve">melhores resultados e, desta </w:t>
      </w:r>
      <w:proofErr w:type="spellStart"/>
      <w:r>
        <w:rPr>
          <w:rFonts w:ascii="Arial" w:hAnsi="Arial" w:cs="Arial"/>
          <w:sz w:val="24"/>
          <w:szCs w:val="24"/>
        </w:rPr>
        <w:t>forma,garantir</w:t>
      </w:r>
      <w:proofErr w:type="spellEnd"/>
      <w:r>
        <w:rPr>
          <w:rFonts w:ascii="Arial" w:hAnsi="Arial" w:cs="Arial"/>
          <w:sz w:val="24"/>
          <w:szCs w:val="24"/>
        </w:rPr>
        <w:t xml:space="preserve"> o sucesso da terapia farmacológica.</w:t>
      </w:r>
    </w:p>
    <w:p w:rsidR="00F01682" w:rsidRPr="00F01682" w:rsidRDefault="00CD1B5C" w:rsidP="00F01682">
      <w:pPr>
        <w:spacing w:before="240" w:line="360" w:lineRule="auto"/>
        <w:rPr>
          <w:rFonts w:ascii="Arial" w:hAnsi="Arial" w:cs="Arial"/>
          <w:b/>
          <w:sz w:val="24"/>
          <w:szCs w:val="24"/>
        </w:rPr>
      </w:pPr>
      <w:r>
        <w:rPr>
          <w:rFonts w:ascii="Arial" w:hAnsi="Arial" w:cs="Arial"/>
          <w:b/>
          <w:sz w:val="24"/>
          <w:szCs w:val="24"/>
        </w:rPr>
        <w:t>SUGESTOES PARA LEITURA</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lang w:val="en-US"/>
        </w:rPr>
        <w:t xml:space="preserve">AGS Panel on Chronic Pain in older Persons: American Geriatrics Society. </w:t>
      </w:r>
      <w:proofErr w:type="gramStart"/>
      <w:r w:rsidRPr="00AD1D8F">
        <w:rPr>
          <w:rFonts w:ascii="Arial" w:hAnsi="Arial" w:cs="Arial"/>
          <w:b/>
          <w:sz w:val="24"/>
          <w:szCs w:val="24"/>
          <w:lang w:val="en-US"/>
        </w:rPr>
        <w:t>The management of chronic pain in older persons.</w:t>
      </w:r>
      <w:proofErr w:type="gramEnd"/>
      <w:r w:rsidRPr="00AD1D8F">
        <w:rPr>
          <w:rFonts w:ascii="Arial" w:hAnsi="Arial" w:cs="Arial"/>
          <w:sz w:val="24"/>
          <w:szCs w:val="24"/>
          <w:lang w:val="en-US"/>
        </w:rPr>
        <w:t xml:space="preserve"> J </w:t>
      </w:r>
      <w:proofErr w:type="gramStart"/>
      <w:r w:rsidRPr="00AD1D8F">
        <w:rPr>
          <w:rFonts w:ascii="Arial" w:hAnsi="Arial" w:cs="Arial"/>
          <w:sz w:val="24"/>
          <w:szCs w:val="24"/>
          <w:lang w:val="en-US"/>
        </w:rPr>
        <w:t>AM</w:t>
      </w:r>
      <w:proofErr w:type="gramEnd"/>
      <w:r w:rsidRPr="00AD1D8F">
        <w:rPr>
          <w:rFonts w:ascii="Arial" w:hAnsi="Arial" w:cs="Arial"/>
          <w:sz w:val="24"/>
          <w:szCs w:val="24"/>
          <w:lang w:val="en-US"/>
        </w:rPr>
        <w:t xml:space="preserve"> </w:t>
      </w:r>
      <w:proofErr w:type="spellStart"/>
      <w:r w:rsidRPr="00AD1D8F">
        <w:rPr>
          <w:rFonts w:ascii="Arial" w:hAnsi="Arial" w:cs="Arial"/>
          <w:sz w:val="24"/>
          <w:szCs w:val="24"/>
          <w:lang w:val="en-US"/>
        </w:rPr>
        <w:t>Geriatr</w:t>
      </w:r>
      <w:proofErr w:type="spellEnd"/>
      <w:r w:rsidRPr="00AD1D8F">
        <w:rPr>
          <w:rFonts w:ascii="Arial" w:hAnsi="Arial" w:cs="Arial"/>
          <w:sz w:val="24"/>
          <w:szCs w:val="24"/>
          <w:lang w:val="en-US"/>
        </w:rPr>
        <w:t xml:space="preserve"> </w:t>
      </w:r>
      <w:proofErr w:type="spellStart"/>
      <w:r w:rsidRPr="00AD1D8F">
        <w:rPr>
          <w:rFonts w:ascii="Arial" w:hAnsi="Arial" w:cs="Arial"/>
          <w:sz w:val="24"/>
          <w:szCs w:val="24"/>
          <w:lang w:val="en-US"/>
        </w:rPr>
        <w:t>soc</w:t>
      </w:r>
      <w:proofErr w:type="spellEnd"/>
      <w:r w:rsidRPr="00AD1D8F">
        <w:rPr>
          <w:rFonts w:ascii="Arial" w:hAnsi="Arial" w:cs="Arial"/>
          <w:sz w:val="24"/>
          <w:szCs w:val="24"/>
          <w:lang w:val="en-US"/>
        </w:rPr>
        <w:t xml:space="preserve">, v.46, n.5, p.635-51. </w:t>
      </w:r>
      <w:r w:rsidRPr="00AD1D8F">
        <w:rPr>
          <w:rFonts w:ascii="Arial" w:hAnsi="Arial" w:cs="Arial"/>
          <w:sz w:val="24"/>
          <w:szCs w:val="24"/>
        </w:rPr>
        <w:t>1998.</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rPr>
        <w:t xml:space="preserve">FRANCO ET </w:t>
      </w:r>
      <w:proofErr w:type="spellStart"/>
      <w:r w:rsidRPr="00AD1D8F">
        <w:rPr>
          <w:rFonts w:ascii="Arial" w:hAnsi="Arial" w:cs="Arial"/>
          <w:sz w:val="24"/>
          <w:szCs w:val="24"/>
        </w:rPr>
        <w:t>AL.</w:t>
      </w:r>
      <w:r w:rsidRPr="00AD1D8F">
        <w:rPr>
          <w:rFonts w:ascii="Arial" w:hAnsi="Arial" w:cs="Arial"/>
          <w:b/>
          <w:sz w:val="24"/>
          <w:szCs w:val="24"/>
        </w:rPr>
        <w:t>Rev.cir.traumatol</w:t>
      </w:r>
      <w:proofErr w:type="spellEnd"/>
      <w:r w:rsidRPr="00AD1D8F">
        <w:rPr>
          <w:rFonts w:ascii="Arial" w:hAnsi="Arial" w:cs="Arial"/>
          <w:b/>
          <w:sz w:val="24"/>
          <w:szCs w:val="24"/>
        </w:rPr>
        <w:t>. Buco –</w:t>
      </w:r>
      <w:proofErr w:type="spellStart"/>
      <w:r w:rsidRPr="00AD1D8F">
        <w:rPr>
          <w:rFonts w:ascii="Arial" w:hAnsi="Arial" w:cs="Arial"/>
          <w:b/>
          <w:sz w:val="24"/>
          <w:szCs w:val="24"/>
        </w:rPr>
        <w:t>Maxilo</w:t>
      </w:r>
      <w:proofErr w:type="spellEnd"/>
      <w:r w:rsidRPr="00AD1D8F">
        <w:rPr>
          <w:rFonts w:ascii="Arial" w:hAnsi="Arial" w:cs="Arial"/>
          <w:sz w:val="24"/>
          <w:szCs w:val="24"/>
        </w:rPr>
        <w:t xml:space="preserve"> – fac. Camaragibe. V.7, n.1, p17-28, Jan./Mar.2007.</w:t>
      </w:r>
    </w:p>
    <w:p w:rsidR="00F01682" w:rsidRPr="00AD1D8F" w:rsidRDefault="00F01682" w:rsidP="00F01682">
      <w:pPr>
        <w:spacing w:before="240" w:line="360" w:lineRule="auto"/>
        <w:jc w:val="both"/>
        <w:rPr>
          <w:rFonts w:ascii="Arial" w:hAnsi="Arial" w:cs="Arial"/>
          <w:sz w:val="24"/>
          <w:szCs w:val="24"/>
          <w:lang w:val="en-US"/>
        </w:rPr>
      </w:pPr>
      <w:r w:rsidRPr="00AD1D8F">
        <w:rPr>
          <w:rFonts w:ascii="Arial" w:hAnsi="Arial" w:cs="Arial"/>
          <w:sz w:val="24"/>
          <w:szCs w:val="24"/>
        </w:rPr>
        <w:t xml:space="preserve">GALVÃO C. </w:t>
      </w:r>
      <w:r w:rsidRPr="00AD1D8F">
        <w:rPr>
          <w:rFonts w:ascii="Arial" w:hAnsi="Arial" w:cs="Arial"/>
          <w:b/>
          <w:sz w:val="24"/>
          <w:szCs w:val="24"/>
        </w:rPr>
        <w:t xml:space="preserve">O idoso </w:t>
      </w:r>
      <w:proofErr w:type="spellStart"/>
      <w:r w:rsidRPr="00AD1D8F">
        <w:rPr>
          <w:rFonts w:ascii="Arial" w:hAnsi="Arial" w:cs="Arial"/>
          <w:b/>
          <w:sz w:val="24"/>
          <w:szCs w:val="24"/>
        </w:rPr>
        <w:t>Polimedicado</w:t>
      </w:r>
      <w:proofErr w:type="spellEnd"/>
      <w:r w:rsidRPr="00AD1D8F">
        <w:rPr>
          <w:rFonts w:ascii="Arial" w:hAnsi="Arial" w:cs="Arial"/>
          <w:b/>
          <w:sz w:val="24"/>
          <w:szCs w:val="24"/>
        </w:rPr>
        <w:t xml:space="preserve"> - estratégias para melhorar a prescrição</w:t>
      </w:r>
      <w:r w:rsidRPr="00AD1D8F">
        <w:rPr>
          <w:rFonts w:ascii="Arial" w:hAnsi="Arial" w:cs="Arial"/>
          <w:sz w:val="24"/>
          <w:szCs w:val="24"/>
        </w:rPr>
        <w:t xml:space="preserve">. </w:t>
      </w:r>
      <w:r w:rsidRPr="00AD1D8F">
        <w:rPr>
          <w:rFonts w:ascii="Arial" w:hAnsi="Arial" w:cs="Arial"/>
          <w:sz w:val="24"/>
          <w:szCs w:val="24"/>
          <w:lang w:val="en-US"/>
        </w:rPr>
        <w:t xml:space="preserve">Rev port </w:t>
      </w:r>
      <w:proofErr w:type="spellStart"/>
      <w:r w:rsidRPr="00AD1D8F">
        <w:rPr>
          <w:rFonts w:ascii="Arial" w:hAnsi="Arial" w:cs="Arial"/>
          <w:sz w:val="24"/>
          <w:szCs w:val="24"/>
          <w:lang w:val="en-US"/>
        </w:rPr>
        <w:t>clin</w:t>
      </w:r>
      <w:proofErr w:type="spellEnd"/>
      <w:r w:rsidRPr="00AD1D8F">
        <w:rPr>
          <w:rFonts w:ascii="Arial" w:hAnsi="Arial" w:cs="Arial"/>
          <w:sz w:val="24"/>
          <w:szCs w:val="24"/>
          <w:lang w:val="en-US"/>
        </w:rPr>
        <w:t xml:space="preserve"> </w:t>
      </w:r>
      <w:proofErr w:type="spellStart"/>
      <w:r w:rsidRPr="00AD1D8F">
        <w:rPr>
          <w:rFonts w:ascii="Arial" w:hAnsi="Arial" w:cs="Arial"/>
          <w:sz w:val="24"/>
          <w:szCs w:val="24"/>
          <w:lang w:val="en-US"/>
        </w:rPr>
        <w:t>Geral</w:t>
      </w:r>
      <w:proofErr w:type="spellEnd"/>
      <w:r w:rsidRPr="00AD1D8F">
        <w:rPr>
          <w:rFonts w:ascii="Arial" w:hAnsi="Arial" w:cs="Arial"/>
          <w:sz w:val="24"/>
          <w:szCs w:val="24"/>
          <w:lang w:val="en-US"/>
        </w:rPr>
        <w:t>. 2006</w:t>
      </w:r>
    </w:p>
    <w:p w:rsidR="00F01682" w:rsidRPr="00AD1D8F" w:rsidRDefault="00F01682" w:rsidP="00F01682">
      <w:pPr>
        <w:spacing w:before="240" w:line="360" w:lineRule="auto"/>
        <w:jc w:val="both"/>
        <w:rPr>
          <w:rFonts w:ascii="Arial" w:hAnsi="Arial" w:cs="Arial"/>
          <w:sz w:val="24"/>
          <w:szCs w:val="24"/>
          <w:lang w:val="en-US"/>
        </w:rPr>
      </w:pPr>
      <w:proofErr w:type="gramStart"/>
      <w:r w:rsidRPr="00AD1D8F">
        <w:rPr>
          <w:rFonts w:ascii="Arial" w:hAnsi="Arial" w:cs="Arial"/>
          <w:sz w:val="24"/>
          <w:szCs w:val="24"/>
          <w:lang w:val="en-US"/>
        </w:rPr>
        <w:t xml:space="preserve">GREENBLATT, D.J; </w:t>
      </w:r>
      <w:proofErr w:type="spellStart"/>
      <w:r w:rsidRPr="00AD1D8F">
        <w:rPr>
          <w:rFonts w:ascii="Arial" w:hAnsi="Arial" w:cs="Arial"/>
          <w:sz w:val="24"/>
          <w:szCs w:val="24"/>
          <w:lang w:val="en-US"/>
        </w:rPr>
        <w:t>Harmatz</w:t>
      </w:r>
      <w:proofErr w:type="spellEnd"/>
      <w:r w:rsidRPr="00AD1D8F">
        <w:rPr>
          <w:rFonts w:ascii="Arial" w:hAnsi="Arial" w:cs="Arial"/>
          <w:sz w:val="24"/>
          <w:szCs w:val="24"/>
          <w:lang w:val="en-US"/>
        </w:rPr>
        <w:t>, J.S.; Shoulder, R</w:t>
      </w:r>
      <w:r w:rsidRPr="00AD1D8F">
        <w:rPr>
          <w:rFonts w:ascii="Arial" w:hAnsi="Arial" w:cs="Arial"/>
          <w:b/>
          <w:sz w:val="24"/>
          <w:szCs w:val="24"/>
          <w:lang w:val="en-US"/>
        </w:rPr>
        <w:t>, I Clinical Pharmacokinetics of Anxiolytics and hypnotics in the elderly</w:t>
      </w:r>
      <w:r w:rsidRPr="00AD1D8F">
        <w:rPr>
          <w:rFonts w:ascii="Arial" w:hAnsi="Arial" w:cs="Arial"/>
          <w:sz w:val="24"/>
          <w:szCs w:val="24"/>
          <w:lang w:val="en-US"/>
        </w:rPr>
        <w:t>.</w:t>
      </w:r>
      <w:proofErr w:type="gramEnd"/>
      <w:r w:rsidRPr="00AD1D8F">
        <w:rPr>
          <w:rFonts w:ascii="Arial" w:hAnsi="Arial" w:cs="Arial"/>
          <w:sz w:val="24"/>
          <w:szCs w:val="24"/>
          <w:lang w:val="en-US"/>
        </w:rPr>
        <w:t xml:space="preserve"> </w:t>
      </w:r>
      <w:proofErr w:type="gramStart"/>
      <w:r w:rsidRPr="00AD1D8F">
        <w:rPr>
          <w:rFonts w:ascii="Arial" w:hAnsi="Arial" w:cs="Arial"/>
          <w:sz w:val="24"/>
          <w:szCs w:val="24"/>
          <w:lang w:val="en-US"/>
        </w:rPr>
        <w:t>Therapeutic considerations (part 1).</w:t>
      </w:r>
      <w:proofErr w:type="spellStart"/>
      <w:r w:rsidRPr="00AD1D8F">
        <w:rPr>
          <w:rFonts w:ascii="Arial" w:hAnsi="Arial" w:cs="Arial"/>
          <w:sz w:val="24"/>
          <w:szCs w:val="24"/>
          <w:lang w:val="en-US"/>
        </w:rPr>
        <w:t>Clin</w:t>
      </w:r>
      <w:proofErr w:type="spellEnd"/>
      <w:r w:rsidRPr="00AD1D8F">
        <w:rPr>
          <w:rFonts w:ascii="Arial" w:hAnsi="Arial" w:cs="Arial"/>
          <w:sz w:val="24"/>
          <w:szCs w:val="24"/>
          <w:lang w:val="en-US"/>
        </w:rPr>
        <w:t xml:space="preserve"> Pharmacokinetics.</w:t>
      </w:r>
      <w:proofErr w:type="gramEnd"/>
      <w:r w:rsidRPr="00AD1D8F">
        <w:rPr>
          <w:rFonts w:ascii="Arial" w:hAnsi="Arial" w:cs="Arial"/>
          <w:sz w:val="24"/>
          <w:szCs w:val="24"/>
          <w:lang w:val="en-US"/>
        </w:rPr>
        <w:t xml:space="preserve"> </w:t>
      </w:r>
      <w:proofErr w:type="gramStart"/>
      <w:r w:rsidRPr="00AD1D8F">
        <w:rPr>
          <w:rFonts w:ascii="Arial" w:hAnsi="Arial" w:cs="Arial"/>
          <w:sz w:val="24"/>
          <w:szCs w:val="24"/>
          <w:lang w:val="en-US"/>
        </w:rPr>
        <w:t>v.21, n.3, p.165-77, 1991.</w:t>
      </w:r>
      <w:proofErr w:type="gramEnd"/>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lang w:val="en-US"/>
        </w:rPr>
        <w:t xml:space="preserve">HOFFMAN, B. ET AL. </w:t>
      </w:r>
      <w:r w:rsidRPr="00AD1D8F">
        <w:rPr>
          <w:rFonts w:ascii="Arial" w:hAnsi="Arial" w:cs="Arial"/>
          <w:b/>
          <w:sz w:val="24"/>
          <w:szCs w:val="24"/>
        </w:rPr>
        <w:t xml:space="preserve">Farmacologia </w:t>
      </w:r>
      <w:proofErr w:type="spellStart"/>
      <w:r w:rsidRPr="00AD1D8F">
        <w:rPr>
          <w:rFonts w:ascii="Arial" w:hAnsi="Arial" w:cs="Arial"/>
          <w:b/>
          <w:sz w:val="24"/>
          <w:szCs w:val="24"/>
        </w:rPr>
        <w:t>integrates</w:t>
      </w:r>
      <w:proofErr w:type="spellEnd"/>
      <w:r w:rsidRPr="00AD1D8F">
        <w:rPr>
          <w:rFonts w:ascii="Arial" w:hAnsi="Arial" w:cs="Arial"/>
          <w:sz w:val="24"/>
          <w:szCs w:val="24"/>
        </w:rPr>
        <w:t>. São Paulo: Manole, 2004.p.670.</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rPr>
        <w:t xml:space="preserve">H.P.RANG; MM.DALE; M.RITTER. </w:t>
      </w:r>
      <w:r w:rsidRPr="00AD1D8F">
        <w:rPr>
          <w:rFonts w:ascii="Arial" w:hAnsi="Arial" w:cs="Arial"/>
          <w:b/>
          <w:sz w:val="24"/>
          <w:szCs w:val="24"/>
        </w:rPr>
        <w:t>Farmacologia</w:t>
      </w:r>
      <w:r w:rsidRPr="00AD1D8F">
        <w:rPr>
          <w:rFonts w:ascii="Arial" w:hAnsi="Arial" w:cs="Arial"/>
          <w:sz w:val="24"/>
          <w:szCs w:val="24"/>
        </w:rPr>
        <w:t xml:space="preserve">. </w:t>
      </w:r>
      <w:proofErr w:type="gramStart"/>
      <w:r w:rsidRPr="00AD1D8F">
        <w:rPr>
          <w:rFonts w:ascii="Arial" w:hAnsi="Arial" w:cs="Arial"/>
          <w:sz w:val="24"/>
          <w:szCs w:val="24"/>
        </w:rPr>
        <w:t>3</w:t>
      </w:r>
      <w:proofErr w:type="gramEnd"/>
      <w:r w:rsidRPr="00AD1D8F">
        <w:rPr>
          <w:rFonts w:ascii="Arial" w:hAnsi="Arial" w:cs="Arial"/>
          <w:sz w:val="24"/>
          <w:szCs w:val="24"/>
        </w:rPr>
        <w:t xml:space="preserve"> </w:t>
      </w:r>
      <w:proofErr w:type="spellStart"/>
      <w:r w:rsidRPr="00AD1D8F">
        <w:rPr>
          <w:rFonts w:ascii="Arial" w:hAnsi="Arial" w:cs="Arial"/>
          <w:sz w:val="24"/>
          <w:szCs w:val="24"/>
        </w:rPr>
        <w:t>ed.Rio</w:t>
      </w:r>
      <w:proofErr w:type="spellEnd"/>
      <w:r w:rsidRPr="00AD1D8F">
        <w:rPr>
          <w:rFonts w:ascii="Arial" w:hAnsi="Arial" w:cs="Arial"/>
          <w:sz w:val="24"/>
          <w:szCs w:val="24"/>
        </w:rPr>
        <w:t xml:space="preserve"> de Janeiro: Guanabara Koogan, 2001.p. 628.</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rPr>
        <w:t>IBGE.</w:t>
      </w:r>
      <w:r w:rsidRPr="00AD1D8F">
        <w:rPr>
          <w:rFonts w:ascii="Arial" w:hAnsi="Arial" w:cs="Arial"/>
          <w:b/>
          <w:sz w:val="24"/>
          <w:szCs w:val="24"/>
        </w:rPr>
        <w:t xml:space="preserve"> Instituto Brasileiro de Geografia e Estatística. Brasília: Ministério do planejamento</w:t>
      </w:r>
      <w:r w:rsidRPr="00AD1D8F">
        <w:rPr>
          <w:rFonts w:ascii="Arial" w:hAnsi="Arial" w:cs="Arial"/>
          <w:sz w:val="24"/>
          <w:szCs w:val="24"/>
        </w:rPr>
        <w:t xml:space="preserve">. Disponível em: </w:t>
      </w:r>
      <w:hyperlink r:id="rId8" w:history="1">
        <w:r w:rsidRPr="00AD1D8F">
          <w:rPr>
            <w:rStyle w:val="Hyperlink"/>
            <w:rFonts w:ascii="Arial" w:hAnsi="Arial" w:cs="Arial"/>
            <w:sz w:val="24"/>
            <w:szCs w:val="24"/>
            <w:u w:val="none"/>
          </w:rPr>
          <w:t>http://www.ibge.gov.br</w:t>
        </w:r>
      </w:hyperlink>
      <w:r w:rsidRPr="00AD1D8F">
        <w:rPr>
          <w:rFonts w:ascii="Arial" w:hAnsi="Arial" w:cs="Arial"/>
          <w:sz w:val="24"/>
          <w:szCs w:val="24"/>
        </w:rPr>
        <w:t xml:space="preserve"> Acessado em 18 de mai.2008.</w:t>
      </w:r>
    </w:p>
    <w:p w:rsidR="00F01682" w:rsidRPr="00AD1D8F" w:rsidRDefault="00F01682" w:rsidP="00F01682">
      <w:pPr>
        <w:spacing w:before="240" w:line="360" w:lineRule="auto"/>
        <w:jc w:val="both"/>
        <w:rPr>
          <w:rFonts w:ascii="Arial" w:hAnsi="Arial" w:cs="Arial"/>
          <w:sz w:val="24"/>
          <w:szCs w:val="24"/>
          <w:lang w:val="en-US"/>
        </w:rPr>
      </w:pPr>
      <w:proofErr w:type="gramStart"/>
      <w:r w:rsidRPr="00AD1D8F">
        <w:rPr>
          <w:rFonts w:ascii="Arial" w:hAnsi="Arial" w:cs="Arial"/>
          <w:sz w:val="24"/>
          <w:szCs w:val="24"/>
          <w:lang w:val="en-US"/>
        </w:rPr>
        <w:t xml:space="preserve">MONTAMAT, S.C.; ET AL. </w:t>
      </w:r>
      <w:r w:rsidRPr="00AD1D8F">
        <w:rPr>
          <w:rFonts w:ascii="Arial" w:hAnsi="Arial" w:cs="Arial"/>
          <w:b/>
          <w:sz w:val="24"/>
          <w:szCs w:val="24"/>
          <w:lang w:val="en-US"/>
        </w:rPr>
        <w:t>Management of drug therapy in the elderly</w:t>
      </w:r>
      <w:r w:rsidRPr="00AD1D8F">
        <w:rPr>
          <w:rFonts w:ascii="Arial" w:hAnsi="Arial" w:cs="Arial"/>
          <w:sz w:val="24"/>
          <w:szCs w:val="24"/>
          <w:lang w:val="en-US"/>
        </w:rPr>
        <w:t>.</w:t>
      </w:r>
      <w:proofErr w:type="gramEnd"/>
      <w:r w:rsidRPr="00AD1D8F">
        <w:rPr>
          <w:rFonts w:ascii="Arial" w:hAnsi="Arial" w:cs="Arial"/>
          <w:sz w:val="24"/>
          <w:szCs w:val="24"/>
          <w:lang w:val="en-US"/>
        </w:rPr>
        <w:t xml:space="preserve"> N ENGL J MED, v.321, n5 p.303-9.1989.  </w:t>
      </w:r>
    </w:p>
    <w:p w:rsidR="00F01682" w:rsidRPr="00AD1D8F" w:rsidRDefault="00F01682" w:rsidP="00F01682">
      <w:pPr>
        <w:spacing w:before="240" w:line="360" w:lineRule="auto"/>
        <w:jc w:val="both"/>
        <w:rPr>
          <w:rFonts w:ascii="Arial" w:hAnsi="Arial" w:cs="Arial"/>
          <w:sz w:val="24"/>
          <w:szCs w:val="24"/>
          <w:lang w:val="en-US"/>
        </w:rPr>
      </w:pPr>
      <w:r w:rsidRPr="00AD1D8F">
        <w:rPr>
          <w:rFonts w:ascii="Arial" w:hAnsi="Arial" w:cs="Arial"/>
          <w:sz w:val="24"/>
          <w:szCs w:val="24"/>
          <w:lang w:val="en-US"/>
        </w:rPr>
        <w:t>MUHBERG, W.; Platt, D. Age-dependent changes of the kidneys</w:t>
      </w:r>
      <w:r w:rsidRPr="00AD1D8F">
        <w:rPr>
          <w:rFonts w:ascii="Arial" w:hAnsi="Arial" w:cs="Arial"/>
          <w:b/>
          <w:sz w:val="24"/>
          <w:szCs w:val="24"/>
          <w:lang w:val="en-US"/>
        </w:rPr>
        <w:t>: pharmacological implications Gerontology</w:t>
      </w:r>
      <w:r w:rsidRPr="00AD1D8F">
        <w:rPr>
          <w:rFonts w:ascii="Arial" w:hAnsi="Arial" w:cs="Arial"/>
          <w:sz w:val="24"/>
          <w:szCs w:val="24"/>
          <w:lang w:val="en-US"/>
        </w:rPr>
        <w:t xml:space="preserve">, v.45, n.5, p. 243-53, </w:t>
      </w:r>
      <w:proofErr w:type="gramStart"/>
      <w:r w:rsidRPr="00AD1D8F">
        <w:rPr>
          <w:rFonts w:ascii="Arial" w:hAnsi="Arial" w:cs="Arial"/>
          <w:sz w:val="24"/>
          <w:szCs w:val="24"/>
          <w:lang w:val="en-US"/>
        </w:rPr>
        <w:t>1999</w:t>
      </w:r>
      <w:proofErr w:type="gramEnd"/>
      <w:r w:rsidRPr="00AD1D8F">
        <w:rPr>
          <w:rFonts w:ascii="Arial" w:hAnsi="Arial" w:cs="Arial"/>
          <w:sz w:val="24"/>
          <w:szCs w:val="24"/>
          <w:lang w:val="en-US"/>
        </w:rPr>
        <w:t>.</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rPr>
        <w:t xml:space="preserve">OGA, S. Tipos de interações. In: OGA, S.; BASILE, A.C. CARVALHO, M.F. </w:t>
      </w:r>
      <w:r w:rsidRPr="00AD1D8F">
        <w:rPr>
          <w:rFonts w:ascii="Arial" w:hAnsi="Arial" w:cs="Arial"/>
          <w:b/>
          <w:sz w:val="24"/>
          <w:szCs w:val="24"/>
        </w:rPr>
        <w:t xml:space="preserve">Guia </w:t>
      </w:r>
      <w:proofErr w:type="spellStart"/>
      <w:r w:rsidRPr="00AD1D8F">
        <w:rPr>
          <w:rFonts w:ascii="Arial" w:hAnsi="Arial" w:cs="Arial"/>
          <w:b/>
          <w:sz w:val="24"/>
          <w:szCs w:val="24"/>
        </w:rPr>
        <w:t>Zanine</w:t>
      </w:r>
      <w:proofErr w:type="spellEnd"/>
      <w:r w:rsidRPr="00AD1D8F">
        <w:rPr>
          <w:rFonts w:ascii="Arial" w:hAnsi="Arial" w:cs="Arial"/>
          <w:b/>
          <w:sz w:val="24"/>
          <w:szCs w:val="24"/>
        </w:rPr>
        <w:t xml:space="preserve"> </w:t>
      </w:r>
      <w:proofErr w:type="spellStart"/>
      <w:r w:rsidRPr="00AD1D8F">
        <w:rPr>
          <w:rFonts w:ascii="Arial" w:hAnsi="Arial" w:cs="Arial"/>
          <w:b/>
          <w:sz w:val="24"/>
          <w:szCs w:val="24"/>
        </w:rPr>
        <w:t>Oga</w:t>
      </w:r>
      <w:proofErr w:type="spellEnd"/>
      <w:r w:rsidRPr="00AD1D8F">
        <w:rPr>
          <w:rFonts w:ascii="Arial" w:hAnsi="Arial" w:cs="Arial"/>
          <w:b/>
          <w:sz w:val="24"/>
          <w:szCs w:val="24"/>
        </w:rPr>
        <w:t xml:space="preserve"> de interações medicamentosas</w:t>
      </w:r>
      <w:r w:rsidRPr="00AD1D8F">
        <w:rPr>
          <w:rFonts w:ascii="Arial" w:hAnsi="Arial" w:cs="Arial"/>
          <w:sz w:val="24"/>
          <w:szCs w:val="24"/>
        </w:rPr>
        <w:t>. São Paulo: Atheneu, 2003b, p. 9-22.</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rPr>
        <w:lastRenderedPageBreak/>
        <w:t xml:space="preserve">SECOLI, SILVIA REGINA. </w:t>
      </w:r>
      <w:proofErr w:type="spellStart"/>
      <w:r w:rsidRPr="00AD1D8F">
        <w:rPr>
          <w:rFonts w:ascii="Arial" w:hAnsi="Arial" w:cs="Arial"/>
          <w:b/>
          <w:sz w:val="24"/>
          <w:szCs w:val="24"/>
        </w:rPr>
        <w:t>Polifarmácia</w:t>
      </w:r>
      <w:proofErr w:type="spellEnd"/>
      <w:r w:rsidRPr="00AD1D8F">
        <w:rPr>
          <w:rFonts w:ascii="Arial" w:hAnsi="Arial" w:cs="Arial"/>
          <w:b/>
          <w:sz w:val="24"/>
          <w:szCs w:val="24"/>
        </w:rPr>
        <w:t xml:space="preserve">: interações e reações adversas no uso de medicamentos por idosos. </w:t>
      </w:r>
      <w:r w:rsidRPr="00AD1D8F">
        <w:rPr>
          <w:rFonts w:ascii="Arial" w:hAnsi="Arial" w:cs="Arial"/>
          <w:sz w:val="24"/>
          <w:szCs w:val="24"/>
        </w:rPr>
        <w:t>Revista Brasileira de Enfermagem, vol. 63 núm. 1, 2010.</w:t>
      </w:r>
    </w:p>
    <w:p w:rsidR="00F01682" w:rsidRPr="00AD1D8F" w:rsidRDefault="00F01682" w:rsidP="00F01682">
      <w:pPr>
        <w:spacing w:before="240" w:line="360" w:lineRule="auto"/>
        <w:jc w:val="both"/>
        <w:rPr>
          <w:rFonts w:ascii="Arial" w:hAnsi="Arial" w:cs="Arial"/>
          <w:sz w:val="24"/>
          <w:szCs w:val="24"/>
        </w:rPr>
      </w:pPr>
      <w:r w:rsidRPr="00AD1D8F">
        <w:rPr>
          <w:rFonts w:ascii="Arial" w:hAnsi="Arial" w:cs="Arial"/>
          <w:sz w:val="24"/>
          <w:szCs w:val="24"/>
        </w:rPr>
        <w:t xml:space="preserve">STORPIRTIS, SILVIA. </w:t>
      </w:r>
      <w:r w:rsidRPr="00AD1D8F">
        <w:rPr>
          <w:rFonts w:ascii="Arial" w:hAnsi="Arial" w:cs="Arial"/>
          <w:b/>
          <w:sz w:val="24"/>
          <w:szCs w:val="24"/>
        </w:rPr>
        <w:t>Farmácia clínica e atenção farmacêutica</w:t>
      </w:r>
      <w:r w:rsidRPr="00AD1D8F">
        <w:rPr>
          <w:rFonts w:ascii="Arial" w:hAnsi="Arial" w:cs="Arial"/>
          <w:sz w:val="24"/>
          <w:szCs w:val="24"/>
        </w:rPr>
        <w:t xml:space="preserve">. Colaboração de Adriana Baptista da Cruz </w:t>
      </w:r>
      <w:proofErr w:type="spellStart"/>
      <w:r w:rsidRPr="00AD1D8F">
        <w:rPr>
          <w:rFonts w:ascii="Arial" w:hAnsi="Arial" w:cs="Arial"/>
          <w:sz w:val="24"/>
          <w:szCs w:val="24"/>
        </w:rPr>
        <w:t>Loffel</w:t>
      </w:r>
      <w:proofErr w:type="spellEnd"/>
      <w:r w:rsidRPr="00AD1D8F">
        <w:rPr>
          <w:rFonts w:ascii="Arial" w:hAnsi="Arial" w:cs="Arial"/>
          <w:sz w:val="24"/>
          <w:szCs w:val="24"/>
        </w:rPr>
        <w:t xml:space="preserve">  </w:t>
      </w:r>
      <w:proofErr w:type="gramStart"/>
      <w:r w:rsidRPr="00AD1D8F">
        <w:rPr>
          <w:rFonts w:ascii="Arial" w:hAnsi="Arial" w:cs="Arial"/>
          <w:sz w:val="24"/>
          <w:szCs w:val="24"/>
        </w:rPr>
        <w:t>et</w:t>
      </w:r>
      <w:proofErr w:type="gramEnd"/>
      <w:r w:rsidRPr="00AD1D8F">
        <w:rPr>
          <w:rFonts w:ascii="Arial" w:hAnsi="Arial" w:cs="Arial"/>
          <w:sz w:val="24"/>
          <w:szCs w:val="24"/>
        </w:rPr>
        <w:t xml:space="preserve">  al. Rio de Janeiro: Guanabara Koogan,2008, p 291.</w:t>
      </w:r>
    </w:p>
    <w:sectPr w:rsidR="00F01682" w:rsidRPr="00AD1D8F" w:rsidSect="00F01682">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12" w:rsidRDefault="005B5412" w:rsidP="00F01682">
      <w:pPr>
        <w:spacing w:after="0" w:line="240" w:lineRule="auto"/>
      </w:pPr>
      <w:r>
        <w:separator/>
      </w:r>
    </w:p>
  </w:endnote>
  <w:endnote w:type="continuationSeparator" w:id="0">
    <w:p w:rsidR="005B5412" w:rsidRDefault="005B5412" w:rsidP="00F0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82" w:rsidRDefault="00F0168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82" w:rsidRDefault="00F0168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82" w:rsidRDefault="00F016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12" w:rsidRDefault="005B5412" w:rsidP="00F01682">
      <w:pPr>
        <w:spacing w:after="0" w:line="240" w:lineRule="auto"/>
      </w:pPr>
      <w:r>
        <w:separator/>
      </w:r>
    </w:p>
  </w:footnote>
  <w:footnote w:type="continuationSeparator" w:id="0">
    <w:p w:rsidR="005B5412" w:rsidRDefault="005B5412" w:rsidP="00F01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82" w:rsidRDefault="00F0168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825"/>
      <w:docPartObj>
        <w:docPartGallery w:val="Page Numbers (Top of Page)"/>
        <w:docPartUnique/>
      </w:docPartObj>
    </w:sdtPr>
    <w:sdtEndPr/>
    <w:sdtContent>
      <w:p w:rsidR="00F01682" w:rsidRPr="00F01682" w:rsidRDefault="00C913A6">
        <w:pPr>
          <w:pStyle w:val="Cabealho"/>
          <w:jc w:val="right"/>
        </w:pPr>
        <w:r>
          <w:fldChar w:fldCharType="begin"/>
        </w:r>
        <w:r>
          <w:instrText xml:space="preserve"> PAGE   \* MERGEFORMAT </w:instrText>
        </w:r>
        <w:r>
          <w:fldChar w:fldCharType="separate"/>
        </w:r>
        <w:r w:rsidR="00F63F93">
          <w:rPr>
            <w:noProof/>
          </w:rPr>
          <w:t>2</w:t>
        </w:r>
        <w:r>
          <w:rPr>
            <w:noProof/>
          </w:rPr>
          <w:fldChar w:fldCharType="end"/>
        </w:r>
      </w:p>
    </w:sdtContent>
  </w:sdt>
  <w:p w:rsidR="00F01682" w:rsidRDefault="00F0168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682" w:rsidRDefault="00F016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82"/>
    <w:rsid w:val="000114A6"/>
    <w:rsid w:val="00030652"/>
    <w:rsid w:val="00086CF3"/>
    <w:rsid w:val="000E6611"/>
    <w:rsid w:val="00195F46"/>
    <w:rsid w:val="00435900"/>
    <w:rsid w:val="0047398D"/>
    <w:rsid w:val="0048040A"/>
    <w:rsid w:val="005B5412"/>
    <w:rsid w:val="006217AE"/>
    <w:rsid w:val="00650326"/>
    <w:rsid w:val="00682997"/>
    <w:rsid w:val="006C7CA5"/>
    <w:rsid w:val="00704132"/>
    <w:rsid w:val="00711EF1"/>
    <w:rsid w:val="007A6A4C"/>
    <w:rsid w:val="007E2466"/>
    <w:rsid w:val="007F6AD0"/>
    <w:rsid w:val="008613B3"/>
    <w:rsid w:val="008F7653"/>
    <w:rsid w:val="00937432"/>
    <w:rsid w:val="009970B8"/>
    <w:rsid w:val="009B2A05"/>
    <w:rsid w:val="009F2D1A"/>
    <w:rsid w:val="00A12F28"/>
    <w:rsid w:val="00A402EA"/>
    <w:rsid w:val="00A7759F"/>
    <w:rsid w:val="00B3245F"/>
    <w:rsid w:val="00B33B17"/>
    <w:rsid w:val="00B5616F"/>
    <w:rsid w:val="00BB617A"/>
    <w:rsid w:val="00C079D6"/>
    <w:rsid w:val="00C913A6"/>
    <w:rsid w:val="00CD1B5C"/>
    <w:rsid w:val="00D10F33"/>
    <w:rsid w:val="00D4673D"/>
    <w:rsid w:val="00D617C2"/>
    <w:rsid w:val="00D95E25"/>
    <w:rsid w:val="00DB5F93"/>
    <w:rsid w:val="00DC2573"/>
    <w:rsid w:val="00DE0301"/>
    <w:rsid w:val="00E25866"/>
    <w:rsid w:val="00E449FA"/>
    <w:rsid w:val="00F01682"/>
    <w:rsid w:val="00F56873"/>
    <w:rsid w:val="00F63F93"/>
    <w:rsid w:val="00F75AE8"/>
    <w:rsid w:val="00F95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0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F01682"/>
  </w:style>
  <w:style w:type="character" w:styleId="Hyperlink">
    <w:name w:val="Hyperlink"/>
    <w:basedOn w:val="Fontepargpadro"/>
    <w:uiPriority w:val="99"/>
    <w:unhideWhenUsed/>
    <w:rsid w:val="00F01682"/>
    <w:rPr>
      <w:color w:val="0000FF" w:themeColor="hyperlink"/>
      <w:u w:val="single"/>
    </w:rPr>
  </w:style>
  <w:style w:type="paragraph" w:styleId="Textodenotaderodap">
    <w:name w:val="footnote text"/>
    <w:basedOn w:val="Normal"/>
    <w:link w:val="TextodenotaderodapChar"/>
    <w:uiPriority w:val="99"/>
    <w:semiHidden/>
    <w:unhideWhenUsed/>
    <w:rsid w:val="00F016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1682"/>
    <w:rPr>
      <w:sz w:val="20"/>
      <w:szCs w:val="20"/>
    </w:rPr>
  </w:style>
  <w:style w:type="character" w:styleId="Refdenotaderodap">
    <w:name w:val="footnote reference"/>
    <w:basedOn w:val="Fontepargpadro"/>
    <w:uiPriority w:val="99"/>
    <w:semiHidden/>
    <w:unhideWhenUsed/>
    <w:rsid w:val="00F01682"/>
    <w:rPr>
      <w:vertAlign w:val="superscript"/>
    </w:rPr>
  </w:style>
  <w:style w:type="paragraph" w:styleId="Cabealho">
    <w:name w:val="header"/>
    <w:basedOn w:val="Normal"/>
    <w:link w:val="CabealhoChar"/>
    <w:uiPriority w:val="99"/>
    <w:unhideWhenUsed/>
    <w:rsid w:val="00F016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682"/>
  </w:style>
  <w:style w:type="paragraph" w:styleId="Rodap">
    <w:name w:val="footer"/>
    <w:basedOn w:val="Normal"/>
    <w:link w:val="RodapChar"/>
    <w:uiPriority w:val="99"/>
    <w:semiHidden/>
    <w:unhideWhenUsed/>
    <w:rsid w:val="00F016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1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0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F01682"/>
  </w:style>
  <w:style w:type="character" w:styleId="Hyperlink">
    <w:name w:val="Hyperlink"/>
    <w:basedOn w:val="Fontepargpadro"/>
    <w:uiPriority w:val="99"/>
    <w:unhideWhenUsed/>
    <w:rsid w:val="00F01682"/>
    <w:rPr>
      <w:color w:val="0000FF" w:themeColor="hyperlink"/>
      <w:u w:val="single"/>
    </w:rPr>
  </w:style>
  <w:style w:type="paragraph" w:styleId="Textodenotaderodap">
    <w:name w:val="footnote text"/>
    <w:basedOn w:val="Normal"/>
    <w:link w:val="TextodenotaderodapChar"/>
    <w:uiPriority w:val="99"/>
    <w:semiHidden/>
    <w:unhideWhenUsed/>
    <w:rsid w:val="00F016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1682"/>
    <w:rPr>
      <w:sz w:val="20"/>
      <w:szCs w:val="20"/>
    </w:rPr>
  </w:style>
  <w:style w:type="character" w:styleId="Refdenotaderodap">
    <w:name w:val="footnote reference"/>
    <w:basedOn w:val="Fontepargpadro"/>
    <w:uiPriority w:val="99"/>
    <w:semiHidden/>
    <w:unhideWhenUsed/>
    <w:rsid w:val="00F01682"/>
    <w:rPr>
      <w:vertAlign w:val="superscript"/>
    </w:rPr>
  </w:style>
  <w:style w:type="paragraph" w:styleId="Cabealho">
    <w:name w:val="header"/>
    <w:basedOn w:val="Normal"/>
    <w:link w:val="CabealhoChar"/>
    <w:uiPriority w:val="99"/>
    <w:unhideWhenUsed/>
    <w:rsid w:val="00F016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682"/>
  </w:style>
  <w:style w:type="paragraph" w:styleId="Rodap">
    <w:name w:val="footer"/>
    <w:basedOn w:val="Normal"/>
    <w:link w:val="RodapChar"/>
    <w:uiPriority w:val="99"/>
    <w:semiHidden/>
    <w:unhideWhenUsed/>
    <w:rsid w:val="00F016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ufar@bol.com.br"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Terminal01 Preco Pop</cp:lastModifiedBy>
  <cp:revision>2</cp:revision>
  <dcterms:created xsi:type="dcterms:W3CDTF">2015-09-04T13:19:00Z</dcterms:created>
  <dcterms:modified xsi:type="dcterms:W3CDTF">2015-09-04T13:19:00Z</dcterms:modified>
</cp:coreProperties>
</file>