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92B" w:rsidRPr="00177364" w:rsidRDefault="005C292B" w:rsidP="00A31F52">
      <w:pPr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  <w:r w:rsidRPr="000C4F27">
        <w:rPr>
          <w:rFonts w:ascii="Arial" w:hAnsi="Arial" w:cs="Arial"/>
          <w:b/>
          <w:sz w:val="28"/>
          <w:szCs w:val="28"/>
        </w:rPr>
        <w:t>O</w:t>
      </w:r>
      <w:r>
        <w:rPr>
          <w:rFonts w:ascii="Arial" w:hAnsi="Arial" w:cs="Arial"/>
          <w:b/>
          <w:sz w:val="28"/>
          <w:szCs w:val="28"/>
        </w:rPr>
        <w:t>s</w:t>
      </w:r>
      <w:r w:rsidRPr="000C4F27">
        <w:rPr>
          <w:rFonts w:ascii="Arial" w:hAnsi="Arial" w:cs="Arial"/>
          <w:b/>
          <w:sz w:val="28"/>
          <w:szCs w:val="28"/>
        </w:rPr>
        <w:t xml:space="preserve"> L</w:t>
      </w:r>
      <w:r>
        <w:rPr>
          <w:rFonts w:ascii="Arial" w:hAnsi="Arial" w:cs="Arial"/>
          <w:b/>
          <w:sz w:val="28"/>
          <w:szCs w:val="28"/>
        </w:rPr>
        <w:t>imites do</w:t>
      </w:r>
      <w:r w:rsidRPr="000C4F27">
        <w:rPr>
          <w:rFonts w:ascii="Arial" w:hAnsi="Arial" w:cs="Arial"/>
          <w:b/>
          <w:sz w:val="28"/>
          <w:szCs w:val="28"/>
        </w:rPr>
        <w:t xml:space="preserve"> P</w:t>
      </w:r>
      <w:r>
        <w:rPr>
          <w:rFonts w:ascii="Arial" w:hAnsi="Arial" w:cs="Arial"/>
          <w:b/>
          <w:sz w:val="28"/>
          <w:szCs w:val="28"/>
        </w:rPr>
        <w:t>oder</w:t>
      </w:r>
      <w:r w:rsidRPr="000C4F27">
        <w:rPr>
          <w:rFonts w:ascii="Arial" w:hAnsi="Arial" w:cs="Arial"/>
          <w:b/>
          <w:sz w:val="28"/>
          <w:szCs w:val="28"/>
        </w:rPr>
        <w:t xml:space="preserve"> R</w:t>
      </w:r>
      <w:r>
        <w:rPr>
          <w:rFonts w:ascii="Arial" w:hAnsi="Arial" w:cs="Arial"/>
          <w:b/>
          <w:sz w:val="28"/>
          <w:szCs w:val="28"/>
        </w:rPr>
        <w:t>egulamentar</w:t>
      </w:r>
      <w:r w:rsidRPr="000C4F27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exercido</w:t>
      </w:r>
      <w:r w:rsidRPr="000C4F27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pelo</w:t>
      </w:r>
      <w:r w:rsidRPr="000C4F27">
        <w:rPr>
          <w:rFonts w:ascii="Arial" w:hAnsi="Arial" w:cs="Arial"/>
          <w:b/>
          <w:sz w:val="28"/>
          <w:szCs w:val="28"/>
        </w:rPr>
        <w:t xml:space="preserve"> C</w:t>
      </w:r>
      <w:r>
        <w:rPr>
          <w:rFonts w:ascii="Arial" w:hAnsi="Arial" w:cs="Arial"/>
          <w:b/>
          <w:sz w:val="28"/>
          <w:szCs w:val="28"/>
        </w:rPr>
        <w:t>onselho Nacional de Justiça</w:t>
      </w:r>
      <w:r w:rsidRPr="000C4F27">
        <w:rPr>
          <w:rFonts w:ascii="Arial" w:hAnsi="Arial" w:cs="Arial"/>
          <w:b/>
          <w:sz w:val="28"/>
          <w:szCs w:val="28"/>
        </w:rPr>
        <w:t>: Uma análise da resolução nº 07/05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AC5DCC" w:rsidRPr="00AC5DCC">
        <w:rPr>
          <w:rStyle w:val="Refdenotaderodap"/>
          <w:rFonts w:ascii="Arial" w:hAnsi="Arial" w:cs="Arial"/>
          <w:b/>
          <w:sz w:val="24"/>
          <w:szCs w:val="24"/>
        </w:rPr>
        <w:footnoteReference w:id="1"/>
      </w:r>
    </w:p>
    <w:p w:rsidR="005C292B" w:rsidRPr="008A3550" w:rsidRDefault="005C292B" w:rsidP="005C292B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A3550">
        <w:rPr>
          <w:rFonts w:ascii="Arial" w:hAnsi="Arial" w:cs="Arial"/>
          <w:color w:val="000000"/>
          <w:sz w:val="24"/>
          <w:szCs w:val="24"/>
          <w:shd w:val="clear" w:color="auto" w:fill="FFFFFF"/>
        </w:rPr>
        <w:t>Gustavo José Gomes Azevedo e</w:t>
      </w:r>
    </w:p>
    <w:p w:rsidR="005C292B" w:rsidRPr="008A3550" w:rsidRDefault="005C292B" w:rsidP="005C292B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A355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João Alves Bezerra Junior ²</w:t>
      </w:r>
    </w:p>
    <w:p w:rsidR="00127367" w:rsidRDefault="00127367" w:rsidP="005C292B">
      <w:pPr>
        <w:spacing w:after="0" w:line="240" w:lineRule="auto"/>
        <w:ind w:left="2268"/>
        <w:jc w:val="both"/>
        <w:rPr>
          <w:rFonts w:ascii="Arial" w:hAnsi="Arial" w:cs="Arial"/>
          <w:b/>
          <w:sz w:val="20"/>
          <w:szCs w:val="20"/>
        </w:rPr>
      </w:pPr>
    </w:p>
    <w:p w:rsidR="005C292B" w:rsidRPr="000C4F27" w:rsidRDefault="005C292B" w:rsidP="005C292B">
      <w:pPr>
        <w:spacing w:after="0" w:line="240" w:lineRule="auto"/>
        <w:ind w:left="2268"/>
        <w:jc w:val="both"/>
        <w:rPr>
          <w:rFonts w:ascii="Arial" w:hAnsi="Arial" w:cs="Arial"/>
          <w:b/>
          <w:sz w:val="28"/>
          <w:szCs w:val="28"/>
        </w:rPr>
      </w:pPr>
      <w:r w:rsidRPr="00581B6D">
        <w:rPr>
          <w:rFonts w:ascii="Arial" w:hAnsi="Arial" w:cs="Arial"/>
          <w:b/>
          <w:sz w:val="20"/>
          <w:szCs w:val="20"/>
        </w:rPr>
        <w:t>Sumário</w:t>
      </w:r>
      <w:r>
        <w:rPr>
          <w:rFonts w:ascii="Arial" w:hAnsi="Arial" w:cs="Arial"/>
          <w:sz w:val="20"/>
          <w:szCs w:val="20"/>
        </w:rPr>
        <w:t xml:space="preserve">: Introdução; </w:t>
      </w:r>
      <w:r w:rsidRPr="004F64DB">
        <w:rPr>
          <w:rFonts w:ascii="Arial" w:hAnsi="Arial" w:cs="Arial"/>
          <w:sz w:val="20"/>
          <w:szCs w:val="20"/>
        </w:rPr>
        <w:t>1</w:t>
      </w:r>
      <w:r w:rsidR="006070C8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A Criação do Conselho Nacional de Justiça pela EC nº45/2004</w:t>
      </w:r>
      <w:r w:rsidRPr="004F64DB">
        <w:rPr>
          <w:rFonts w:ascii="Arial" w:hAnsi="Arial" w:cs="Arial"/>
          <w:sz w:val="20"/>
          <w:szCs w:val="20"/>
        </w:rPr>
        <w:t>; 2</w:t>
      </w:r>
      <w:r w:rsidR="006070C8">
        <w:rPr>
          <w:rFonts w:ascii="Arial" w:hAnsi="Arial" w:cs="Arial"/>
          <w:sz w:val="20"/>
          <w:szCs w:val="20"/>
        </w:rPr>
        <w:t>.</w:t>
      </w:r>
      <w:r w:rsidR="00FF4313">
        <w:rPr>
          <w:rFonts w:ascii="Arial" w:hAnsi="Arial" w:cs="Arial"/>
          <w:sz w:val="20"/>
          <w:szCs w:val="20"/>
        </w:rPr>
        <w:t xml:space="preserve"> As Atribuições do CNJ e </w:t>
      </w:r>
      <w:r w:rsidR="004F347B">
        <w:rPr>
          <w:rFonts w:ascii="Arial" w:hAnsi="Arial" w:cs="Arial"/>
          <w:sz w:val="20"/>
          <w:szCs w:val="20"/>
        </w:rPr>
        <w:t xml:space="preserve">os Limites de </w:t>
      </w:r>
      <w:r w:rsidR="00FF4313">
        <w:rPr>
          <w:rFonts w:ascii="Arial" w:hAnsi="Arial" w:cs="Arial"/>
          <w:sz w:val="20"/>
          <w:szCs w:val="20"/>
        </w:rPr>
        <w:t>seu</w:t>
      </w:r>
      <w:r>
        <w:rPr>
          <w:rFonts w:ascii="Arial" w:hAnsi="Arial" w:cs="Arial"/>
          <w:sz w:val="20"/>
          <w:szCs w:val="20"/>
        </w:rPr>
        <w:t xml:space="preserve"> Poder Regulamentar; 3</w:t>
      </w:r>
      <w:r w:rsidR="006070C8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E75DC6">
        <w:rPr>
          <w:rFonts w:ascii="Arial" w:hAnsi="Arial" w:cs="Arial"/>
          <w:sz w:val="20"/>
          <w:szCs w:val="20"/>
        </w:rPr>
        <w:t xml:space="preserve">Análise </w:t>
      </w:r>
      <w:r>
        <w:rPr>
          <w:rFonts w:ascii="Arial" w:hAnsi="Arial" w:cs="Arial"/>
          <w:sz w:val="20"/>
          <w:szCs w:val="20"/>
        </w:rPr>
        <w:t>da Resolução</w:t>
      </w:r>
      <w:r w:rsidRPr="00E75DC6">
        <w:rPr>
          <w:rFonts w:ascii="Arial" w:hAnsi="Arial" w:cs="Arial"/>
          <w:sz w:val="20"/>
          <w:szCs w:val="20"/>
        </w:rPr>
        <w:t xml:space="preserve"> nº </w:t>
      </w:r>
      <w:r>
        <w:rPr>
          <w:rFonts w:ascii="Arial" w:hAnsi="Arial" w:cs="Arial"/>
          <w:sz w:val="20"/>
          <w:szCs w:val="20"/>
        </w:rPr>
        <w:t xml:space="preserve">07/05; </w:t>
      </w:r>
      <w:r w:rsidRPr="004F64DB">
        <w:rPr>
          <w:rFonts w:ascii="Arial" w:hAnsi="Arial" w:cs="Arial"/>
          <w:sz w:val="20"/>
          <w:szCs w:val="20"/>
        </w:rPr>
        <w:t>Conclusão; Referências.</w:t>
      </w:r>
    </w:p>
    <w:p w:rsidR="00A31F52" w:rsidRDefault="00A31F52" w:rsidP="005C292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31F52" w:rsidRPr="00F340EC" w:rsidRDefault="00A31F52" w:rsidP="001755B3">
      <w:pPr>
        <w:spacing w:before="120" w:after="120" w:line="360" w:lineRule="auto"/>
        <w:jc w:val="center"/>
        <w:rPr>
          <w:rFonts w:ascii="Arial" w:hAnsi="Arial" w:cs="Arial"/>
          <w:sz w:val="24"/>
          <w:szCs w:val="24"/>
        </w:rPr>
      </w:pPr>
      <w:r w:rsidRPr="00F340EC">
        <w:rPr>
          <w:rFonts w:ascii="Arial" w:hAnsi="Arial" w:cs="Arial"/>
          <w:sz w:val="24"/>
          <w:szCs w:val="24"/>
        </w:rPr>
        <w:t>RESUMO</w:t>
      </w:r>
    </w:p>
    <w:p w:rsidR="00D109AC" w:rsidRDefault="00A31F52" w:rsidP="008D3854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Conselho Nacional de Justiça</w:t>
      </w:r>
      <w:r w:rsidR="00467AB7">
        <w:rPr>
          <w:rFonts w:ascii="Arial" w:hAnsi="Arial" w:cs="Arial"/>
          <w:sz w:val="24"/>
          <w:szCs w:val="24"/>
        </w:rPr>
        <w:t xml:space="preserve">, depois de muita discussão, foi criado através da Emenda Constitucional </w:t>
      </w:r>
      <w:r w:rsidR="001B77A4">
        <w:rPr>
          <w:rFonts w:ascii="Arial" w:hAnsi="Arial" w:cs="Arial"/>
          <w:sz w:val="24"/>
          <w:szCs w:val="24"/>
        </w:rPr>
        <w:t xml:space="preserve">nº 45, em 30 de dezembro de </w:t>
      </w:r>
      <w:r w:rsidR="002C6AD3">
        <w:rPr>
          <w:rFonts w:ascii="Arial" w:hAnsi="Arial" w:cs="Arial"/>
          <w:sz w:val="24"/>
          <w:szCs w:val="24"/>
        </w:rPr>
        <w:t>20</w:t>
      </w:r>
      <w:r w:rsidR="00467AB7">
        <w:rPr>
          <w:rFonts w:ascii="Arial" w:hAnsi="Arial" w:cs="Arial"/>
          <w:sz w:val="24"/>
          <w:szCs w:val="24"/>
        </w:rPr>
        <w:t>04</w:t>
      </w:r>
      <w:r w:rsidR="001B77A4">
        <w:rPr>
          <w:rFonts w:ascii="Arial" w:hAnsi="Arial" w:cs="Arial"/>
          <w:sz w:val="24"/>
          <w:szCs w:val="24"/>
        </w:rPr>
        <w:t>,</w:t>
      </w:r>
      <w:r w:rsidR="002C6AD3">
        <w:rPr>
          <w:rFonts w:ascii="Arial" w:hAnsi="Arial" w:cs="Arial"/>
          <w:sz w:val="24"/>
          <w:szCs w:val="24"/>
        </w:rPr>
        <w:t xml:space="preserve"> para ser o responsável pelo controle da atuação administrativa e financeira dos demais órgãos do Poder Judiciário. O presente trabalho visa demonstrar como se compõe e quais são as atribuições do recém-criado órgão de controle do Judiciário, atentando principalmente para o poder regulamentar conferido a ele. Será analisada especificamente a Resolução nº 07/2005 do CNJ, que proibiu a prática do nepotismo</w:t>
      </w:r>
      <w:r w:rsidR="00FE0094">
        <w:rPr>
          <w:rFonts w:ascii="Arial" w:hAnsi="Arial" w:cs="Arial"/>
          <w:sz w:val="24"/>
          <w:szCs w:val="24"/>
        </w:rPr>
        <w:t xml:space="preserve"> nas diversas áreas do Poder Judiciário, debatendo se o </w:t>
      </w:r>
      <w:r w:rsidR="001B77A4">
        <w:rPr>
          <w:rFonts w:ascii="Arial" w:hAnsi="Arial" w:cs="Arial"/>
          <w:sz w:val="24"/>
          <w:szCs w:val="24"/>
        </w:rPr>
        <w:t>órgão</w:t>
      </w:r>
      <w:r w:rsidR="00FE0094">
        <w:rPr>
          <w:rFonts w:ascii="Arial" w:hAnsi="Arial" w:cs="Arial"/>
          <w:sz w:val="24"/>
          <w:szCs w:val="24"/>
        </w:rPr>
        <w:t xml:space="preserve"> tem ou não esse poder </w:t>
      </w:r>
      <w:r w:rsidR="0094363F">
        <w:rPr>
          <w:rFonts w:ascii="Arial" w:hAnsi="Arial" w:cs="Arial"/>
          <w:sz w:val="24"/>
          <w:szCs w:val="24"/>
        </w:rPr>
        <w:t xml:space="preserve">de expedir atos </w:t>
      </w:r>
      <w:r w:rsidR="00FE0094">
        <w:rPr>
          <w:rFonts w:ascii="Arial" w:hAnsi="Arial" w:cs="Arial"/>
          <w:sz w:val="24"/>
          <w:szCs w:val="24"/>
        </w:rPr>
        <w:t>normativo</w:t>
      </w:r>
      <w:r w:rsidR="0094363F">
        <w:rPr>
          <w:rFonts w:ascii="Arial" w:hAnsi="Arial" w:cs="Arial"/>
          <w:sz w:val="24"/>
          <w:szCs w:val="24"/>
        </w:rPr>
        <w:t>s</w:t>
      </w:r>
      <w:r w:rsidR="00FE0094">
        <w:rPr>
          <w:rFonts w:ascii="Arial" w:hAnsi="Arial" w:cs="Arial"/>
          <w:sz w:val="24"/>
          <w:szCs w:val="24"/>
        </w:rPr>
        <w:t>.</w:t>
      </w:r>
    </w:p>
    <w:p w:rsidR="00A31F52" w:rsidRDefault="00A31F52" w:rsidP="008D3854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F340EC">
        <w:rPr>
          <w:rFonts w:ascii="Arial" w:hAnsi="Arial" w:cs="Arial"/>
          <w:sz w:val="24"/>
          <w:szCs w:val="24"/>
        </w:rPr>
        <w:t>Palavras-chave</w:t>
      </w:r>
      <w:r>
        <w:rPr>
          <w:rFonts w:ascii="Arial" w:hAnsi="Arial" w:cs="Arial"/>
          <w:sz w:val="24"/>
          <w:szCs w:val="24"/>
        </w:rPr>
        <w:t xml:space="preserve">: </w:t>
      </w:r>
      <w:r w:rsidR="00216D28">
        <w:rPr>
          <w:rFonts w:ascii="Arial" w:hAnsi="Arial" w:cs="Arial"/>
          <w:sz w:val="24"/>
          <w:szCs w:val="24"/>
        </w:rPr>
        <w:t xml:space="preserve">CNJ. </w:t>
      </w:r>
      <w:r w:rsidR="002C6AD3">
        <w:rPr>
          <w:rFonts w:ascii="Arial" w:hAnsi="Arial" w:cs="Arial"/>
          <w:sz w:val="24"/>
          <w:szCs w:val="24"/>
        </w:rPr>
        <w:t xml:space="preserve">Poder </w:t>
      </w:r>
      <w:r w:rsidR="00CB5726">
        <w:rPr>
          <w:rFonts w:ascii="Arial" w:hAnsi="Arial" w:cs="Arial"/>
          <w:sz w:val="24"/>
          <w:szCs w:val="24"/>
        </w:rPr>
        <w:t>Judiciário</w:t>
      </w:r>
      <w:r w:rsidR="00216D28">
        <w:rPr>
          <w:rFonts w:ascii="Arial" w:hAnsi="Arial" w:cs="Arial"/>
          <w:sz w:val="24"/>
          <w:szCs w:val="24"/>
        </w:rPr>
        <w:t xml:space="preserve">. </w:t>
      </w:r>
      <w:r w:rsidR="00122F43">
        <w:rPr>
          <w:rFonts w:ascii="Arial" w:hAnsi="Arial" w:cs="Arial"/>
          <w:sz w:val="24"/>
          <w:szCs w:val="24"/>
        </w:rPr>
        <w:t>Poder Regulamentar</w:t>
      </w:r>
      <w:r w:rsidR="002C6AD3">
        <w:rPr>
          <w:rFonts w:ascii="Arial" w:hAnsi="Arial" w:cs="Arial"/>
          <w:sz w:val="24"/>
          <w:szCs w:val="24"/>
        </w:rPr>
        <w:t>. Nepotismo.</w:t>
      </w:r>
    </w:p>
    <w:p w:rsidR="0053661B" w:rsidRDefault="0053661B" w:rsidP="005C292B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451441" w:rsidRDefault="00A31F52" w:rsidP="005C292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A31F52">
        <w:rPr>
          <w:rFonts w:ascii="Arial" w:hAnsi="Arial" w:cs="Arial"/>
          <w:b/>
          <w:sz w:val="24"/>
          <w:szCs w:val="24"/>
        </w:rPr>
        <w:t>INTRODUÇÃO</w:t>
      </w:r>
    </w:p>
    <w:p w:rsidR="00216D28" w:rsidRDefault="0094363F" w:rsidP="00172CD9">
      <w:pPr>
        <w:spacing w:before="120" w:after="12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Poder Judiciário sofre várias críticas devido </w:t>
      </w:r>
      <w:r w:rsidR="00397903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falta de transparência</w:t>
      </w:r>
      <w:r w:rsidR="00397903">
        <w:rPr>
          <w:rFonts w:ascii="Arial" w:hAnsi="Arial" w:cs="Arial"/>
          <w:sz w:val="24"/>
          <w:szCs w:val="24"/>
        </w:rPr>
        <w:t xml:space="preserve"> e </w:t>
      </w:r>
      <w:r w:rsidR="001B77A4">
        <w:rPr>
          <w:rFonts w:ascii="Arial" w:hAnsi="Arial" w:cs="Arial"/>
          <w:sz w:val="24"/>
          <w:szCs w:val="24"/>
        </w:rPr>
        <w:t xml:space="preserve">à </w:t>
      </w:r>
      <w:r w:rsidR="00397903">
        <w:rPr>
          <w:rFonts w:ascii="Arial" w:hAnsi="Arial" w:cs="Arial"/>
          <w:sz w:val="24"/>
          <w:szCs w:val="24"/>
        </w:rPr>
        <w:t>morosidade processual.</w:t>
      </w:r>
      <w:r>
        <w:rPr>
          <w:rFonts w:ascii="Arial" w:hAnsi="Arial" w:cs="Arial"/>
          <w:sz w:val="24"/>
          <w:szCs w:val="24"/>
        </w:rPr>
        <w:t xml:space="preserve"> </w:t>
      </w:r>
      <w:r w:rsidR="006B6468">
        <w:rPr>
          <w:rFonts w:ascii="Arial" w:hAnsi="Arial" w:cs="Arial"/>
          <w:sz w:val="24"/>
          <w:szCs w:val="24"/>
        </w:rPr>
        <w:t xml:space="preserve">Criado em 2004, </w:t>
      </w:r>
      <w:r w:rsidR="001523F3">
        <w:rPr>
          <w:rFonts w:ascii="Arial" w:hAnsi="Arial" w:cs="Arial"/>
          <w:sz w:val="24"/>
          <w:szCs w:val="24"/>
        </w:rPr>
        <w:t xml:space="preserve">na conhecida reforma do Judiciário, </w:t>
      </w:r>
      <w:r w:rsidR="006B6468">
        <w:rPr>
          <w:rFonts w:ascii="Arial" w:hAnsi="Arial" w:cs="Arial"/>
          <w:sz w:val="24"/>
          <w:szCs w:val="24"/>
        </w:rPr>
        <w:t>o Conselho Nacional de Justiça</w:t>
      </w:r>
      <w:r>
        <w:rPr>
          <w:rFonts w:ascii="Arial" w:hAnsi="Arial" w:cs="Arial"/>
          <w:sz w:val="24"/>
          <w:szCs w:val="24"/>
        </w:rPr>
        <w:t xml:space="preserve"> </w:t>
      </w:r>
      <w:r w:rsidR="001523F3">
        <w:rPr>
          <w:rFonts w:ascii="Arial" w:hAnsi="Arial" w:cs="Arial"/>
          <w:color w:val="000000"/>
          <w:sz w:val="24"/>
          <w:szCs w:val="24"/>
          <w:shd w:val="clear" w:color="auto" w:fill="FFFFFF"/>
        </w:rPr>
        <w:t>serviu de resposta para a população</w:t>
      </w:r>
      <w:r w:rsidR="001B77A4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1B77A4" w:rsidRPr="001B77A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1B77A4">
        <w:rPr>
          <w:rFonts w:ascii="Arial" w:hAnsi="Arial" w:cs="Arial"/>
          <w:color w:val="000000"/>
          <w:sz w:val="24"/>
          <w:szCs w:val="24"/>
          <w:shd w:val="clear" w:color="auto" w:fill="FFFFFF"/>
        </w:rPr>
        <w:t>que busca uma maior transparência e eficiência</w:t>
      </w:r>
      <w:r w:rsidR="001523F3">
        <w:rPr>
          <w:rFonts w:ascii="Arial" w:hAnsi="Arial" w:cs="Arial"/>
          <w:sz w:val="24"/>
          <w:szCs w:val="24"/>
        </w:rPr>
        <w:t xml:space="preserve"> </w:t>
      </w:r>
      <w:r w:rsidR="001B77A4">
        <w:rPr>
          <w:rFonts w:ascii="Arial" w:hAnsi="Arial" w:cs="Arial"/>
          <w:sz w:val="24"/>
          <w:szCs w:val="24"/>
        </w:rPr>
        <w:t xml:space="preserve">do poder julgador. Como </w:t>
      </w:r>
      <w:r>
        <w:rPr>
          <w:rFonts w:ascii="Arial" w:hAnsi="Arial" w:cs="Arial"/>
          <w:sz w:val="24"/>
          <w:szCs w:val="24"/>
        </w:rPr>
        <w:t>ainda é um órgão bastante recente no ordenamento jurídico brasileiro, sua criação e atribuições têm causado muitos debates no meio jurídico.</w:t>
      </w:r>
    </w:p>
    <w:p w:rsidR="001B77A4" w:rsidRDefault="0094363F" w:rsidP="00172CD9">
      <w:pPr>
        <w:spacing w:before="120" w:after="12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Alguns afirmam que a criação de tal órgão, composto por alguns membros que não fazem parte do judiciário, fere o princípio da separação de poderes.</w:t>
      </w:r>
      <w:r w:rsidR="001B77A4">
        <w:rPr>
          <w:rFonts w:ascii="Arial" w:hAnsi="Arial" w:cs="Arial"/>
          <w:sz w:val="24"/>
          <w:szCs w:val="24"/>
        </w:rPr>
        <w:t xml:space="preserve"> Desse modo, será analisada a</w:t>
      </w:r>
      <w:r w:rsidR="001523F3">
        <w:rPr>
          <w:rFonts w:ascii="Arial" w:hAnsi="Arial" w:cs="Arial"/>
          <w:sz w:val="24"/>
          <w:szCs w:val="24"/>
        </w:rPr>
        <w:t xml:space="preserve"> composição do Conselho</w:t>
      </w:r>
      <w:r w:rsidR="001B77A4">
        <w:rPr>
          <w:rFonts w:ascii="Arial" w:hAnsi="Arial" w:cs="Arial"/>
          <w:sz w:val="24"/>
          <w:szCs w:val="24"/>
        </w:rPr>
        <w:t>, avaliando se esse controle é ou não externo.</w:t>
      </w:r>
    </w:p>
    <w:p w:rsidR="001523F3" w:rsidRDefault="001B77A4" w:rsidP="00172CD9">
      <w:pPr>
        <w:spacing w:before="120" w:after="12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atribuições do CNJ também serão estudadas. </w:t>
      </w:r>
      <w:r w:rsidR="00585E5D">
        <w:rPr>
          <w:rFonts w:ascii="Arial" w:hAnsi="Arial" w:cs="Arial"/>
          <w:sz w:val="24"/>
          <w:szCs w:val="24"/>
        </w:rPr>
        <w:t>Será visto no parágrafo 4º do artigo 103-B da Constituição Federal que tais atribuições</w:t>
      </w:r>
      <w:r>
        <w:rPr>
          <w:rFonts w:ascii="Arial" w:hAnsi="Arial" w:cs="Arial"/>
          <w:sz w:val="24"/>
          <w:szCs w:val="24"/>
        </w:rPr>
        <w:t xml:space="preserve"> podem ter </w:t>
      </w:r>
      <w:r w:rsidR="00585E5D">
        <w:rPr>
          <w:rFonts w:ascii="Arial" w:hAnsi="Arial" w:cs="Arial"/>
          <w:sz w:val="24"/>
          <w:szCs w:val="24"/>
        </w:rPr>
        <w:t>caráter político, administrativo ou disciplinar</w:t>
      </w:r>
      <w:r>
        <w:rPr>
          <w:rFonts w:ascii="Arial" w:hAnsi="Arial" w:cs="Arial"/>
          <w:sz w:val="24"/>
          <w:szCs w:val="24"/>
        </w:rPr>
        <w:t xml:space="preserve">, por exemplo. No entanto, a principal </w:t>
      </w:r>
      <w:r w:rsidR="00585E5D">
        <w:rPr>
          <w:rFonts w:ascii="Arial" w:hAnsi="Arial" w:cs="Arial"/>
          <w:sz w:val="24"/>
          <w:szCs w:val="24"/>
        </w:rPr>
        <w:t xml:space="preserve">e também </w:t>
      </w:r>
      <w:r w:rsidR="00585E5D">
        <w:rPr>
          <w:rFonts w:ascii="Arial" w:hAnsi="Arial" w:cs="Arial"/>
          <w:sz w:val="24"/>
          <w:szCs w:val="24"/>
        </w:rPr>
        <w:lastRenderedPageBreak/>
        <w:t xml:space="preserve">mais polêmica </w:t>
      </w:r>
      <w:r>
        <w:rPr>
          <w:rFonts w:ascii="Arial" w:hAnsi="Arial" w:cs="Arial"/>
          <w:sz w:val="24"/>
          <w:szCs w:val="24"/>
        </w:rPr>
        <w:t>atribuição conferida ao órgão pela Constituição Federal é a possibilidade de expedir atos regulamentares.</w:t>
      </w:r>
    </w:p>
    <w:p w:rsidR="0053661B" w:rsidRDefault="0053661B" w:rsidP="00172CD9">
      <w:pPr>
        <w:spacing w:before="120" w:after="12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fim, será analisada a Resolução nº 07/2005, que proíbe a prática do nepotismo no Poder Judiciário, com a opinião de alguns autores e principalmente dos Ministros do Supremo Tribunal Federal, que julgaram através da Ação Declaratória de Constitucionalidade nº 12/DF se tal resolução merece </w:t>
      </w:r>
      <w:r w:rsidR="002D0FA2">
        <w:rPr>
          <w:rFonts w:ascii="Arial" w:hAnsi="Arial" w:cs="Arial"/>
          <w:sz w:val="24"/>
          <w:szCs w:val="24"/>
        </w:rPr>
        <w:t xml:space="preserve">ou não </w:t>
      </w:r>
      <w:r>
        <w:rPr>
          <w:rFonts w:ascii="Arial" w:hAnsi="Arial" w:cs="Arial"/>
          <w:sz w:val="24"/>
          <w:szCs w:val="24"/>
        </w:rPr>
        <w:t>ser considerada compatível com a Constituição Federal.</w:t>
      </w:r>
    </w:p>
    <w:p w:rsidR="008302B5" w:rsidRDefault="008302B5" w:rsidP="00172CD9">
      <w:pPr>
        <w:spacing w:before="120" w:after="120" w:line="360" w:lineRule="auto"/>
        <w:rPr>
          <w:rFonts w:ascii="Arial" w:hAnsi="Arial" w:cs="Arial"/>
          <w:b/>
          <w:caps/>
          <w:color w:val="000000"/>
          <w:sz w:val="24"/>
          <w:szCs w:val="24"/>
          <w:shd w:val="clear" w:color="auto" w:fill="FFFFFF"/>
        </w:rPr>
      </w:pPr>
    </w:p>
    <w:p w:rsidR="005C292B" w:rsidRDefault="005C292B" w:rsidP="00172CD9">
      <w:pPr>
        <w:spacing w:before="120" w:after="120" w:line="360" w:lineRule="auto"/>
        <w:rPr>
          <w:rFonts w:ascii="Arial" w:hAnsi="Arial" w:cs="Arial"/>
          <w:b/>
          <w:cap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aps/>
          <w:color w:val="000000"/>
          <w:sz w:val="24"/>
          <w:szCs w:val="24"/>
          <w:shd w:val="clear" w:color="auto" w:fill="FFFFFF"/>
        </w:rPr>
        <w:t xml:space="preserve">1. </w:t>
      </w:r>
      <w:r w:rsidRPr="00F222F9">
        <w:rPr>
          <w:rFonts w:ascii="Arial" w:hAnsi="Arial" w:cs="Arial"/>
          <w:b/>
          <w:caps/>
          <w:color w:val="000000"/>
          <w:sz w:val="24"/>
          <w:szCs w:val="24"/>
          <w:shd w:val="clear" w:color="auto" w:fill="FFFFFF"/>
        </w:rPr>
        <w:t>A Criação do Conselho Nacional de Justiça</w:t>
      </w:r>
      <w:r>
        <w:rPr>
          <w:rFonts w:ascii="Arial" w:hAnsi="Arial" w:cs="Arial"/>
          <w:b/>
          <w:caps/>
          <w:color w:val="000000"/>
          <w:sz w:val="24"/>
          <w:szCs w:val="24"/>
          <w:shd w:val="clear" w:color="auto" w:fill="FFFFFF"/>
        </w:rPr>
        <w:t xml:space="preserve"> PELA EC Nº 45/2004</w:t>
      </w:r>
    </w:p>
    <w:p w:rsidR="00562564" w:rsidRDefault="00562564" w:rsidP="00172CD9">
      <w:pPr>
        <w:spacing w:before="120" w:after="12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Conselho Nacional de Justiça foi introduzido no ordenamento jurídico brasileiro através da Emenda Constitucional nº 45, de 30 de dezembro de 2004, e desde então vem sendo responsável por fazer o controle </w:t>
      </w:r>
      <w:r w:rsidR="00BC00CB">
        <w:rPr>
          <w:rFonts w:ascii="Arial" w:hAnsi="Arial" w:cs="Arial"/>
          <w:sz w:val="24"/>
          <w:szCs w:val="24"/>
        </w:rPr>
        <w:t xml:space="preserve">da atuação </w:t>
      </w:r>
      <w:r>
        <w:rPr>
          <w:rFonts w:ascii="Arial" w:hAnsi="Arial" w:cs="Arial"/>
          <w:sz w:val="24"/>
          <w:szCs w:val="24"/>
        </w:rPr>
        <w:t>administr</w:t>
      </w:r>
      <w:r w:rsidR="00BC00CB">
        <w:rPr>
          <w:rFonts w:ascii="Arial" w:hAnsi="Arial" w:cs="Arial"/>
          <w:sz w:val="24"/>
          <w:szCs w:val="24"/>
        </w:rPr>
        <w:t>ativa</w:t>
      </w:r>
      <w:r>
        <w:rPr>
          <w:rFonts w:ascii="Arial" w:hAnsi="Arial" w:cs="Arial"/>
          <w:sz w:val="24"/>
          <w:szCs w:val="24"/>
        </w:rPr>
        <w:t xml:space="preserve"> </w:t>
      </w:r>
      <w:r w:rsidR="00BC00CB">
        <w:rPr>
          <w:rFonts w:ascii="Arial" w:hAnsi="Arial" w:cs="Arial"/>
          <w:sz w:val="24"/>
          <w:szCs w:val="24"/>
        </w:rPr>
        <w:t>e financeira</w:t>
      </w:r>
      <w:r>
        <w:rPr>
          <w:rFonts w:ascii="Arial" w:hAnsi="Arial" w:cs="Arial"/>
          <w:sz w:val="24"/>
          <w:szCs w:val="24"/>
        </w:rPr>
        <w:t xml:space="preserve"> dos demais </w:t>
      </w:r>
      <w:r w:rsidR="008302B5">
        <w:rPr>
          <w:rFonts w:ascii="Arial" w:hAnsi="Arial" w:cs="Arial"/>
          <w:sz w:val="24"/>
          <w:szCs w:val="24"/>
        </w:rPr>
        <w:t>órgãos do Poder Judiciário,</w:t>
      </w:r>
      <w:r>
        <w:rPr>
          <w:rFonts w:ascii="Arial" w:hAnsi="Arial" w:cs="Arial"/>
          <w:sz w:val="24"/>
          <w:szCs w:val="24"/>
        </w:rPr>
        <w:t xml:space="preserve"> </w:t>
      </w:r>
      <w:r w:rsidR="008302B5">
        <w:rPr>
          <w:rFonts w:ascii="Arial" w:hAnsi="Arial" w:cs="Arial"/>
          <w:sz w:val="24"/>
          <w:szCs w:val="24"/>
        </w:rPr>
        <w:t>buscando reafirmar os princípios do acesso à justiça, da celeridade processual, da proporcionalidade, entre outros.</w:t>
      </w:r>
    </w:p>
    <w:p w:rsidR="00506357" w:rsidRDefault="00506357" w:rsidP="00172CD9">
      <w:pPr>
        <w:spacing w:before="120" w:after="12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sua instituição prevista na Constituição Federal de 1988, mas implantado somente em 2005, o</w:t>
      </w:r>
      <w:r w:rsidRPr="001334F5">
        <w:rPr>
          <w:rFonts w:ascii="Arial" w:hAnsi="Arial" w:cs="Arial"/>
          <w:sz w:val="24"/>
          <w:szCs w:val="24"/>
        </w:rPr>
        <w:t xml:space="preserve"> Conselho </w:t>
      </w:r>
      <w:r>
        <w:rPr>
          <w:rFonts w:ascii="Arial" w:hAnsi="Arial" w:cs="Arial"/>
          <w:sz w:val="24"/>
          <w:szCs w:val="24"/>
        </w:rPr>
        <w:t>Nacional de Justiça é</w:t>
      </w:r>
      <w:r w:rsidR="00866507">
        <w:rPr>
          <w:rFonts w:ascii="Arial" w:hAnsi="Arial" w:cs="Arial"/>
          <w:sz w:val="24"/>
          <w:szCs w:val="24"/>
        </w:rPr>
        <w:t xml:space="preserve"> “órgão administrativo-constitucional do Poder Judiciário da República Federativa do Brasil com </w:t>
      </w:r>
      <w:r w:rsidR="00866507" w:rsidRPr="00866507">
        <w:rPr>
          <w:rFonts w:ascii="Arial" w:hAnsi="Arial" w:cs="Arial"/>
          <w:i/>
          <w:sz w:val="24"/>
          <w:szCs w:val="24"/>
        </w:rPr>
        <w:t>status</w:t>
      </w:r>
      <w:r w:rsidR="00866507">
        <w:rPr>
          <w:rFonts w:ascii="Arial" w:hAnsi="Arial" w:cs="Arial"/>
          <w:sz w:val="24"/>
          <w:szCs w:val="24"/>
        </w:rPr>
        <w:t xml:space="preserve"> semi-autônomo ou de autonomia relativa</w:t>
      </w:r>
      <w:r>
        <w:rPr>
          <w:rFonts w:ascii="Arial" w:hAnsi="Arial" w:cs="Arial"/>
          <w:sz w:val="24"/>
          <w:szCs w:val="24"/>
        </w:rPr>
        <w:t xml:space="preserve"> </w:t>
      </w:r>
      <w:r w:rsidR="00866507">
        <w:rPr>
          <w:rFonts w:ascii="Arial" w:hAnsi="Arial" w:cs="Arial"/>
          <w:sz w:val="24"/>
          <w:szCs w:val="24"/>
        </w:rPr>
        <w:t xml:space="preserve">(SAMPAIO, 2007, p. 263), </w:t>
      </w:r>
      <w:r w:rsidRPr="001334F5">
        <w:rPr>
          <w:rFonts w:ascii="Arial" w:hAnsi="Arial" w:cs="Arial"/>
          <w:sz w:val="24"/>
          <w:szCs w:val="24"/>
        </w:rPr>
        <w:t>comp</w:t>
      </w:r>
      <w:r>
        <w:rPr>
          <w:rFonts w:ascii="Arial" w:hAnsi="Arial" w:cs="Arial"/>
          <w:sz w:val="24"/>
          <w:szCs w:val="24"/>
        </w:rPr>
        <w:t>osto</w:t>
      </w:r>
      <w:r w:rsidRPr="001334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por</w:t>
      </w:r>
      <w:r w:rsidRPr="001334F5">
        <w:rPr>
          <w:rFonts w:ascii="Arial" w:hAnsi="Arial" w:cs="Arial"/>
          <w:sz w:val="24"/>
          <w:szCs w:val="24"/>
        </w:rPr>
        <w:t xml:space="preserve"> quinze membros</w:t>
      </w:r>
      <w:r>
        <w:rPr>
          <w:rFonts w:ascii="Arial" w:hAnsi="Arial" w:cs="Arial"/>
          <w:sz w:val="24"/>
          <w:szCs w:val="24"/>
        </w:rPr>
        <w:t>, com mandato de dois anos</w:t>
      </w:r>
      <w:r w:rsidRPr="001334F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sendo que cada membro deve ter </w:t>
      </w:r>
      <w:r w:rsidR="00384D5A">
        <w:rPr>
          <w:rFonts w:ascii="Arial" w:hAnsi="Arial" w:cs="Arial"/>
          <w:sz w:val="24"/>
          <w:szCs w:val="24"/>
        </w:rPr>
        <w:t xml:space="preserve">mais de </w:t>
      </w:r>
      <w:r>
        <w:rPr>
          <w:rFonts w:ascii="Arial" w:hAnsi="Arial" w:cs="Arial"/>
          <w:sz w:val="24"/>
          <w:szCs w:val="24"/>
        </w:rPr>
        <w:t xml:space="preserve">trinta e cinco e </w:t>
      </w:r>
      <w:r w:rsidR="00384D5A">
        <w:rPr>
          <w:rFonts w:ascii="Arial" w:hAnsi="Arial" w:cs="Arial"/>
          <w:sz w:val="24"/>
          <w:szCs w:val="24"/>
        </w:rPr>
        <w:t xml:space="preserve">menos de </w:t>
      </w:r>
      <w:r>
        <w:rPr>
          <w:rFonts w:ascii="Arial" w:hAnsi="Arial" w:cs="Arial"/>
          <w:sz w:val="24"/>
          <w:szCs w:val="24"/>
        </w:rPr>
        <w:t xml:space="preserve">sessenta e seis </w:t>
      </w:r>
      <w:r w:rsidRPr="001334F5">
        <w:rPr>
          <w:rFonts w:ascii="Arial" w:hAnsi="Arial" w:cs="Arial"/>
          <w:sz w:val="24"/>
          <w:szCs w:val="24"/>
        </w:rPr>
        <w:t>anos de idade</w:t>
      </w:r>
      <w:r>
        <w:rPr>
          <w:rFonts w:ascii="Arial" w:hAnsi="Arial" w:cs="Arial"/>
          <w:sz w:val="24"/>
          <w:szCs w:val="24"/>
        </w:rPr>
        <w:t xml:space="preserve">. </w:t>
      </w:r>
    </w:p>
    <w:p w:rsidR="00506357" w:rsidRDefault="00506357" w:rsidP="00172CD9">
      <w:pPr>
        <w:spacing w:before="120" w:after="12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incisos de I a XIII</w:t>
      </w:r>
      <w:r w:rsidR="00384D5A">
        <w:rPr>
          <w:rFonts w:ascii="Arial" w:hAnsi="Arial" w:cs="Arial"/>
          <w:sz w:val="24"/>
          <w:szCs w:val="24"/>
        </w:rPr>
        <w:t xml:space="preserve"> do artigo</w:t>
      </w:r>
      <w:r>
        <w:rPr>
          <w:rFonts w:ascii="Arial" w:hAnsi="Arial" w:cs="Arial"/>
          <w:sz w:val="24"/>
          <w:szCs w:val="24"/>
        </w:rPr>
        <w:t xml:space="preserve"> 103-B da Constituição Federal, estão elencados como membros do CNJ o Presidente do Supremo Tribunal Federal, um ministro do Superior Tribunal de Justiça,</w:t>
      </w:r>
      <w:r w:rsidR="002C654C">
        <w:rPr>
          <w:rFonts w:ascii="Arial" w:hAnsi="Arial" w:cs="Arial"/>
          <w:sz w:val="24"/>
          <w:szCs w:val="24"/>
        </w:rPr>
        <w:t xml:space="preserve"> um ministro do Tribunal Superior do Trabalho,</w:t>
      </w:r>
      <w:r>
        <w:rPr>
          <w:rFonts w:ascii="Arial" w:hAnsi="Arial" w:cs="Arial"/>
          <w:sz w:val="24"/>
          <w:szCs w:val="24"/>
        </w:rPr>
        <w:t xml:space="preserve"> um Desembargador do Tribunal de Justiça e um juiz estadual,</w:t>
      </w:r>
      <w:r w:rsidRPr="001334F5">
        <w:rPr>
          <w:rFonts w:ascii="Arial" w:hAnsi="Arial" w:cs="Arial"/>
          <w:sz w:val="24"/>
          <w:szCs w:val="24"/>
        </w:rPr>
        <w:t xml:space="preserve"> um juiz de Tribunal Reg</w:t>
      </w:r>
      <w:r>
        <w:rPr>
          <w:rFonts w:ascii="Arial" w:hAnsi="Arial" w:cs="Arial"/>
          <w:sz w:val="24"/>
          <w:szCs w:val="24"/>
        </w:rPr>
        <w:t>ional Federal e um juiz federal,</w:t>
      </w:r>
      <w:r w:rsidRPr="001334F5">
        <w:rPr>
          <w:rFonts w:ascii="Arial" w:hAnsi="Arial" w:cs="Arial"/>
          <w:sz w:val="24"/>
          <w:szCs w:val="24"/>
        </w:rPr>
        <w:t xml:space="preserve"> um juiz de Tribunal Regional do Trabalho e um juiz do trabal</w:t>
      </w:r>
      <w:r>
        <w:rPr>
          <w:rFonts w:ascii="Arial" w:hAnsi="Arial" w:cs="Arial"/>
          <w:sz w:val="24"/>
          <w:szCs w:val="24"/>
        </w:rPr>
        <w:t>ho,</w:t>
      </w:r>
      <w:r w:rsidRPr="001334F5">
        <w:rPr>
          <w:rFonts w:ascii="Arial" w:hAnsi="Arial" w:cs="Arial"/>
          <w:sz w:val="24"/>
          <w:szCs w:val="24"/>
        </w:rPr>
        <w:t xml:space="preserve"> um membro do Ministério Público da União, um membro do Ministério Público estadual, dois advogados, indicados pelo Conselho Federal da O</w:t>
      </w:r>
      <w:r>
        <w:rPr>
          <w:rFonts w:ascii="Arial" w:hAnsi="Arial" w:cs="Arial"/>
          <w:sz w:val="24"/>
          <w:szCs w:val="24"/>
        </w:rPr>
        <w:t>AB,</w:t>
      </w:r>
      <w:r w:rsidRPr="001334F5">
        <w:rPr>
          <w:rFonts w:ascii="Arial" w:hAnsi="Arial" w:cs="Arial"/>
          <w:sz w:val="24"/>
          <w:szCs w:val="24"/>
        </w:rPr>
        <w:t xml:space="preserve"> dois cidadãos de notável saber jurídico e reputação ilibada, indicados um pela Câmara dos Deputados e outro pelo Senado Federal.</w:t>
      </w:r>
      <w:r w:rsidR="00866507">
        <w:rPr>
          <w:rFonts w:ascii="Arial" w:hAnsi="Arial" w:cs="Arial"/>
          <w:sz w:val="24"/>
          <w:szCs w:val="24"/>
        </w:rPr>
        <w:t xml:space="preserve"> </w:t>
      </w:r>
    </w:p>
    <w:p w:rsidR="00AE1A11" w:rsidRDefault="00AE1A11" w:rsidP="00172CD9">
      <w:pPr>
        <w:spacing w:before="120" w:after="12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Todos esses membros, além dos advogados e cidadãos já citados, são indicados,</w:t>
      </w:r>
      <w:r w:rsidRPr="00AE1A11">
        <w:rPr>
          <w:rFonts w:ascii="Arial" w:hAnsi="Arial" w:cs="Arial"/>
          <w:sz w:val="24"/>
          <w:szCs w:val="24"/>
        </w:rPr>
        <w:t xml:space="preserve"> sendo que os ministros </w:t>
      </w:r>
      <w:r w:rsidR="00E61F9E">
        <w:rPr>
          <w:rFonts w:ascii="Arial" w:hAnsi="Arial" w:cs="Arial"/>
          <w:sz w:val="24"/>
          <w:szCs w:val="24"/>
        </w:rPr>
        <w:t xml:space="preserve">o são </w:t>
      </w:r>
      <w:r>
        <w:rPr>
          <w:rFonts w:ascii="Arial" w:hAnsi="Arial" w:cs="Arial"/>
          <w:sz w:val="24"/>
          <w:szCs w:val="24"/>
        </w:rPr>
        <w:t>pelos seus respectivos tri</w:t>
      </w:r>
      <w:r w:rsidRPr="00AE1A11">
        <w:rPr>
          <w:rFonts w:ascii="Arial" w:hAnsi="Arial" w:cs="Arial"/>
          <w:sz w:val="24"/>
          <w:szCs w:val="24"/>
        </w:rPr>
        <w:t xml:space="preserve">bunais, o </w:t>
      </w:r>
      <w:r w:rsidRPr="00AE1A11">
        <w:rPr>
          <w:rFonts w:ascii="Arial" w:hAnsi="Arial" w:cs="Arial"/>
          <w:sz w:val="24"/>
          <w:szCs w:val="24"/>
        </w:rPr>
        <w:lastRenderedPageBreak/>
        <w:t xml:space="preserve">desembargador e o juiz estadual são recomendados pelo Supremo Tribunal Federal; o juiz federal do Tribunal Regional Federal e o juiz federal são </w:t>
      </w:r>
      <w:r w:rsidR="00F51296">
        <w:rPr>
          <w:rFonts w:ascii="Arial" w:hAnsi="Arial" w:cs="Arial"/>
          <w:sz w:val="24"/>
          <w:szCs w:val="24"/>
        </w:rPr>
        <w:t>apontados</w:t>
      </w:r>
      <w:r w:rsidRPr="00AE1A11">
        <w:rPr>
          <w:rFonts w:ascii="Arial" w:hAnsi="Arial" w:cs="Arial"/>
          <w:sz w:val="24"/>
          <w:szCs w:val="24"/>
        </w:rPr>
        <w:t xml:space="preserve"> pelo Superior Tribu</w:t>
      </w:r>
      <w:r>
        <w:rPr>
          <w:rFonts w:ascii="Arial" w:hAnsi="Arial" w:cs="Arial"/>
          <w:sz w:val="24"/>
          <w:szCs w:val="24"/>
        </w:rPr>
        <w:t>nal de Justiça. O juiz do Tribu</w:t>
      </w:r>
      <w:r w:rsidRPr="00AE1A11">
        <w:rPr>
          <w:rFonts w:ascii="Arial" w:hAnsi="Arial" w:cs="Arial"/>
          <w:sz w:val="24"/>
          <w:szCs w:val="24"/>
        </w:rPr>
        <w:t xml:space="preserve">nal Regional do Trabalho e o juiz do Trabalho são </w:t>
      </w:r>
      <w:r w:rsidR="00F51296">
        <w:rPr>
          <w:rFonts w:ascii="Arial" w:hAnsi="Arial" w:cs="Arial"/>
          <w:sz w:val="24"/>
          <w:szCs w:val="24"/>
        </w:rPr>
        <w:t>indica</w:t>
      </w:r>
      <w:r w:rsidRPr="00AE1A11">
        <w:rPr>
          <w:rFonts w:ascii="Arial" w:hAnsi="Arial" w:cs="Arial"/>
          <w:sz w:val="24"/>
          <w:szCs w:val="24"/>
        </w:rPr>
        <w:t xml:space="preserve">dos pelo Tribunal Superior do Trabalho. Os membros do Ministério Público Federal e Estadual </w:t>
      </w:r>
      <w:r w:rsidR="00C83986">
        <w:rPr>
          <w:rFonts w:ascii="Arial" w:hAnsi="Arial" w:cs="Arial"/>
          <w:sz w:val="24"/>
          <w:szCs w:val="24"/>
        </w:rPr>
        <w:t xml:space="preserve">o são </w:t>
      </w:r>
      <w:r w:rsidRPr="00AE1A11">
        <w:rPr>
          <w:rFonts w:ascii="Arial" w:hAnsi="Arial" w:cs="Arial"/>
          <w:sz w:val="24"/>
          <w:szCs w:val="24"/>
        </w:rPr>
        <w:t xml:space="preserve">pelo Procurador-Geral da República. </w:t>
      </w:r>
    </w:p>
    <w:p w:rsidR="00A24834" w:rsidRDefault="00AE1A11" w:rsidP="00172CD9">
      <w:pPr>
        <w:spacing w:before="120" w:after="12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Seus membros serão nomeados pelo Presidente da República, depois de aprovada a escolha pela maioria absoluta do Senado Federal</w:t>
      </w:r>
      <w:r w:rsidRPr="00AE1A11">
        <w:t xml:space="preserve"> </w:t>
      </w:r>
      <w:r>
        <w:t>(</w:t>
      </w:r>
      <w:r>
        <w:rPr>
          <w:rFonts w:ascii="Arial" w:hAnsi="Arial" w:cs="Arial"/>
          <w:sz w:val="24"/>
          <w:szCs w:val="24"/>
        </w:rPr>
        <w:t xml:space="preserve">artigo 103-B, </w:t>
      </w:r>
      <w:r w:rsidR="00551E27" w:rsidRPr="00551E27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 2º da</w:t>
      </w:r>
      <w:r w:rsidRPr="00AE1A11">
        <w:rPr>
          <w:rFonts w:ascii="Arial" w:hAnsi="Arial" w:cs="Arial"/>
          <w:sz w:val="24"/>
          <w:szCs w:val="24"/>
        </w:rPr>
        <w:t xml:space="preserve"> CF</w:t>
      </w:r>
      <w:r>
        <w:rPr>
          <w:rFonts w:ascii="Arial" w:hAnsi="Arial" w:cs="Arial"/>
          <w:sz w:val="24"/>
          <w:szCs w:val="24"/>
        </w:rPr>
        <w:t>)</w:t>
      </w:r>
      <w:r w:rsidR="00153796">
        <w:rPr>
          <w:rFonts w:ascii="Arial" w:hAnsi="Arial" w:cs="Arial"/>
          <w:sz w:val="24"/>
          <w:szCs w:val="24"/>
        </w:rPr>
        <w:t xml:space="preserve">, lembrando que o órgão será presidido pelo presidente </w:t>
      </w:r>
      <w:r w:rsidR="00551E27">
        <w:rPr>
          <w:rFonts w:ascii="Arial" w:hAnsi="Arial" w:cs="Arial"/>
          <w:sz w:val="24"/>
          <w:szCs w:val="24"/>
        </w:rPr>
        <w:t xml:space="preserve">do </w:t>
      </w:r>
      <w:r w:rsidR="00153796">
        <w:rPr>
          <w:rFonts w:ascii="Arial" w:hAnsi="Arial" w:cs="Arial"/>
          <w:sz w:val="24"/>
          <w:szCs w:val="24"/>
        </w:rPr>
        <w:t xml:space="preserve">Supremo Tribunal Federal e </w:t>
      </w:r>
      <w:r w:rsidR="00551E27">
        <w:rPr>
          <w:rFonts w:ascii="Arial" w:hAnsi="Arial" w:cs="Arial"/>
          <w:sz w:val="24"/>
          <w:szCs w:val="24"/>
        </w:rPr>
        <w:t>o ministro corregedor será o ministro indicado pelo Superior Tribunal de Justiça</w:t>
      </w:r>
      <w:r w:rsidR="00551E27" w:rsidRPr="00551E27">
        <w:t xml:space="preserve"> </w:t>
      </w:r>
      <w:r w:rsidR="00551E27" w:rsidRPr="00551E27">
        <w:rPr>
          <w:rFonts w:ascii="Arial" w:hAnsi="Arial" w:cs="Arial"/>
          <w:sz w:val="24"/>
          <w:szCs w:val="24"/>
        </w:rPr>
        <w:t>(artigo 103-B, §§ 1º e 5º da CF)</w:t>
      </w:r>
      <w:r w:rsidR="00153796">
        <w:rPr>
          <w:rFonts w:ascii="Arial" w:hAnsi="Arial" w:cs="Arial"/>
          <w:sz w:val="24"/>
          <w:szCs w:val="24"/>
        </w:rPr>
        <w:t>.</w:t>
      </w:r>
    </w:p>
    <w:p w:rsidR="00934D0B" w:rsidRDefault="00934D0B" w:rsidP="00172CD9">
      <w:pPr>
        <w:spacing w:before="120" w:after="12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visão de José Adércio Leite Sampaio (2007, p. 265), há assim um “pluralismo de representações e indicações (...): nove magistrados, dois membros do </w:t>
      </w:r>
      <w:r w:rsidRPr="00866507">
        <w:rPr>
          <w:rFonts w:ascii="Arial" w:hAnsi="Arial" w:cs="Arial"/>
          <w:i/>
          <w:sz w:val="24"/>
          <w:szCs w:val="24"/>
        </w:rPr>
        <w:t>parquet</w:t>
      </w:r>
      <w:r>
        <w:rPr>
          <w:rFonts w:ascii="Arial" w:hAnsi="Arial" w:cs="Arial"/>
          <w:i/>
          <w:sz w:val="24"/>
          <w:szCs w:val="24"/>
        </w:rPr>
        <w:t xml:space="preserve">, </w:t>
      </w:r>
      <w:r w:rsidRPr="00866507">
        <w:rPr>
          <w:rFonts w:ascii="Arial" w:hAnsi="Arial" w:cs="Arial"/>
          <w:sz w:val="24"/>
          <w:szCs w:val="24"/>
        </w:rPr>
        <w:t xml:space="preserve">dois advogados e dois cidadãos, oficiando </w:t>
      </w:r>
      <w:r>
        <w:rPr>
          <w:rFonts w:ascii="Arial" w:hAnsi="Arial" w:cs="Arial"/>
          <w:sz w:val="24"/>
          <w:szCs w:val="24"/>
        </w:rPr>
        <w:t xml:space="preserve">ainda no conselho o procurador-geral da República e o presidente do Conselho Federal da OAB”. </w:t>
      </w:r>
    </w:p>
    <w:p w:rsidR="00C83986" w:rsidRPr="00580526" w:rsidRDefault="00C83986" w:rsidP="00172CD9">
      <w:pPr>
        <w:spacing w:before="120" w:after="120" w:line="360" w:lineRule="auto"/>
        <w:ind w:firstLine="85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5C292B" w:rsidRPr="00522562" w:rsidRDefault="006070C8" w:rsidP="00172CD9">
      <w:pPr>
        <w:spacing w:before="120" w:after="120" w:line="360" w:lineRule="auto"/>
        <w:rPr>
          <w:rFonts w:ascii="Arial" w:hAnsi="Arial" w:cs="Arial"/>
          <w:cap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aps/>
          <w:color w:val="000000"/>
          <w:sz w:val="24"/>
          <w:szCs w:val="24"/>
          <w:shd w:val="clear" w:color="auto" w:fill="FFFFFF"/>
        </w:rPr>
        <w:t xml:space="preserve">2. </w:t>
      </w:r>
      <w:r w:rsidR="005C292B" w:rsidRPr="006646D0">
        <w:rPr>
          <w:rFonts w:ascii="Arial" w:hAnsi="Arial" w:cs="Arial"/>
          <w:b/>
          <w:caps/>
          <w:color w:val="000000"/>
          <w:sz w:val="24"/>
          <w:szCs w:val="24"/>
          <w:shd w:val="clear" w:color="auto" w:fill="FFFFFF"/>
        </w:rPr>
        <w:t>AS atrib</w:t>
      </w:r>
      <w:r w:rsidR="005C292B" w:rsidRPr="00F222F9">
        <w:rPr>
          <w:rFonts w:ascii="Arial" w:hAnsi="Arial" w:cs="Arial"/>
          <w:b/>
          <w:caps/>
          <w:color w:val="000000"/>
          <w:sz w:val="24"/>
          <w:szCs w:val="24"/>
          <w:shd w:val="clear" w:color="auto" w:fill="FFFFFF"/>
        </w:rPr>
        <w:t xml:space="preserve">uições do </w:t>
      </w:r>
      <w:r w:rsidR="005C292B">
        <w:rPr>
          <w:rFonts w:ascii="Arial" w:hAnsi="Arial" w:cs="Arial"/>
          <w:b/>
          <w:caps/>
          <w:color w:val="000000"/>
          <w:sz w:val="24"/>
          <w:szCs w:val="24"/>
          <w:shd w:val="clear" w:color="auto" w:fill="FFFFFF"/>
        </w:rPr>
        <w:t>cnj e o</w:t>
      </w:r>
      <w:r w:rsidR="008C57ED">
        <w:rPr>
          <w:rFonts w:ascii="Arial" w:hAnsi="Arial" w:cs="Arial"/>
          <w:b/>
          <w:caps/>
          <w:color w:val="000000"/>
          <w:sz w:val="24"/>
          <w:szCs w:val="24"/>
          <w:shd w:val="clear" w:color="auto" w:fill="FFFFFF"/>
        </w:rPr>
        <w:t>s limites do seu</w:t>
      </w:r>
      <w:r w:rsidR="005C292B">
        <w:rPr>
          <w:rFonts w:ascii="Arial" w:hAnsi="Arial" w:cs="Arial"/>
          <w:b/>
          <w:caps/>
          <w:color w:val="000000"/>
          <w:sz w:val="24"/>
          <w:szCs w:val="24"/>
          <w:shd w:val="clear" w:color="auto" w:fill="FFFFFF"/>
        </w:rPr>
        <w:t xml:space="preserve"> poder regulamentar</w:t>
      </w:r>
    </w:p>
    <w:p w:rsidR="00580526" w:rsidRDefault="00BC00CB" w:rsidP="00172CD9">
      <w:pPr>
        <w:spacing w:before="120" w:after="12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</w:t>
      </w:r>
      <w:r w:rsidR="009E0F02">
        <w:rPr>
          <w:rFonts w:ascii="Arial" w:hAnsi="Arial" w:cs="Arial"/>
          <w:sz w:val="24"/>
          <w:szCs w:val="24"/>
        </w:rPr>
        <w:t>s sete incisos do</w:t>
      </w:r>
      <w:r>
        <w:rPr>
          <w:rFonts w:ascii="Arial" w:hAnsi="Arial" w:cs="Arial"/>
          <w:sz w:val="24"/>
          <w:szCs w:val="24"/>
        </w:rPr>
        <w:t xml:space="preserve"> </w:t>
      </w:r>
      <w:r w:rsidRPr="00BC00CB">
        <w:rPr>
          <w:rFonts w:ascii="Arial" w:hAnsi="Arial" w:cs="Arial"/>
          <w:sz w:val="24"/>
          <w:szCs w:val="24"/>
        </w:rPr>
        <w:t>parágrafo 4º</w:t>
      </w:r>
      <w:r w:rsidR="009E0F02">
        <w:rPr>
          <w:rFonts w:ascii="Arial" w:hAnsi="Arial" w:cs="Arial"/>
          <w:sz w:val="24"/>
          <w:szCs w:val="24"/>
        </w:rPr>
        <w:t xml:space="preserve"> estão elencadas as atribuições do Conselho Nacional de Justiça</w:t>
      </w:r>
      <w:r w:rsidR="003769AA">
        <w:rPr>
          <w:rFonts w:ascii="Arial" w:hAnsi="Arial" w:cs="Arial"/>
          <w:sz w:val="24"/>
          <w:szCs w:val="24"/>
        </w:rPr>
        <w:t xml:space="preserve">. </w:t>
      </w:r>
      <w:r w:rsidR="00EA5E91">
        <w:rPr>
          <w:rFonts w:ascii="Arial" w:hAnsi="Arial" w:cs="Arial"/>
          <w:sz w:val="24"/>
          <w:szCs w:val="24"/>
        </w:rPr>
        <w:t>Para S</w:t>
      </w:r>
      <w:r w:rsidR="00127367">
        <w:rPr>
          <w:rFonts w:ascii="Arial" w:hAnsi="Arial" w:cs="Arial"/>
          <w:sz w:val="24"/>
          <w:szCs w:val="24"/>
        </w:rPr>
        <w:t>ampaio</w:t>
      </w:r>
      <w:r w:rsidR="00EA5E91">
        <w:rPr>
          <w:rFonts w:ascii="Arial" w:hAnsi="Arial" w:cs="Arial"/>
          <w:sz w:val="24"/>
          <w:szCs w:val="24"/>
        </w:rPr>
        <w:t xml:space="preserve"> (2007, p. 274), “tais</w:t>
      </w:r>
      <w:r w:rsidR="003769AA">
        <w:rPr>
          <w:rFonts w:ascii="Arial" w:hAnsi="Arial" w:cs="Arial"/>
          <w:sz w:val="24"/>
          <w:szCs w:val="24"/>
        </w:rPr>
        <w:t xml:space="preserve"> atribuições classifica</w:t>
      </w:r>
      <w:r w:rsidR="00EA5E91">
        <w:rPr>
          <w:rFonts w:ascii="Arial" w:hAnsi="Arial" w:cs="Arial"/>
          <w:sz w:val="24"/>
          <w:szCs w:val="24"/>
        </w:rPr>
        <w:t>m-se</w:t>
      </w:r>
      <w:r w:rsidR="003769AA">
        <w:rPr>
          <w:rFonts w:ascii="Arial" w:hAnsi="Arial" w:cs="Arial"/>
          <w:sz w:val="24"/>
          <w:szCs w:val="24"/>
        </w:rPr>
        <w:t xml:space="preserve"> </w:t>
      </w:r>
      <w:r w:rsidR="00EA5E91">
        <w:rPr>
          <w:rFonts w:ascii="Arial" w:hAnsi="Arial" w:cs="Arial"/>
          <w:sz w:val="24"/>
          <w:szCs w:val="24"/>
        </w:rPr>
        <w:t>em</w:t>
      </w:r>
      <w:r w:rsidR="003769AA" w:rsidRPr="003769AA">
        <w:rPr>
          <w:rFonts w:ascii="Arial" w:hAnsi="Arial" w:cs="Arial"/>
          <w:sz w:val="24"/>
          <w:szCs w:val="24"/>
        </w:rPr>
        <w:t xml:space="preserve"> políticas, administrativas, corre</w:t>
      </w:r>
      <w:r w:rsidR="00EA5E91">
        <w:rPr>
          <w:rFonts w:ascii="Arial" w:hAnsi="Arial" w:cs="Arial"/>
          <w:sz w:val="24"/>
          <w:szCs w:val="24"/>
        </w:rPr>
        <w:t>icionais, disciplinares, informativas e propositiva ou opinativa”</w:t>
      </w:r>
      <w:r w:rsidR="00580526">
        <w:rPr>
          <w:rFonts w:ascii="Arial" w:hAnsi="Arial" w:cs="Arial"/>
          <w:sz w:val="24"/>
          <w:szCs w:val="24"/>
        </w:rPr>
        <w:t>.</w:t>
      </w:r>
    </w:p>
    <w:p w:rsidR="009E0F02" w:rsidRDefault="00580526" w:rsidP="00172CD9">
      <w:pPr>
        <w:spacing w:before="120" w:after="12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primeiro inciso trata das atribuições políticas do C</w:t>
      </w:r>
      <w:r w:rsidR="00581B6D">
        <w:rPr>
          <w:rFonts w:ascii="Arial" w:hAnsi="Arial" w:cs="Arial"/>
          <w:sz w:val="24"/>
          <w:szCs w:val="24"/>
        </w:rPr>
        <w:t xml:space="preserve">onselho </w:t>
      </w:r>
      <w:r>
        <w:rPr>
          <w:rFonts w:ascii="Arial" w:hAnsi="Arial" w:cs="Arial"/>
          <w:sz w:val="24"/>
          <w:szCs w:val="24"/>
        </w:rPr>
        <w:t>N</w:t>
      </w:r>
      <w:r w:rsidR="00581B6D">
        <w:rPr>
          <w:rFonts w:ascii="Arial" w:hAnsi="Arial" w:cs="Arial"/>
          <w:sz w:val="24"/>
          <w:szCs w:val="24"/>
        </w:rPr>
        <w:t xml:space="preserve">acional de </w:t>
      </w:r>
      <w:r>
        <w:rPr>
          <w:rFonts w:ascii="Arial" w:hAnsi="Arial" w:cs="Arial"/>
          <w:sz w:val="24"/>
          <w:szCs w:val="24"/>
        </w:rPr>
        <w:t>J</w:t>
      </w:r>
      <w:r w:rsidR="00581B6D">
        <w:rPr>
          <w:rFonts w:ascii="Arial" w:hAnsi="Arial" w:cs="Arial"/>
          <w:sz w:val="24"/>
          <w:szCs w:val="24"/>
        </w:rPr>
        <w:t>ustiça</w:t>
      </w:r>
      <w:r>
        <w:rPr>
          <w:rFonts w:ascii="Arial" w:hAnsi="Arial" w:cs="Arial"/>
          <w:sz w:val="24"/>
          <w:szCs w:val="24"/>
        </w:rPr>
        <w:t xml:space="preserve"> d</w:t>
      </w:r>
      <w:r w:rsidR="00445183">
        <w:rPr>
          <w:rFonts w:ascii="Arial" w:hAnsi="Arial" w:cs="Arial"/>
          <w:sz w:val="24"/>
          <w:szCs w:val="24"/>
        </w:rPr>
        <w:t>esignadas</w:t>
      </w:r>
      <w:r>
        <w:rPr>
          <w:rFonts w:ascii="Arial" w:hAnsi="Arial" w:cs="Arial"/>
          <w:sz w:val="24"/>
          <w:szCs w:val="24"/>
        </w:rPr>
        <w:t xml:space="preserve"> pela Constituição Federal</w:t>
      </w:r>
      <w:r>
        <w:rPr>
          <w:sz w:val="24"/>
          <w:szCs w:val="24"/>
        </w:rPr>
        <w:t xml:space="preserve">, </w:t>
      </w:r>
      <w:r w:rsidR="00A21F8F">
        <w:rPr>
          <w:rFonts w:ascii="Arial" w:hAnsi="Arial" w:cs="Arial"/>
          <w:sz w:val="24"/>
          <w:szCs w:val="24"/>
        </w:rPr>
        <w:t>afirmando no texto que cabe ao órgão</w:t>
      </w:r>
      <w:r w:rsidRPr="00580526">
        <w:rPr>
          <w:rFonts w:ascii="Arial" w:hAnsi="Arial" w:cs="Arial"/>
          <w:sz w:val="24"/>
          <w:szCs w:val="24"/>
        </w:rPr>
        <w:t xml:space="preserve"> “</w:t>
      </w:r>
      <w:r w:rsidR="009E0F02" w:rsidRPr="00580526">
        <w:rPr>
          <w:rFonts w:ascii="Arial" w:hAnsi="Arial" w:cs="Arial"/>
          <w:sz w:val="24"/>
          <w:szCs w:val="24"/>
        </w:rPr>
        <w:t>zelar</w:t>
      </w:r>
      <w:r w:rsidR="009E0F02" w:rsidRPr="009E0F02">
        <w:rPr>
          <w:rFonts w:ascii="Arial" w:hAnsi="Arial" w:cs="Arial"/>
          <w:sz w:val="24"/>
          <w:szCs w:val="24"/>
        </w:rPr>
        <w:t xml:space="preserve"> pela autonomia do Poder Judiciário e pelo cum</w:t>
      </w:r>
      <w:r w:rsidR="009E0F02">
        <w:rPr>
          <w:rFonts w:ascii="Arial" w:hAnsi="Arial" w:cs="Arial"/>
          <w:sz w:val="24"/>
          <w:szCs w:val="24"/>
        </w:rPr>
        <w:t>primento do Esta</w:t>
      </w:r>
      <w:r w:rsidR="009E0F02" w:rsidRPr="009E0F02">
        <w:rPr>
          <w:rFonts w:ascii="Arial" w:hAnsi="Arial" w:cs="Arial"/>
          <w:sz w:val="24"/>
          <w:szCs w:val="24"/>
        </w:rPr>
        <w:t>tuto da Magistratura, podendo expedir atos regulamentares, no âmbito de sua competência, ou recomendar providências</w:t>
      </w:r>
      <w:r>
        <w:rPr>
          <w:rFonts w:ascii="Arial" w:hAnsi="Arial" w:cs="Arial"/>
          <w:sz w:val="24"/>
          <w:szCs w:val="24"/>
        </w:rPr>
        <w:t>”. Essa defesa da autonomia do Judiciário</w:t>
      </w:r>
      <w:r w:rsidR="00EE323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que se encontra explícita no texto</w:t>
      </w:r>
      <w:r w:rsidR="00A21F8F">
        <w:rPr>
          <w:rFonts w:ascii="Arial" w:hAnsi="Arial" w:cs="Arial"/>
          <w:sz w:val="24"/>
          <w:szCs w:val="24"/>
        </w:rPr>
        <w:t xml:space="preserve"> constitucional</w:t>
      </w:r>
      <w:r w:rsidR="00EE323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A21F8F">
        <w:rPr>
          <w:rFonts w:ascii="Arial" w:hAnsi="Arial" w:cs="Arial"/>
          <w:sz w:val="24"/>
          <w:szCs w:val="24"/>
        </w:rPr>
        <w:t xml:space="preserve">busca impedir </w:t>
      </w:r>
      <w:r>
        <w:rPr>
          <w:rFonts w:ascii="Arial" w:hAnsi="Arial" w:cs="Arial"/>
          <w:sz w:val="24"/>
          <w:szCs w:val="24"/>
        </w:rPr>
        <w:t>que os poderes executivo e legislativo interfiram no âmbito do poder julgador, garantindo assim a independência do Judiciário.</w:t>
      </w:r>
    </w:p>
    <w:p w:rsidR="00EA5E91" w:rsidRPr="009E0F02" w:rsidRDefault="00EA5E91" w:rsidP="00172CD9">
      <w:pPr>
        <w:spacing w:before="120" w:after="12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inciso II, são estabelecidas as atribuições administrativas do órgão, que deve “zelar pela observância do art. 37 da Constituição” seguindo os princípios da legalidade, impessoalidade, moralidade, publicidade e eficiência.</w:t>
      </w:r>
      <w:r w:rsidR="007F021C">
        <w:rPr>
          <w:rFonts w:ascii="Arial" w:hAnsi="Arial" w:cs="Arial"/>
          <w:sz w:val="24"/>
          <w:szCs w:val="24"/>
        </w:rPr>
        <w:t xml:space="preserve"> Deve então </w:t>
      </w:r>
      <w:r w:rsidR="007F021C">
        <w:rPr>
          <w:rFonts w:ascii="Arial" w:hAnsi="Arial" w:cs="Arial"/>
          <w:sz w:val="24"/>
          <w:szCs w:val="24"/>
        </w:rPr>
        <w:lastRenderedPageBreak/>
        <w:t>apreciar a “legalidade dos atos administrativos praticados por membros ou órgãos do Poder Judiciário, podendo desconstituí-los, revê-los</w:t>
      </w:r>
      <w:r w:rsidR="007F021C" w:rsidRPr="007F021C">
        <w:rPr>
          <w:rFonts w:ascii="Arial" w:hAnsi="Arial" w:cs="Arial"/>
          <w:sz w:val="24"/>
          <w:szCs w:val="24"/>
        </w:rPr>
        <w:t xml:space="preserve"> </w:t>
      </w:r>
      <w:r w:rsidR="007F021C">
        <w:rPr>
          <w:rFonts w:ascii="Arial" w:hAnsi="Arial" w:cs="Arial"/>
          <w:sz w:val="24"/>
          <w:szCs w:val="24"/>
        </w:rPr>
        <w:t xml:space="preserve">ou </w:t>
      </w:r>
      <w:r w:rsidR="007F021C" w:rsidRPr="009E0F02">
        <w:rPr>
          <w:rFonts w:ascii="Arial" w:hAnsi="Arial" w:cs="Arial"/>
          <w:sz w:val="24"/>
          <w:szCs w:val="24"/>
        </w:rPr>
        <w:t>fixar prazo para que se adotem as providências ne</w:t>
      </w:r>
      <w:r w:rsidR="007F021C">
        <w:rPr>
          <w:rFonts w:ascii="Arial" w:hAnsi="Arial" w:cs="Arial"/>
          <w:sz w:val="24"/>
          <w:szCs w:val="24"/>
        </w:rPr>
        <w:t xml:space="preserve">cessárias ao exato cumprimento </w:t>
      </w:r>
      <w:r w:rsidR="007F021C" w:rsidRPr="009E0F02">
        <w:rPr>
          <w:rFonts w:ascii="Arial" w:hAnsi="Arial" w:cs="Arial"/>
          <w:sz w:val="24"/>
          <w:szCs w:val="24"/>
        </w:rPr>
        <w:t>da lei</w:t>
      </w:r>
      <w:r w:rsidR="007F021C">
        <w:rPr>
          <w:rFonts w:ascii="Arial" w:hAnsi="Arial" w:cs="Arial"/>
          <w:sz w:val="24"/>
          <w:szCs w:val="24"/>
        </w:rPr>
        <w:t>”</w:t>
      </w:r>
      <w:r w:rsidR="007F021C" w:rsidRPr="007F021C">
        <w:rPr>
          <w:rFonts w:ascii="Arial" w:hAnsi="Arial" w:cs="Arial"/>
          <w:sz w:val="24"/>
          <w:szCs w:val="24"/>
        </w:rPr>
        <w:t xml:space="preserve"> </w:t>
      </w:r>
      <w:r w:rsidR="007F021C">
        <w:rPr>
          <w:rFonts w:ascii="Arial" w:hAnsi="Arial" w:cs="Arial"/>
          <w:sz w:val="24"/>
          <w:szCs w:val="24"/>
        </w:rPr>
        <w:t>(</w:t>
      </w:r>
      <w:r w:rsidR="007F021C" w:rsidRPr="00551E27">
        <w:rPr>
          <w:rFonts w:ascii="Arial" w:hAnsi="Arial" w:cs="Arial"/>
          <w:sz w:val="24"/>
          <w:szCs w:val="24"/>
        </w:rPr>
        <w:t>artigo 103-B, §</w:t>
      </w:r>
      <w:r w:rsidR="007F021C">
        <w:rPr>
          <w:rFonts w:ascii="Arial" w:hAnsi="Arial" w:cs="Arial"/>
          <w:sz w:val="24"/>
          <w:szCs w:val="24"/>
        </w:rPr>
        <w:t xml:space="preserve">4º, II </w:t>
      </w:r>
      <w:r w:rsidR="007F021C" w:rsidRPr="00551E27">
        <w:rPr>
          <w:rFonts w:ascii="Arial" w:hAnsi="Arial" w:cs="Arial"/>
          <w:sz w:val="24"/>
          <w:szCs w:val="24"/>
        </w:rPr>
        <w:t>da CF)</w:t>
      </w:r>
      <w:r w:rsidR="00657482">
        <w:rPr>
          <w:rFonts w:ascii="Arial" w:hAnsi="Arial" w:cs="Arial"/>
          <w:sz w:val="24"/>
          <w:szCs w:val="24"/>
        </w:rPr>
        <w:t>.</w:t>
      </w:r>
    </w:p>
    <w:p w:rsidR="00657482" w:rsidRDefault="00876FB9" w:rsidP="00172CD9">
      <w:pPr>
        <w:spacing w:before="120" w:after="12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inciso seguinte</w:t>
      </w:r>
      <w:r w:rsidR="00657482">
        <w:rPr>
          <w:rFonts w:ascii="Arial" w:hAnsi="Arial" w:cs="Arial"/>
          <w:sz w:val="24"/>
          <w:szCs w:val="24"/>
        </w:rPr>
        <w:t>, em seu início, estão as atribuições de ouvidoria do CNJ,</w:t>
      </w:r>
      <w:r w:rsidR="006D4881">
        <w:rPr>
          <w:rFonts w:ascii="Arial" w:hAnsi="Arial" w:cs="Arial"/>
          <w:sz w:val="24"/>
          <w:szCs w:val="24"/>
        </w:rPr>
        <w:t xml:space="preserve"> a</w:t>
      </w:r>
      <w:r w:rsidR="00657482">
        <w:rPr>
          <w:rFonts w:ascii="Arial" w:hAnsi="Arial" w:cs="Arial"/>
          <w:sz w:val="24"/>
          <w:szCs w:val="24"/>
        </w:rPr>
        <w:t>firma</w:t>
      </w:r>
      <w:r w:rsidR="006D4881">
        <w:rPr>
          <w:rFonts w:ascii="Arial" w:hAnsi="Arial" w:cs="Arial"/>
          <w:sz w:val="24"/>
          <w:szCs w:val="24"/>
        </w:rPr>
        <w:t>ndo</w:t>
      </w:r>
      <w:r w:rsidR="00657482">
        <w:rPr>
          <w:rFonts w:ascii="Arial" w:hAnsi="Arial" w:cs="Arial"/>
          <w:sz w:val="24"/>
          <w:szCs w:val="24"/>
        </w:rPr>
        <w:t xml:space="preserve"> que cabe ao referido órgão</w:t>
      </w:r>
      <w:r w:rsidR="00657482" w:rsidRPr="009E0F02">
        <w:rPr>
          <w:rFonts w:ascii="Arial" w:hAnsi="Arial" w:cs="Arial"/>
          <w:sz w:val="24"/>
          <w:szCs w:val="24"/>
        </w:rPr>
        <w:t xml:space="preserve"> </w:t>
      </w:r>
      <w:r w:rsidR="00657482">
        <w:rPr>
          <w:rFonts w:ascii="Arial" w:hAnsi="Arial" w:cs="Arial"/>
          <w:sz w:val="24"/>
          <w:szCs w:val="24"/>
        </w:rPr>
        <w:t>“</w:t>
      </w:r>
      <w:r w:rsidR="00657482" w:rsidRPr="009E0F02">
        <w:rPr>
          <w:rFonts w:ascii="Arial" w:hAnsi="Arial" w:cs="Arial"/>
          <w:sz w:val="24"/>
          <w:szCs w:val="24"/>
        </w:rPr>
        <w:t>receber e conhecer das reclamações contra membros ou órgãos do Poder Judiciário</w:t>
      </w:r>
      <w:r w:rsidR="00657482">
        <w:rPr>
          <w:rFonts w:ascii="Arial" w:hAnsi="Arial" w:cs="Arial"/>
          <w:sz w:val="24"/>
          <w:szCs w:val="24"/>
        </w:rPr>
        <w:t>”</w:t>
      </w:r>
      <w:r w:rsidR="00657482" w:rsidRPr="00657482">
        <w:rPr>
          <w:rFonts w:ascii="Arial" w:hAnsi="Arial" w:cs="Arial"/>
          <w:sz w:val="24"/>
          <w:szCs w:val="24"/>
        </w:rPr>
        <w:t xml:space="preserve"> </w:t>
      </w:r>
      <w:r w:rsidR="00657482">
        <w:rPr>
          <w:rFonts w:ascii="Arial" w:hAnsi="Arial" w:cs="Arial"/>
          <w:sz w:val="24"/>
          <w:szCs w:val="24"/>
        </w:rPr>
        <w:t>(</w:t>
      </w:r>
      <w:r w:rsidR="00657482" w:rsidRPr="00551E27">
        <w:rPr>
          <w:rFonts w:ascii="Arial" w:hAnsi="Arial" w:cs="Arial"/>
          <w:sz w:val="24"/>
          <w:szCs w:val="24"/>
        </w:rPr>
        <w:t>artigo 103-B, §</w:t>
      </w:r>
      <w:r w:rsidR="00657482">
        <w:rPr>
          <w:rFonts w:ascii="Arial" w:hAnsi="Arial" w:cs="Arial"/>
          <w:sz w:val="24"/>
          <w:szCs w:val="24"/>
        </w:rPr>
        <w:t xml:space="preserve">4º, III </w:t>
      </w:r>
      <w:r w:rsidR="00657482" w:rsidRPr="00551E27">
        <w:rPr>
          <w:rFonts w:ascii="Arial" w:hAnsi="Arial" w:cs="Arial"/>
          <w:sz w:val="24"/>
          <w:szCs w:val="24"/>
        </w:rPr>
        <w:t>da CF)</w:t>
      </w:r>
      <w:r w:rsidR="0065748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0156BF" w:rsidRDefault="00657482" w:rsidP="00172CD9">
      <w:pPr>
        <w:spacing w:before="120" w:after="12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Neste mesmo inciso</w:t>
      </w:r>
      <w:r w:rsidR="009E0F02" w:rsidRPr="009E0F02">
        <w:rPr>
          <w:rFonts w:ascii="Arial" w:hAnsi="Arial" w:cs="Arial"/>
          <w:sz w:val="24"/>
          <w:szCs w:val="24"/>
        </w:rPr>
        <w:t xml:space="preserve"> </w:t>
      </w:r>
      <w:r w:rsidR="000156BF">
        <w:rPr>
          <w:rFonts w:ascii="Arial" w:hAnsi="Arial" w:cs="Arial"/>
          <w:sz w:val="24"/>
          <w:szCs w:val="24"/>
        </w:rPr>
        <w:t xml:space="preserve">e nos incisos IV e V </w:t>
      </w:r>
      <w:r>
        <w:rPr>
          <w:rFonts w:ascii="Arial" w:hAnsi="Arial" w:cs="Arial"/>
          <w:sz w:val="24"/>
          <w:szCs w:val="24"/>
        </w:rPr>
        <w:t xml:space="preserve">encontram-se as atribuições </w:t>
      </w:r>
      <w:r w:rsidR="00127367">
        <w:rPr>
          <w:rFonts w:ascii="Arial" w:hAnsi="Arial" w:cs="Arial"/>
          <w:sz w:val="24"/>
          <w:szCs w:val="24"/>
        </w:rPr>
        <w:t>correicionais</w:t>
      </w:r>
      <w:r>
        <w:rPr>
          <w:rFonts w:ascii="Arial" w:hAnsi="Arial" w:cs="Arial"/>
          <w:sz w:val="24"/>
          <w:szCs w:val="24"/>
        </w:rPr>
        <w:t>, também</w:t>
      </w:r>
      <w:r w:rsidRPr="00876FB9">
        <w:rPr>
          <w:rFonts w:ascii="Arial" w:hAnsi="Arial" w:cs="Arial"/>
          <w:sz w:val="24"/>
          <w:szCs w:val="24"/>
        </w:rPr>
        <w:t xml:space="preserve"> chamadas de disciplinares</w:t>
      </w:r>
      <w:r>
        <w:rPr>
          <w:rFonts w:ascii="Arial" w:hAnsi="Arial" w:cs="Arial"/>
          <w:sz w:val="24"/>
          <w:szCs w:val="24"/>
        </w:rPr>
        <w:t xml:space="preserve">, </w:t>
      </w:r>
      <w:r w:rsidR="000156BF">
        <w:rPr>
          <w:rFonts w:ascii="Arial" w:hAnsi="Arial" w:cs="Arial"/>
          <w:sz w:val="24"/>
          <w:szCs w:val="24"/>
        </w:rPr>
        <w:t>que designa ao órgão “</w:t>
      </w:r>
      <w:r w:rsidR="000156BF" w:rsidRPr="009E0F02">
        <w:rPr>
          <w:rFonts w:ascii="Arial" w:hAnsi="Arial" w:cs="Arial"/>
          <w:sz w:val="24"/>
          <w:szCs w:val="24"/>
        </w:rPr>
        <w:t>representar ao Ministério Público,</w:t>
      </w:r>
      <w:r w:rsidR="000156BF">
        <w:rPr>
          <w:rFonts w:ascii="Arial" w:hAnsi="Arial" w:cs="Arial"/>
          <w:sz w:val="24"/>
          <w:szCs w:val="24"/>
        </w:rPr>
        <w:t xml:space="preserve"> no caso de crime contra a Admin</w:t>
      </w:r>
      <w:r w:rsidR="000156BF" w:rsidRPr="009E0F02">
        <w:rPr>
          <w:rFonts w:ascii="Arial" w:hAnsi="Arial" w:cs="Arial"/>
          <w:sz w:val="24"/>
          <w:szCs w:val="24"/>
        </w:rPr>
        <w:t>istração Pública ou de abuso de autoridade</w:t>
      </w:r>
      <w:r w:rsidR="000156BF">
        <w:rPr>
          <w:rFonts w:ascii="Arial" w:hAnsi="Arial" w:cs="Arial"/>
          <w:sz w:val="24"/>
          <w:szCs w:val="24"/>
        </w:rPr>
        <w:t>”</w:t>
      </w:r>
      <w:r w:rsidR="000156BF" w:rsidRPr="000156BF">
        <w:rPr>
          <w:rFonts w:ascii="Arial" w:hAnsi="Arial" w:cs="Arial"/>
          <w:sz w:val="24"/>
          <w:szCs w:val="24"/>
        </w:rPr>
        <w:t xml:space="preserve"> </w:t>
      </w:r>
      <w:r w:rsidR="000156BF">
        <w:rPr>
          <w:rFonts w:ascii="Arial" w:hAnsi="Arial" w:cs="Arial"/>
          <w:sz w:val="24"/>
          <w:szCs w:val="24"/>
        </w:rPr>
        <w:t>(</w:t>
      </w:r>
      <w:r w:rsidR="000156BF" w:rsidRPr="00551E27">
        <w:rPr>
          <w:rFonts w:ascii="Arial" w:hAnsi="Arial" w:cs="Arial"/>
          <w:sz w:val="24"/>
          <w:szCs w:val="24"/>
        </w:rPr>
        <w:t>artigo 103-B, §</w:t>
      </w:r>
      <w:r w:rsidR="000156BF">
        <w:rPr>
          <w:rFonts w:ascii="Arial" w:hAnsi="Arial" w:cs="Arial"/>
          <w:sz w:val="24"/>
          <w:szCs w:val="24"/>
        </w:rPr>
        <w:t xml:space="preserve">4º, IV </w:t>
      </w:r>
      <w:r w:rsidR="000156BF" w:rsidRPr="00551E27">
        <w:rPr>
          <w:rFonts w:ascii="Arial" w:hAnsi="Arial" w:cs="Arial"/>
          <w:sz w:val="24"/>
          <w:szCs w:val="24"/>
        </w:rPr>
        <w:t>da CF)</w:t>
      </w:r>
      <w:r w:rsidR="000156BF">
        <w:rPr>
          <w:rFonts w:ascii="Arial" w:hAnsi="Arial" w:cs="Arial"/>
          <w:sz w:val="24"/>
          <w:szCs w:val="24"/>
        </w:rPr>
        <w:t xml:space="preserve"> e “</w:t>
      </w:r>
      <w:r w:rsidR="000156BF" w:rsidRPr="009E0F02">
        <w:rPr>
          <w:rFonts w:ascii="Arial" w:hAnsi="Arial" w:cs="Arial"/>
          <w:sz w:val="24"/>
          <w:szCs w:val="24"/>
        </w:rPr>
        <w:t>rever, de ofício ou mediante provocação,</w:t>
      </w:r>
      <w:r w:rsidR="000156BF">
        <w:rPr>
          <w:rFonts w:ascii="Arial" w:hAnsi="Arial" w:cs="Arial"/>
          <w:sz w:val="24"/>
          <w:szCs w:val="24"/>
        </w:rPr>
        <w:t xml:space="preserve"> os processos disciplinares de </w:t>
      </w:r>
      <w:r w:rsidR="000156BF" w:rsidRPr="009E0F02">
        <w:rPr>
          <w:rFonts w:ascii="Arial" w:hAnsi="Arial" w:cs="Arial"/>
          <w:sz w:val="24"/>
          <w:szCs w:val="24"/>
        </w:rPr>
        <w:t>juízes e membros de tribunais julgados há menos de um ano</w:t>
      </w:r>
      <w:r w:rsidR="000156BF">
        <w:rPr>
          <w:rFonts w:ascii="Arial" w:hAnsi="Arial" w:cs="Arial"/>
          <w:sz w:val="24"/>
          <w:szCs w:val="24"/>
        </w:rPr>
        <w:t>”</w:t>
      </w:r>
      <w:r w:rsidR="000156BF" w:rsidRPr="000156BF">
        <w:rPr>
          <w:rFonts w:ascii="Arial" w:hAnsi="Arial" w:cs="Arial"/>
          <w:sz w:val="24"/>
          <w:szCs w:val="24"/>
        </w:rPr>
        <w:t xml:space="preserve"> </w:t>
      </w:r>
      <w:r w:rsidR="000156BF">
        <w:rPr>
          <w:rFonts w:ascii="Arial" w:hAnsi="Arial" w:cs="Arial"/>
          <w:sz w:val="24"/>
          <w:szCs w:val="24"/>
        </w:rPr>
        <w:t>(</w:t>
      </w:r>
      <w:r w:rsidR="000156BF" w:rsidRPr="00551E27">
        <w:rPr>
          <w:rFonts w:ascii="Arial" w:hAnsi="Arial" w:cs="Arial"/>
          <w:sz w:val="24"/>
          <w:szCs w:val="24"/>
        </w:rPr>
        <w:t>artigo 103-B, §</w:t>
      </w:r>
      <w:r w:rsidR="000156BF">
        <w:rPr>
          <w:rFonts w:ascii="Arial" w:hAnsi="Arial" w:cs="Arial"/>
          <w:sz w:val="24"/>
          <w:szCs w:val="24"/>
        </w:rPr>
        <w:t xml:space="preserve">4º, V </w:t>
      </w:r>
      <w:r w:rsidR="000156BF" w:rsidRPr="00551E27">
        <w:rPr>
          <w:rFonts w:ascii="Arial" w:hAnsi="Arial" w:cs="Arial"/>
          <w:sz w:val="24"/>
          <w:szCs w:val="24"/>
        </w:rPr>
        <w:t>da CF</w:t>
      </w:r>
      <w:r w:rsidR="000156BF">
        <w:rPr>
          <w:rFonts w:ascii="Arial" w:hAnsi="Arial" w:cs="Arial"/>
          <w:sz w:val="24"/>
          <w:szCs w:val="24"/>
        </w:rPr>
        <w:t>).</w:t>
      </w:r>
      <w:r w:rsidR="006B199B" w:rsidRPr="006B199B">
        <w:rPr>
          <w:rFonts w:ascii="Arial" w:hAnsi="Arial" w:cs="Arial"/>
          <w:sz w:val="24"/>
          <w:szCs w:val="24"/>
        </w:rPr>
        <w:t xml:space="preserve"> </w:t>
      </w:r>
      <w:r w:rsidR="006B199B">
        <w:rPr>
          <w:rFonts w:ascii="Arial" w:hAnsi="Arial" w:cs="Arial"/>
          <w:sz w:val="24"/>
          <w:szCs w:val="24"/>
        </w:rPr>
        <w:t>Tem-se como exemplo da atribuição sancionatória, em que se atenta para o fato de o CNJ poder remover,</w:t>
      </w:r>
      <w:r w:rsidR="006B199B" w:rsidRPr="00657482">
        <w:rPr>
          <w:rFonts w:ascii="Arial" w:hAnsi="Arial" w:cs="Arial"/>
          <w:sz w:val="24"/>
          <w:szCs w:val="24"/>
        </w:rPr>
        <w:t xml:space="preserve"> coloc</w:t>
      </w:r>
      <w:r w:rsidR="006B199B">
        <w:rPr>
          <w:rFonts w:ascii="Arial" w:hAnsi="Arial" w:cs="Arial"/>
          <w:sz w:val="24"/>
          <w:szCs w:val="24"/>
        </w:rPr>
        <w:t xml:space="preserve">ar em disponibilidade </w:t>
      </w:r>
      <w:r w:rsidR="006B199B" w:rsidRPr="00657482">
        <w:rPr>
          <w:rFonts w:ascii="Arial" w:hAnsi="Arial" w:cs="Arial"/>
          <w:sz w:val="24"/>
          <w:szCs w:val="24"/>
        </w:rPr>
        <w:t>ou aposentar membros do poder Judiciário</w:t>
      </w:r>
      <w:r w:rsidR="006B199B">
        <w:rPr>
          <w:rFonts w:ascii="Arial" w:hAnsi="Arial" w:cs="Arial"/>
          <w:sz w:val="24"/>
          <w:szCs w:val="24"/>
        </w:rPr>
        <w:t xml:space="preserve"> (</w:t>
      </w:r>
      <w:r w:rsidR="006B199B" w:rsidRPr="00551E27">
        <w:rPr>
          <w:rFonts w:ascii="Arial" w:hAnsi="Arial" w:cs="Arial"/>
          <w:sz w:val="24"/>
          <w:szCs w:val="24"/>
        </w:rPr>
        <w:t>artigo 103-B, §</w:t>
      </w:r>
      <w:r w:rsidR="006B199B">
        <w:rPr>
          <w:rFonts w:ascii="Arial" w:hAnsi="Arial" w:cs="Arial"/>
          <w:sz w:val="24"/>
          <w:szCs w:val="24"/>
        </w:rPr>
        <w:t xml:space="preserve">4º, III </w:t>
      </w:r>
      <w:r w:rsidR="006B199B" w:rsidRPr="00551E27">
        <w:rPr>
          <w:rFonts w:ascii="Arial" w:hAnsi="Arial" w:cs="Arial"/>
          <w:sz w:val="24"/>
          <w:szCs w:val="24"/>
        </w:rPr>
        <w:t>da CF)</w:t>
      </w:r>
      <w:r w:rsidR="006B199B">
        <w:rPr>
          <w:rFonts w:ascii="Arial" w:hAnsi="Arial" w:cs="Arial"/>
          <w:sz w:val="24"/>
          <w:szCs w:val="24"/>
        </w:rPr>
        <w:t>, a resolução nº 07/2005</w:t>
      </w:r>
      <w:r w:rsidR="006B199B" w:rsidRPr="00876FB9">
        <w:rPr>
          <w:rFonts w:ascii="Arial" w:hAnsi="Arial" w:cs="Arial"/>
          <w:sz w:val="24"/>
          <w:szCs w:val="24"/>
        </w:rPr>
        <w:t xml:space="preserve"> </w:t>
      </w:r>
      <w:r w:rsidR="006B199B">
        <w:rPr>
          <w:rFonts w:ascii="Arial" w:hAnsi="Arial" w:cs="Arial"/>
          <w:sz w:val="24"/>
          <w:szCs w:val="24"/>
        </w:rPr>
        <w:t>do CNJ</w:t>
      </w:r>
      <w:r w:rsidR="006B199B" w:rsidRPr="00876FB9">
        <w:rPr>
          <w:rFonts w:ascii="Arial" w:hAnsi="Arial" w:cs="Arial"/>
          <w:sz w:val="24"/>
          <w:szCs w:val="24"/>
        </w:rPr>
        <w:t xml:space="preserve">, </w:t>
      </w:r>
      <w:r w:rsidR="006B199B">
        <w:rPr>
          <w:rFonts w:ascii="Arial" w:hAnsi="Arial" w:cs="Arial"/>
          <w:sz w:val="24"/>
          <w:szCs w:val="24"/>
        </w:rPr>
        <w:t>que</w:t>
      </w:r>
      <w:r w:rsidR="006B199B" w:rsidRPr="00876FB9">
        <w:rPr>
          <w:rFonts w:ascii="Arial" w:hAnsi="Arial" w:cs="Arial"/>
          <w:sz w:val="24"/>
          <w:szCs w:val="24"/>
        </w:rPr>
        <w:t xml:space="preserve"> veda a prática de n</w:t>
      </w:r>
      <w:r w:rsidR="006B199B">
        <w:rPr>
          <w:rFonts w:ascii="Arial" w:hAnsi="Arial" w:cs="Arial"/>
          <w:sz w:val="24"/>
          <w:szCs w:val="24"/>
        </w:rPr>
        <w:t>epotismo em todos os órgãos do P</w:t>
      </w:r>
      <w:r w:rsidR="006B199B" w:rsidRPr="00876FB9">
        <w:rPr>
          <w:rFonts w:ascii="Arial" w:hAnsi="Arial" w:cs="Arial"/>
          <w:sz w:val="24"/>
          <w:szCs w:val="24"/>
        </w:rPr>
        <w:t>oder Judiciário</w:t>
      </w:r>
      <w:r w:rsidR="006B199B">
        <w:rPr>
          <w:rFonts w:ascii="Arial" w:hAnsi="Arial" w:cs="Arial"/>
          <w:sz w:val="24"/>
          <w:szCs w:val="24"/>
        </w:rPr>
        <w:t>, resolução esta que será vista com mais aprofundamento no próximo tópico.</w:t>
      </w:r>
    </w:p>
    <w:p w:rsidR="006B199B" w:rsidRPr="006B199B" w:rsidRDefault="006B199B" w:rsidP="00172CD9">
      <w:pPr>
        <w:spacing w:before="120" w:after="12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último</w:t>
      </w:r>
      <w:r w:rsidRPr="006B199B">
        <w:rPr>
          <w:rFonts w:ascii="Arial" w:hAnsi="Arial" w:cs="Arial"/>
          <w:sz w:val="24"/>
          <w:szCs w:val="24"/>
        </w:rPr>
        <w:t>, há a</w:t>
      </w:r>
      <w:r w:rsidR="006449DB">
        <w:rPr>
          <w:rFonts w:ascii="Arial" w:hAnsi="Arial" w:cs="Arial"/>
          <w:sz w:val="24"/>
          <w:szCs w:val="24"/>
        </w:rPr>
        <w:t>s atribuições</w:t>
      </w:r>
      <w:r w:rsidRPr="006B199B">
        <w:rPr>
          <w:rFonts w:ascii="Arial" w:hAnsi="Arial" w:cs="Arial"/>
          <w:sz w:val="24"/>
          <w:szCs w:val="24"/>
        </w:rPr>
        <w:t xml:space="preserve"> informativa</w:t>
      </w:r>
      <w:r w:rsidR="006449DB">
        <w:rPr>
          <w:rFonts w:ascii="Arial" w:hAnsi="Arial" w:cs="Arial"/>
          <w:sz w:val="24"/>
          <w:szCs w:val="24"/>
        </w:rPr>
        <w:t xml:space="preserve"> e</w:t>
      </w:r>
      <w:r w:rsidRPr="006B199B">
        <w:rPr>
          <w:rFonts w:ascii="Arial" w:hAnsi="Arial" w:cs="Arial"/>
          <w:sz w:val="24"/>
          <w:szCs w:val="24"/>
        </w:rPr>
        <w:t xml:space="preserve"> propositiva, </w:t>
      </w:r>
      <w:r>
        <w:rPr>
          <w:rFonts w:ascii="Arial" w:hAnsi="Arial" w:cs="Arial"/>
          <w:sz w:val="24"/>
          <w:szCs w:val="24"/>
        </w:rPr>
        <w:t>que est</w:t>
      </w:r>
      <w:r w:rsidR="006449DB">
        <w:rPr>
          <w:rFonts w:ascii="Arial" w:hAnsi="Arial" w:cs="Arial"/>
          <w:sz w:val="24"/>
          <w:szCs w:val="24"/>
        </w:rPr>
        <w:t xml:space="preserve">ão </w:t>
      </w:r>
      <w:r w:rsidRPr="006B199B">
        <w:rPr>
          <w:rFonts w:ascii="Arial" w:hAnsi="Arial" w:cs="Arial"/>
          <w:sz w:val="24"/>
          <w:szCs w:val="24"/>
        </w:rPr>
        <w:t>disciplinada</w:t>
      </w:r>
      <w:r w:rsidR="006449DB">
        <w:rPr>
          <w:rFonts w:ascii="Arial" w:hAnsi="Arial" w:cs="Arial"/>
          <w:sz w:val="24"/>
          <w:szCs w:val="24"/>
        </w:rPr>
        <w:t>s</w:t>
      </w:r>
      <w:r w:rsidRPr="006B199B">
        <w:rPr>
          <w:rFonts w:ascii="Arial" w:hAnsi="Arial" w:cs="Arial"/>
          <w:sz w:val="24"/>
          <w:szCs w:val="24"/>
        </w:rPr>
        <w:t xml:space="preserve"> nos últimos </w:t>
      </w:r>
      <w:r w:rsidR="00162171">
        <w:rPr>
          <w:rFonts w:ascii="Arial" w:hAnsi="Arial" w:cs="Arial"/>
          <w:sz w:val="24"/>
          <w:szCs w:val="24"/>
        </w:rPr>
        <w:t>dois incisos do artigo 103-B,</w:t>
      </w:r>
      <w:r w:rsidRPr="006B199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§ 4º. Dois tipos </w:t>
      </w:r>
      <w:r w:rsidR="00162171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relatórios são elaborados pelo Conselho Nacional de Justiça</w:t>
      </w:r>
      <w:r w:rsidR="0016217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“Um, semestralmente, colige dados estatísticos sobre processos e sentenças prolatadas, por unidade da federação, nos diferentes órgãos do Poder Judiciário.” (SAMPAIO, 2007, p. 303). Outro, anualmente, “propondo as providências que julgar necessárias, sobre a situação do poder Judiciário no País e as atividades do Conselho</w:t>
      </w:r>
      <w:r w:rsidR="00162171">
        <w:rPr>
          <w:rFonts w:ascii="Arial" w:hAnsi="Arial" w:cs="Arial"/>
          <w:sz w:val="24"/>
          <w:szCs w:val="24"/>
        </w:rPr>
        <w:t>”</w:t>
      </w:r>
      <w:r w:rsidR="00162171" w:rsidRPr="00162171">
        <w:rPr>
          <w:rFonts w:ascii="Arial" w:hAnsi="Arial" w:cs="Arial"/>
          <w:sz w:val="24"/>
          <w:szCs w:val="24"/>
        </w:rPr>
        <w:t xml:space="preserve"> </w:t>
      </w:r>
      <w:r w:rsidR="00162171">
        <w:rPr>
          <w:rFonts w:ascii="Arial" w:hAnsi="Arial" w:cs="Arial"/>
          <w:sz w:val="24"/>
          <w:szCs w:val="24"/>
        </w:rPr>
        <w:t>(</w:t>
      </w:r>
      <w:r w:rsidR="00162171" w:rsidRPr="00551E27">
        <w:rPr>
          <w:rFonts w:ascii="Arial" w:hAnsi="Arial" w:cs="Arial"/>
          <w:sz w:val="24"/>
          <w:szCs w:val="24"/>
        </w:rPr>
        <w:t>artigo 103-B, §</w:t>
      </w:r>
      <w:r w:rsidR="00162171">
        <w:rPr>
          <w:rFonts w:ascii="Arial" w:hAnsi="Arial" w:cs="Arial"/>
          <w:sz w:val="24"/>
          <w:szCs w:val="24"/>
        </w:rPr>
        <w:t xml:space="preserve">4º, VII </w:t>
      </w:r>
      <w:r w:rsidR="00162171" w:rsidRPr="00551E27">
        <w:rPr>
          <w:rFonts w:ascii="Arial" w:hAnsi="Arial" w:cs="Arial"/>
          <w:sz w:val="24"/>
          <w:szCs w:val="24"/>
        </w:rPr>
        <w:t>da CF)</w:t>
      </w:r>
      <w:r w:rsidR="00162171">
        <w:rPr>
          <w:rFonts w:ascii="Arial" w:hAnsi="Arial" w:cs="Arial"/>
          <w:sz w:val="24"/>
          <w:szCs w:val="24"/>
        </w:rPr>
        <w:t xml:space="preserve">, </w:t>
      </w:r>
      <w:r w:rsidR="000C1D72">
        <w:rPr>
          <w:rFonts w:ascii="Arial" w:hAnsi="Arial" w:cs="Arial"/>
          <w:sz w:val="24"/>
          <w:szCs w:val="24"/>
        </w:rPr>
        <w:t xml:space="preserve">o que torna tais atribuições </w:t>
      </w:r>
      <w:r w:rsidR="00212EA4">
        <w:rPr>
          <w:rFonts w:ascii="Arial" w:hAnsi="Arial" w:cs="Arial"/>
          <w:sz w:val="24"/>
          <w:szCs w:val="24"/>
        </w:rPr>
        <w:t xml:space="preserve">resultado da </w:t>
      </w:r>
      <w:r w:rsidR="00162171">
        <w:rPr>
          <w:rFonts w:ascii="Arial" w:hAnsi="Arial" w:cs="Arial"/>
          <w:sz w:val="24"/>
          <w:szCs w:val="24"/>
        </w:rPr>
        <w:t>busca</w:t>
      </w:r>
      <w:r w:rsidR="00212EA4">
        <w:rPr>
          <w:rFonts w:ascii="Arial" w:hAnsi="Arial" w:cs="Arial"/>
          <w:sz w:val="24"/>
          <w:szCs w:val="24"/>
        </w:rPr>
        <w:t xml:space="preserve"> pela</w:t>
      </w:r>
      <w:r w:rsidR="00162171">
        <w:rPr>
          <w:rFonts w:ascii="Arial" w:hAnsi="Arial" w:cs="Arial"/>
          <w:sz w:val="24"/>
          <w:szCs w:val="24"/>
        </w:rPr>
        <w:t xml:space="preserve"> publicidade e </w:t>
      </w:r>
      <w:r w:rsidR="00212EA4">
        <w:rPr>
          <w:rFonts w:ascii="Arial" w:hAnsi="Arial" w:cs="Arial"/>
          <w:sz w:val="24"/>
          <w:szCs w:val="24"/>
        </w:rPr>
        <w:t>pel</w:t>
      </w:r>
      <w:r w:rsidR="00162171">
        <w:rPr>
          <w:rFonts w:ascii="Arial" w:hAnsi="Arial" w:cs="Arial"/>
          <w:sz w:val="24"/>
          <w:szCs w:val="24"/>
        </w:rPr>
        <w:t>o direito à informação.</w:t>
      </w:r>
    </w:p>
    <w:p w:rsidR="00576879" w:rsidRPr="00162171" w:rsidRDefault="0088777A" w:rsidP="00172CD9">
      <w:pPr>
        <w:spacing w:before="120" w:after="12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Depois de analisadas</w:t>
      </w:r>
      <w:r w:rsidR="00845DC1">
        <w:rPr>
          <w:rFonts w:ascii="Arial" w:hAnsi="Arial" w:cs="Arial"/>
          <w:sz w:val="24"/>
          <w:szCs w:val="24"/>
        </w:rPr>
        <w:t xml:space="preserve"> </w:t>
      </w:r>
      <w:r w:rsidR="00576879">
        <w:rPr>
          <w:rFonts w:ascii="Arial" w:hAnsi="Arial" w:cs="Arial"/>
          <w:sz w:val="24"/>
          <w:szCs w:val="24"/>
        </w:rPr>
        <w:t>est</w:t>
      </w:r>
      <w:r w:rsidR="00845DC1">
        <w:rPr>
          <w:rFonts w:ascii="Arial" w:hAnsi="Arial" w:cs="Arial"/>
          <w:sz w:val="24"/>
          <w:szCs w:val="24"/>
        </w:rPr>
        <w:t>as atribuições do Conselho, cabe retornar ao primeiro inciso do parágrafo 4º e atentar para uma d</w:t>
      </w:r>
      <w:r>
        <w:rPr>
          <w:rFonts w:ascii="Arial" w:hAnsi="Arial" w:cs="Arial"/>
          <w:sz w:val="24"/>
          <w:szCs w:val="24"/>
        </w:rPr>
        <w:t>elas</w:t>
      </w:r>
      <w:r w:rsidR="00845DC1">
        <w:rPr>
          <w:rFonts w:ascii="Arial" w:hAnsi="Arial" w:cs="Arial"/>
          <w:sz w:val="24"/>
          <w:szCs w:val="24"/>
        </w:rPr>
        <w:t xml:space="preserve"> que tem causado maior polêmica</w:t>
      </w:r>
      <w:r w:rsidR="00576879">
        <w:rPr>
          <w:rFonts w:ascii="Arial" w:hAnsi="Arial" w:cs="Arial"/>
          <w:sz w:val="24"/>
          <w:szCs w:val="24"/>
        </w:rPr>
        <w:t xml:space="preserve">. </w:t>
      </w:r>
      <w:r w:rsidR="003A6B49">
        <w:rPr>
          <w:rFonts w:ascii="Arial" w:hAnsi="Arial" w:cs="Arial"/>
          <w:sz w:val="24"/>
          <w:szCs w:val="24"/>
        </w:rPr>
        <w:t>Na segunda parte do inciso I</w:t>
      </w:r>
      <w:r>
        <w:rPr>
          <w:rFonts w:ascii="Arial" w:hAnsi="Arial" w:cs="Arial"/>
          <w:sz w:val="24"/>
          <w:szCs w:val="24"/>
        </w:rPr>
        <w:t>,</w:t>
      </w:r>
      <w:r w:rsidR="003A6B49">
        <w:rPr>
          <w:rFonts w:ascii="Arial" w:hAnsi="Arial" w:cs="Arial"/>
          <w:sz w:val="24"/>
          <w:szCs w:val="24"/>
        </w:rPr>
        <w:t xml:space="preserve"> está disposto que o CNJ pode “expedir atos regulamentares, no âmbito de sua competência, ou recomendar providências”</w:t>
      </w:r>
      <w:r w:rsidR="003A6B49" w:rsidRPr="003A6B49">
        <w:rPr>
          <w:rFonts w:ascii="Arial" w:hAnsi="Arial" w:cs="Arial"/>
          <w:sz w:val="24"/>
          <w:szCs w:val="24"/>
        </w:rPr>
        <w:t xml:space="preserve"> </w:t>
      </w:r>
      <w:r w:rsidR="003A6B49">
        <w:rPr>
          <w:rFonts w:ascii="Arial" w:hAnsi="Arial" w:cs="Arial"/>
          <w:sz w:val="24"/>
          <w:szCs w:val="24"/>
        </w:rPr>
        <w:t>(</w:t>
      </w:r>
      <w:r w:rsidR="003A6B49" w:rsidRPr="00551E27">
        <w:rPr>
          <w:rFonts w:ascii="Arial" w:hAnsi="Arial" w:cs="Arial"/>
          <w:sz w:val="24"/>
          <w:szCs w:val="24"/>
        </w:rPr>
        <w:t>artigo 103-B, §</w:t>
      </w:r>
      <w:r w:rsidR="003A6B49">
        <w:rPr>
          <w:rFonts w:ascii="Arial" w:hAnsi="Arial" w:cs="Arial"/>
          <w:sz w:val="24"/>
          <w:szCs w:val="24"/>
        </w:rPr>
        <w:t xml:space="preserve">4º, I </w:t>
      </w:r>
      <w:r w:rsidR="003A6B49" w:rsidRPr="00551E27">
        <w:rPr>
          <w:rFonts w:ascii="Arial" w:hAnsi="Arial" w:cs="Arial"/>
          <w:sz w:val="24"/>
          <w:szCs w:val="24"/>
        </w:rPr>
        <w:t>da CF)</w:t>
      </w:r>
      <w:r w:rsidR="00845DC1">
        <w:rPr>
          <w:rFonts w:ascii="Arial" w:hAnsi="Arial" w:cs="Arial"/>
          <w:sz w:val="24"/>
          <w:szCs w:val="24"/>
        </w:rPr>
        <w:t>.</w:t>
      </w:r>
      <w:r w:rsidR="003A6B49">
        <w:rPr>
          <w:rFonts w:ascii="Arial" w:hAnsi="Arial" w:cs="Arial"/>
          <w:sz w:val="24"/>
          <w:szCs w:val="24"/>
        </w:rPr>
        <w:t xml:space="preserve">  </w:t>
      </w:r>
    </w:p>
    <w:p w:rsidR="00162171" w:rsidRDefault="00621E13" w:rsidP="00172CD9">
      <w:pPr>
        <w:spacing w:before="120" w:after="12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Gilmar Mendes consider</w:t>
      </w:r>
      <w:r w:rsidR="00407244">
        <w:rPr>
          <w:rFonts w:ascii="Arial" w:hAnsi="Arial" w:cs="Arial"/>
          <w:color w:val="000000"/>
          <w:sz w:val="24"/>
          <w:szCs w:val="24"/>
          <w:shd w:val="clear" w:color="auto" w:fill="FFFFFF"/>
        </w:rPr>
        <w:t>a que tal competência de expedir atos regulamentares “é uma das atribuições que, cer</w:t>
      </w:r>
      <w:r w:rsidR="00407244" w:rsidRPr="0052526A">
        <w:rPr>
          <w:rFonts w:ascii="Arial" w:hAnsi="Arial" w:cs="Arial"/>
          <w:color w:val="000000"/>
          <w:sz w:val="24"/>
          <w:szCs w:val="24"/>
          <w:shd w:val="clear" w:color="auto" w:fill="FFFFFF"/>
        </w:rPr>
        <w:t>tamente, tem ensejado maiores contestações e polêmicas</w:t>
      </w:r>
      <w:r w:rsidR="00407244">
        <w:rPr>
          <w:rFonts w:ascii="Arial" w:hAnsi="Arial" w:cs="Arial"/>
          <w:color w:val="000000"/>
          <w:sz w:val="24"/>
          <w:szCs w:val="24"/>
          <w:shd w:val="clear" w:color="auto" w:fill="FFFFFF"/>
        </w:rPr>
        <w:t>”</w:t>
      </w:r>
      <w:r w:rsidR="00407244">
        <w:rPr>
          <w:rFonts w:ascii="Arial" w:hAnsi="Arial" w:cs="Arial"/>
          <w:sz w:val="24"/>
          <w:szCs w:val="24"/>
        </w:rPr>
        <w:t xml:space="preserve"> (</w:t>
      </w:r>
      <w:r w:rsidR="001204B2">
        <w:rPr>
          <w:rFonts w:ascii="Arial" w:hAnsi="Arial" w:cs="Arial"/>
          <w:color w:val="000000"/>
          <w:sz w:val="24"/>
          <w:szCs w:val="24"/>
          <w:shd w:val="clear" w:color="auto" w:fill="FFFFFF"/>
        </w:rPr>
        <w:t>MENDES, 2009</w:t>
      </w:r>
      <w:r w:rsidR="0040724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p. 1034). </w:t>
      </w:r>
      <w:r w:rsidR="002D01CA">
        <w:rPr>
          <w:rFonts w:ascii="Arial" w:hAnsi="Arial" w:cs="Arial"/>
          <w:sz w:val="24"/>
          <w:szCs w:val="24"/>
        </w:rPr>
        <w:t xml:space="preserve">Ao </w:t>
      </w:r>
      <w:r w:rsidR="002E7EB8">
        <w:rPr>
          <w:rFonts w:ascii="Arial" w:hAnsi="Arial" w:cs="Arial"/>
          <w:sz w:val="24"/>
          <w:szCs w:val="24"/>
        </w:rPr>
        <w:t>debater</w:t>
      </w:r>
      <w:r w:rsidR="002D01CA">
        <w:rPr>
          <w:rFonts w:ascii="Arial" w:hAnsi="Arial" w:cs="Arial"/>
          <w:sz w:val="24"/>
          <w:szCs w:val="24"/>
        </w:rPr>
        <w:t xml:space="preserve"> sobre o poder de expedir atos regulamentares </w:t>
      </w:r>
      <w:r w:rsidR="006469A5">
        <w:rPr>
          <w:rFonts w:ascii="Arial" w:hAnsi="Arial" w:cs="Arial"/>
          <w:sz w:val="24"/>
          <w:szCs w:val="24"/>
        </w:rPr>
        <w:t>d</w:t>
      </w:r>
      <w:r w:rsidR="002D01CA">
        <w:rPr>
          <w:rFonts w:ascii="Arial" w:hAnsi="Arial" w:cs="Arial"/>
          <w:sz w:val="24"/>
          <w:szCs w:val="24"/>
        </w:rPr>
        <w:t xml:space="preserve">o Conselho Nacional de Justiça e </w:t>
      </w:r>
      <w:r w:rsidR="006469A5">
        <w:rPr>
          <w:rFonts w:ascii="Arial" w:hAnsi="Arial" w:cs="Arial"/>
          <w:sz w:val="24"/>
          <w:szCs w:val="24"/>
        </w:rPr>
        <w:t>d</w:t>
      </w:r>
      <w:r w:rsidR="002D01CA">
        <w:rPr>
          <w:rFonts w:ascii="Arial" w:hAnsi="Arial" w:cs="Arial"/>
          <w:sz w:val="24"/>
          <w:szCs w:val="24"/>
        </w:rPr>
        <w:t xml:space="preserve">o Conselho Nacional do Ministério Público, </w:t>
      </w:r>
      <w:r w:rsidR="00127367">
        <w:rPr>
          <w:rFonts w:ascii="Arial" w:hAnsi="Arial" w:cs="Arial"/>
          <w:sz w:val="24"/>
          <w:szCs w:val="24"/>
        </w:rPr>
        <w:t>Streck, Sarlet E Clève</w:t>
      </w:r>
      <w:r w:rsidR="002D01CA">
        <w:rPr>
          <w:rFonts w:ascii="Arial" w:hAnsi="Arial" w:cs="Arial"/>
          <w:sz w:val="24"/>
          <w:szCs w:val="24"/>
        </w:rPr>
        <w:t xml:space="preserve"> (2005</w:t>
      </w:r>
      <w:r w:rsidR="002E7EB8">
        <w:rPr>
          <w:rFonts w:ascii="Arial" w:hAnsi="Arial" w:cs="Arial"/>
          <w:sz w:val="24"/>
          <w:szCs w:val="24"/>
        </w:rPr>
        <w:t>) consideram que</w:t>
      </w:r>
      <w:r w:rsidR="002D01CA">
        <w:rPr>
          <w:rFonts w:ascii="Arial" w:hAnsi="Arial" w:cs="Arial"/>
          <w:sz w:val="24"/>
          <w:szCs w:val="24"/>
        </w:rPr>
        <w:t xml:space="preserve"> “</w:t>
      </w:r>
      <w:r w:rsidR="002D01CA" w:rsidRPr="002D01CA">
        <w:rPr>
          <w:rFonts w:ascii="Arial" w:hAnsi="Arial" w:cs="Arial"/>
          <w:sz w:val="24"/>
          <w:szCs w:val="24"/>
        </w:rPr>
        <w:t>a leitura do texto constitucional não dá azo a tese de que</w:t>
      </w:r>
      <w:r w:rsidR="002D01CA">
        <w:rPr>
          <w:rFonts w:ascii="Arial" w:hAnsi="Arial" w:cs="Arial"/>
          <w:sz w:val="24"/>
          <w:szCs w:val="24"/>
        </w:rPr>
        <w:t xml:space="preserve"> o constituinte derivado tenha ‘delegado’</w:t>
      </w:r>
      <w:r w:rsidR="002D01CA" w:rsidRPr="002D01CA">
        <w:rPr>
          <w:rFonts w:ascii="Arial" w:hAnsi="Arial" w:cs="Arial"/>
          <w:sz w:val="24"/>
          <w:szCs w:val="24"/>
        </w:rPr>
        <w:t xml:space="preserve"> aos referidos Conselhos o poder de romper com o princípio da reserva de lei e de reserva de jurisdição</w:t>
      </w:r>
      <w:r w:rsidR="002D01CA">
        <w:rPr>
          <w:rFonts w:ascii="Arial" w:hAnsi="Arial" w:cs="Arial"/>
          <w:sz w:val="24"/>
          <w:szCs w:val="24"/>
        </w:rPr>
        <w:t>”</w:t>
      </w:r>
      <w:r w:rsidR="002D01CA" w:rsidRPr="002D01CA">
        <w:rPr>
          <w:rFonts w:ascii="Arial" w:hAnsi="Arial" w:cs="Arial"/>
          <w:sz w:val="24"/>
          <w:szCs w:val="24"/>
        </w:rPr>
        <w:t>.</w:t>
      </w:r>
    </w:p>
    <w:p w:rsidR="00112272" w:rsidRPr="00112272" w:rsidRDefault="00112272" w:rsidP="00172CD9">
      <w:pPr>
        <w:spacing w:before="120" w:after="12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Mais incisiva é a visão de Pedersoli, que </w:t>
      </w:r>
      <w:r w:rsidR="00621E13">
        <w:rPr>
          <w:rFonts w:ascii="Arial" w:hAnsi="Arial" w:cs="Arial"/>
          <w:sz w:val="24"/>
          <w:szCs w:val="24"/>
        </w:rPr>
        <w:t xml:space="preserve">mesmo </w:t>
      </w:r>
      <w:r>
        <w:rPr>
          <w:rFonts w:ascii="Arial" w:hAnsi="Arial" w:cs="Arial"/>
          <w:sz w:val="24"/>
          <w:szCs w:val="24"/>
        </w:rPr>
        <w:t>considera</w:t>
      </w:r>
      <w:r w:rsidR="00621E13">
        <w:rPr>
          <w:rFonts w:ascii="Arial" w:hAnsi="Arial" w:cs="Arial"/>
          <w:sz w:val="24"/>
          <w:szCs w:val="24"/>
        </w:rPr>
        <w:t>ndo</w:t>
      </w:r>
      <w:r>
        <w:rPr>
          <w:rFonts w:ascii="Arial" w:hAnsi="Arial" w:cs="Arial"/>
          <w:sz w:val="24"/>
          <w:szCs w:val="24"/>
        </w:rPr>
        <w:t xml:space="preserve"> inquestionável o papel exercido pelo CNJ no Judiciário brasileiro, dando como exemplo a maior transparênc</w:t>
      </w:r>
      <w:r w:rsidR="00621E13">
        <w:rPr>
          <w:rFonts w:ascii="Arial" w:hAnsi="Arial" w:cs="Arial"/>
          <w:sz w:val="24"/>
          <w:szCs w:val="24"/>
        </w:rPr>
        <w:t>ia nas estatísticas processuais, acha que ”</w:t>
      </w:r>
      <w:r w:rsidRPr="00112272">
        <w:rPr>
          <w:rFonts w:ascii="Arial" w:hAnsi="Arial" w:cs="Arial"/>
          <w:sz w:val="24"/>
          <w:szCs w:val="24"/>
        </w:rPr>
        <w:t>em se tratando de sua competência regulamentar, referido órgão tem ultrapassado – e muito – os seus limites administrativos</w:t>
      </w:r>
      <w:r>
        <w:rPr>
          <w:rFonts w:ascii="Arial" w:hAnsi="Arial" w:cs="Arial"/>
          <w:sz w:val="24"/>
          <w:szCs w:val="24"/>
        </w:rPr>
        <w:t>”</w:t>
      </w:r>
      <w:r w:rsidRPr="00112272">
        <w:rPr>
          <w:rFonts w:ascii="Arial" w:hAnsi="Arial" w:cs="Arial"/>
          <w:sz w:val="24"/>
          <w:szCs w:val="24"/>
        </w:rPr>
        <w:t>. (</w:t>
      </w:r>
      <w:r>
        <w:rPr>
          <w:rFonts w:ascii="Arial" w:hAnsi="Arial" w:cs="Arial"/>
          <w:sz w:val="24"/>
          <w:szCs w:val="24"/>
        </w:rPr>
        <w:t xml:space="preserve">PEDERSOLI, </w:t>
      </w:r>
      <w:r w:rsidRPr="00112272">
        <w:rPr>
          <w:rFonts w:ascii="Arial" w:hAnsi="Arial" w:cs="Arial"/>
          <w:sz w:val="24"/>
          <w:szCs w:val="24"/>
        </w:rPr>
        <w:t>2009, p. 7)</w:t>
      </w:r>
    </w:p>
    <w:p w:rsidR="00112272" w:rsidRDefault="00337F63" w:rsidP="00172CD9">
      <w:pPr>
        <w:spacing w:before="120" w:after="120"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Para entender melhor o motivo de tanta polêmica, cabe lembrar o primeiro ato regulamentar controverso do órgão</w:t>
      </w:r>
      <w:r w:rsidR="00CC56FF">
        <w:rPr>
          <w:rFonts w:ascii="Arial" w:hAnsi="Arial" w:cs="Arial"/>
          <w:color w:val="000000"/>
          <w:sz w:val="24"/>
          <w:szCs w:val="24"/>
          <w:shd w:val="clear" w:color="auto" w:fill="FFFFFF"/>
        </w:rPr>
        <w:t>, a R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esolução nº 3, que vedava as férias coletivas nos juízos e tribunais de segundo grau</w:t>
      </w:r>
      <w:r w:rsidR="00445C1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="00CC56F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Posteriormente, após receber contestações por parte da OAB e outras entidades representativas, </w:t>
      </w:r>
      <w:r w:rsidR="00445C15" w:rsidRPr="00445C15">
        <w:rPr>
          <w:rFonts w:ascii="Arial" w:hAnsi="Arial" w:cs="Arial"/>
          <w:color w:val="000000"/>
          <w:sz w:val="24"/>
          <w:szCs w:val="24"/>
          <w:shd w:val="clear" w:color="auto" w:fill="FFFFFF"/>
        </w:rPr>
        <w:t>o CNJ</w:t>
      </w:r>
      <w:r w:rsidR="00CC56F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suspendeu o art. 2º da referida resolução (declarava o fim das férias coletivas em segunda instância), através da Resolução nº 24, voltando assim a permitir férias coletivas</w:t>
      </w:r>
      <w:r w:rsidR="00445C15" w:rsidRPr="00445C1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C83986">
        <w:rPr>
          <w:rFonts w:ascii="Arial" w:hAnsi="Arial" w:cs="Arial"/>
          <w:color w:val="000000"/>
          <w:sz w:val="24"/>
          <w:szCs w:val="24"/>
          <w:shd w:val="clear" w:color="auto" w:fill="FFFFFF"/>
        </w:rPr>
        <w:t>em janeiro e</w:t>
      </w:r>
      <w:r w:rsidR="00CC56F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julho. Tal alteração só poderia ser feita por meio de Emenda Constitucional, </w:t>
      </w:r>
      <w:r w:rsidR="00BF3315">
        <w:rPr>
          <w:rFonts w:ascii="Arial" w:hAnsi="Arial" w:cs="Arial"/>
          <w:color w:val="000000"/>
          <w:sz w:val="24"/>
          <w:szCs w:val="24"/>
          <w:shd w:val="clear" w:color="auto" w:fill="FFFFFF"/>
        </w:rPr>
        <w:t>demonstrando assim desrespeito à Constituição Federal.</w:t>
      </w:r>
      <w:r w:rsidR="00445C15" w:rsidRPr="00445C1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131A24" w:rsidRPr="00131A24" w:rsidRDefault="00131A24" w:rsidP="00172CD9">
      <w:pPr>
        <w:spacing w:before="120" w:after="120"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Mas, a</w:t>
      </w:r>
      <w:r w:rsidRPr="00131A2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pós decisão liminar proferida na ADI nº </w:t>
      </w:r>
      <w:r w:rsidRPr="0028491F">
        <w:rPr>
          <w:rFonts w:ascii="Arial" w:hAnsi="Arial" w:cs="Arial"/>
          <w:color w:val="000000"/>
          <w:sz w:val="24"/>
          <w:szCs w:val="24"/>
          <w:shd w:val="clear" w:color="auto" w:fill="FFFFFF"/>
        </w:rPr>
        <w:t>3823</w:t>
      </w:r>
      <w:r w:rsidRPr="00131A2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o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“</w:t>
      </w:r>
      <w:r w:rsidRPr="00131A2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CNJ editou a Resolução nº </w:t>
      </w:r>
      <w:r w:rsidRPr="007F194F">
        <w:rPr>
          <w:rFonts w:ascii="Arial" w:hAnsi="Arial" w:cs="Arial"/>
          <w:color w:val="000000"/>
          <w:sz w:val="24"/>
          <w:szCs w:val="24"/>
          <w:shd w:val="clear" w:color="auto" w:fill="FFFFFF"/>
        </w:rPr>
        <w:t>28</w:t>
      </w:r>
      <w:r w:rsidRPr="00131A2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revogando a Resolução nº </w:t>
      </w:r>
      <w:r w:rsidRPr="007F194F">
        <w:rPr>
          <w:rFonts w:ascii="Arial" w:hAnsi="Arial" w:cs="Arial"/>
          <w:color w:val="000000"/>
          <w:sz w:val="24"/>
          <w:szCs w:val="24"/>
          <w:shd w:val="clear" w:color="auto" w:fill="FFFFFF"/>
        </w:rPr>
        <w:t>24</w:t>
      </w:r>
      <w:r w:rsidRPr="00131A24">
        <w:rPr>
          <w:rFonts w:ascii="Arial" w:hAnsi="Arial" w:cs="Arial"/>
          <w:color w:val="000000"/>
          <w:sz w:val="24"/>
          <w:szCs w:val="24"/>
          <w:shd w:val="clear" w:color="auto" w:fill="FFFFFF"/>
        </w:rPr>
        <w:t>. Nesse sentido, repristinou os efeitos do art. 2º da Resolução nº 3, agora sim, dando cumprimento ao texto constitucional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”</w:t>
      </w:r>
      <w:r w:rsidRPr="00131A2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(PEDERSOLI, 2009, p. 7)</w:t>
      </w:r>
    </w:p>
    <w:p w:rsidR="00131A24" w:rsidRDefault="003557C2" w:rsidP="00172CD9">
      <w:pPr>
        <w:spacing w:before="120" w:after="120"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Como forma de</w:t>
      </w:r>
      <w:r w:rsidR="00BF331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melhor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entender </w:t>
      </w:r>
      <w:r w:rsidR="00BF331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 distinção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entre leis e atos regulamentares, </w:t>
      </w:r>
      <w:r w:rsidR="00127367" w:rsidRPr="003557C2">
        <w:rPr>
          <w:rFonts w:ascii="Arial" w:hAnsi="Arial" w:cs="Arial"/>
          <w:color w:val="000000"/>
          <w:sz w:val="24"/>
          <w:szCs w:val="24"/>
          <w:shd w:val="clear" w:color="auto" w:fill="FFFFFF"/>
        </w:rPr>
        <w:t>Streck, Sarlet E Cl</w:t>
      </w:r>
      <w:r w:rsidR="00127367">
        <w:rPr>
          <w:rFonts w:ascii="Arial" w:hAnsi="Arial" w:cs="Arial"/>
          <w:color w:val="000000"/>
          <w:sz w:val="24"/>
          <w:szCs w:val="24"/>
          <w:shd w:val="clear" w:color="auto" w:fill="FFFFFF"/>
        </w:rPr>
        <w:t>ève</w:t>
      </w:r>
      <w:r w:rsidRPr="003557C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(</w:t>
      </w:r>
      <w:r w:rsidRPr="003557C2">
        <w:rPr>
          <w:rFonts w:ascii="Arial" w:hAnsi="Arial" w:cs="Arial"/>
          <w:color w:val="000000"/>
          <w:sz w:val="24"/>
          <w:szCs w:val="24"/>
          <w:shd w:val="clear" w:color="auto" w:fill="FFFFFF"/>
        </w:rPr>
        <w:t>2005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) </w:t>
      </w:r>
      <w:r w:rsidRPr="003557C2">
        <w:rPr>
          <w:rFonts w:ascii="Arial" w:hAnsi="Arial" w:cs="Arial"/>
          <w:color w:val="000000"/>
          <w:sz w:val="24"/>
          <w:szCs w:val="24"/>
          <w:shd w:val="clear" w:color="auto" w:fill="FFFFFF"/>
        </w:rPr>
        <w:t>explicam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</w:p>
    <w:p w:rsidR="00BB7561" w:rsidRPr="00944BBC" w:rsidRDefault="003557C2" w:rsidP="003557C2">
      <w:pPr>
        <w:spacing w:before="120" w:after="120" w:line="240" w:lineRule="auto"/>
        <w:ind w:left="226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(...)</w:t>
      </w:r>
      <w:r w:rsidR="00944BBC" w:rsidRPr="00944BB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 </w:t>
      </w:r>
      <w:r w:rsidR="00944BBC" w:rsidRPr="00944BBC">
        <w:rPr>
          <w:rFonts w:ascii="Arial" w:hAnsi="Arial" w:cs="Arial"/>
          <w:color w:val="000000"/>
          <w:sz w:val="20"/>
          <w:szCs w:val="20"/>
          <w:shd w:val="clear" w:color="auto" w:fill="FFFFFF"/>
        </w:rPr>
        <w:t>que distingue o conceito de lei do de outros atos é a sua estrutura e a sua função. Leis têm caráter geral, porque regulam situações em abstrato; atos regulamentares (resoluções, decretos, etc</w:t>
      </w:r>
      <w:r w:rsidR="00127367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944BBC" w:rsidRPr="00944BBC">
        <w:rPr>
          <w:rFonts w:ascii="Arial" w:hAnsi="Arial" w:cs="Arial"/>
          <w:color w:val="000000"/>
          <w:sz w:val="20"/>
          <w:szCs w:val="20"/>
          <w:shd w:val="clear" w:color="auto" w:fill="FFFFFF"/>
        </w:rPr>
        <w:t>) destinam-se a concreções e individualizações. Uma resolução não pode estar na mesma hierarquia de uma lei, pela simples razão de que a lei emana do poder legislativo, essência da democracia representativa, enquanto os atos regulamentares ficam restritos à matérias com menor amplitude normativa.</w:t>
      </w:r>
    </w:p>
    <w:p w:rsidR="00BB7561" w:rsidRDefault="003557C2" w:rsidP="005C292B">
      <w:pPr>
        <w:spacing w:before="120" w:after="120"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Então, na visão de</w:t>
      </w:r>
      <w:r w:rsidR="007274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3760DE">
        <w:rPr>
          <w:rFonts w:ascii="Arial" w:hAnsi="Arial" w:cs="Arial"/>
          <w:sz w:val="24"/>
          <w:szCs w:val="24"/>
        </w:rPr>
        <w:t>Lenio, Ingo e Clèmerson</w:t>
      </w:r>
      <w:r w:rsidR="007274D9">
        <w:rPr>
          <w:rFonts w:ascii="Arial" w:hAnsi="Arial" w:cs="Arial"/>
          <w:sz w:val="24"/>
          <w:szCs w:val="24"/>
        </w:rPr>
        <w:t>, os Conselhos não tem liberdade plena para editar atos regulamentares, mesmo que a EC nº 45/</w:t>
      </w:r>
      <w:r w:rsidR="007F194F">
        <w:rPr>
          <w:rFonts w:ascii="Arial" w:hAnsi="Arial" w:cs="Arial"/>
          <w:sz w:val="24"/>
          <w:szCs w:val="24"/>
        </w:rPr>
        <w:t>20</w:t>
      </w:r>
      <w:r w:rsidR="007274D9">
        <w:rPr>
          <w:rFonts w:ascii="Arial" w:hAnsi="Arial" w:cs="Arial"/>
          <w:sz w:val="24"/>
          <w:szCs w:val="24"/>
        </w:rPr>
        <w:t>04 permita isso</w:t>
      </w:r>
      <w:r w:rsidR="00953133">
        <w:rPr>
          <w:rFonts w:ascii="Arial" w:hAnsi="Arial" w:cs="Arial"/>
          <w:sz w:val="24"/>
          <w:szCs w:val="24"/>
        </w:rPr>
        <w:t>, enfrentando assim duas limitações</w:t>
      </w:r>
      <w:r w:rsidR="007274D9">
        <w:rPr>
          <w:rFonts w:ascii="Arial" w:hAnsi="Arial" w:cs="Arial"/>
          <w:sz w:val="24"/>
          <w:szCs w:val="24"/>
        </w:rPr>
        <w:t>:</w:t>
      </w:r>
    </w:p>
    <w:p w:rsidR="0081651E" w:rsidRPr="007274D9" w:rsidRDefault="00127367" w:rsidP="0081651E">
      <w:pPr>
        <w:spacing w:before="120" w:after="120" w:line="240" w:lineRule="auto"/>
        <w:ind w:left="226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U</w:t>
      </w:r>
      <w:r w:rsidR="007274D9" w:rsidRPr="007274D9">
        <w:rPr>
          <w:rFonts w:ascii="Arial" w:hAnsi="Arial" w:cs="Arial"/>
          <w:color w:val="000000"/>
          <w:sz w:val="20"/>
          <w:szCs w:val="20"/>
          <w:shd w:val="clear" w:color="auto" w:fill="FFFFFF"/>
        </w:rPr>
        <w:t>ma,</w:t>
      </w:r>
      <w:r w:rsidR="007274D9" w:rsidRPr="007274D9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7274D9" w:rsidRPr="007274D9">
        <w:rPr>
          <w:rStyle w:val="nfase"/>
          <w:rFonts w:ascii="Arial" w:hAnsi="Arial" w:cs="Arial"/>
          <w:color w:val="000000"/>
          <w:sz w:val="20"/>
          <w:szCs w:val="20"/>
        </w:rPr>
        <w:t>stricto sensu</w:t>
      </w:r>
      <w:r w:rsidR="007274D9" w:rsidRPr="007274D9">
        <w:rPr>
          <w:rFonts w:ascii="Arial" w:hAnsi="Arial" w:cs="Arial"/>
          <w:color w:val="000000"/>
          <w:sz w:val="20"/>
          <w:szCs w:val="20"/>
          <w:shd w:val="clear" w:color="auto" w:fill="FFFFFF"/>
        </w:rPr>
        <w:t>, pela qual não podem expedir regulamentos com caráter geral e abstrato, em face da reserva de lei; outra,</w:t>
      </w:r>
      <w:r w:rsidR="007274D9" w:rsidRPr="007274D9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7274D9" w:rsidRPr="007274D9">
        <w:rPr>
          <w:rStyle w:val="nfase"/>
          <w:rFonts w:ascii="Arial" w:hAnsi="Arial" w:cs="Arial"/>
          <w:color w:val="000000"/>
          <w:sz w:val="20"/>
          <w:szCs w:val="20"/>
        </w:rPr>
        <w:t>lato sensu</w:t>
      </w:r>
      <w:r w:rsidR="007274D9" w:rsidRPr="007274D9">
        <w:rPr>
          <w:rFonts w:ascii="Arial" w:hAnsi="Arial" w:cs="Arial"/>
          <w:color w:val="000000"/>
          <w:sz w:val="20"/>
          <w:szCs w:val="20"/>
          <w:shd w:val="clear" w:color="auto" w:fill="FFFFFF"/>
        </w:rPr>
        <w:t>, que diz respeito a impossibilidade de ingerência nos direitos e garantias fundamentais dos cidadãos. Presente, aqui, a cláusula de proibição de restrição a direitos e garantias fundamentais, que se sustenta na reserva de lei, também garantia constitucional.</w:t>
      </w:r>
      <w:r w:rsidR="003760D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(STRECK, SARLET e CLÈVE, 2005)</w:t>
      </w:r>
    </w:p>
    <w:p w:rsidR="005C292B" w:rsidRDefault="005C292B" w:rsidP="0081651E">
      <w:pPr>
        <w:spacing w:before="120" w:after="120"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7F194F">
        <w:rPr>
          <w:rFonts w:ascii="Arial" w:hAnsi="Arial" w:cs="Arial"/>
          <w:color w:val="000000"/>
          <w:sz w:val="24"/>
          <w:szCs w:val="24"/>
          <w:shd w:val="clear" w:color="auto" w:fill="FFFFFF"/>
        </w:rPr>
        <w:t>Na contramão de tal pensamento está o entendimento da maioria dos Ministros do Supremo Tribunal Federal, que consideraram constitucional a Resolução nº 07/2005 do CNJ, mesmo esta tendo caráter geral e abstrato.</w:t>
      </w:r>
    </w:p>
    <w:p w:rsidR="00200E05" w:rsidRDefault="00200E05" w:rsidP="00610F0C">
      <w:pPr>
        <w:spacing w:before="120" w:after="120" w:line="240" w:lineRule="auto"/>
        <w:ind w:left="226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5C292B" w:rsidRPr="008A3550" w:rsidRDefault="005C292B" w:rsidP="005C292B">
      <w:pPr>
        <w:spacing w:after="0" w:line="360" w:lineRule="auto"/>
        <w:rPr>
          <w:rFonts w:ascii="Arial" w:hAnsi="Arial" w:cs="Arial"/>
          <w:b/>
          <w:caps/>
          <w:color w:val="000000"/>
          <w:sz w:val="24"/>
          <w:szCs w:val="24"/>
          <w:shd w:val="clear" w:color="auto" w:fill="FFFFFF"/>
        </w:rPr>
      </w:pPr>
      <w:r w:rsidRPr="008A3550">
        <w:rPr>
          <w:rFonts w:ascii="Arial" w:hAnsi="Arial" w:cs="Arial"/>
          <w:b/>
          <w:caps/>
          <w:color w:val="000000"/>
          <w:sz w:val="24"/>
          <w:szCs w:val="24"/>
          <w:shd w:val="clear" w:color="auto" w:fill="FFFFFF"/>
        </w:rPr>
        <w:t>3. Análise da Resolução nº 07/</w:t>
      </w:r>
      <w:r w:rsidR="001755B3">
        <w:rPr>
          <w:rFonts w:ascii="Arial" w:hAnsi="Arial" w:cs="Arial"/>
          <w:b/>
          <w:caps/>
          <w:color w:val="000000"/>
          <w:sz w:val="24"/>
          <w:szCs w:val="24"/>
          <w:shd w:val="clear" w:color="auto" w:fill="FFFFFF"/>
        </w:rPr>
        <w:t>20</w:t>
      </w:r>
      <w:r w:rsidRPr="008A3550">
        <w:rPr>
          <w:rFonts w:ascii="Arial" w:hAnsi="Arial" w:cs="Arial"/>
          <w:b/>
          <w:caps/>
          <w:color w:val="000000"/>
          <w:sz w:val="24"/>
          <w:szCs w:val="24"/>
          <w:shd w:val="clear" w:color="auto" w:fill="FFFFFF"/>
        </w:rPr>
        <w:t>05</w:t>
      </w:r>
    </w:p>
    <w:p w:rsidR="00DC3450" w:rsidRDefault="00DC3450" w:rsidP="003557C2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edição da Resolução nº </w:t>
      </w:r>
      <w:r w:rsidRPr="00EA70FD">
        <w:rPr>
          <w:rFonts w:ascii="Arial" w:hAnsi="Arial" w:cs="Arial"/>
          <w:sz w:val="24"/>
          <w:szCs w:val="24"/>
        </w:rPr>
        <w:t>07,</w:t>
      </w:r>
      <w:r>
        <w:rPr>
          <w:rFonts w:ascii="Arial" w:hAnsi="Arial" w:cs="Arial"/>
          <w:sz w:val="24"/>
          <w:szCs w:val="24"/>
        </w:rPr>
        <w:t xml:space="preserve"> de 18 de outubro de 2005, </w:t>
      </w:r>
      <w:r w:rsidR="009C44A7">
        <w:rPr>
          <w:rFonts w:ascii="Arial" w:hAnsi="Arial" w:cs="Arial"/>
          <w:sz w:val="24"/>
          <w:szCs w:val="24"/>
        </w:rPr>
        <w:t xml:space="preserve">ganhou bastante destaque porque </w:t>
      </w:r>
      <w:r>
        <w:rPr>
          <w:rFonts w:ascii="Arial" w:hAnsi="Arial" w:cs="Arial"/>
          <w:sz w:val="24"/>
          <w:szCs w:val="24"/>
        </w:rPr>
        <w:t xml:space="preserve">proibiu a prática do nepotismo nas diversas </w:t>
      </w:r>
      <w:r w:rsidR="00BB13BA">
        <w:rPr>
          <w:rFonts w:ascii="Arial" w:hAnsi="Arial" w:cs="Arial"/>
          <w:sz w:val="24"/>
          <w:szCs w:val="24"/>
        </w:rPr>
        <w:t>áreas do Poder J</w:t>
      </w:r>
      <w:r>
        <w:rPr>
          <w:rFonts w:ascii="Arial" w:hAnsi="Arial" w:cs="Arial"/>
          <w:sz w:val="24"/>
          <w:szCs w:val="24"/>
        </w:rPr>
        <w:t>udiciário</w:t>
      </w:r>
      <w:r w:rsidR="00292756">
        <w:rPr>
          <w:rFonts w:ascii="Arial" w:hAnsi="Arial" w:cs="Arial"/>
          <w:sz w:val="24"/>
          <w:szCs w:val="24"/>
        </w:rPr>
        <w:t>.</w:t>
      </w:r>
    </w:p>
    <w:p w:rsidR="00200E05" w:rsidRPr="00200E05" w:rsidRDefault="00200E05" w:rsidP="00200E05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ADC nº 12/DF, impetrada pela Associação dos Magistrados Brasileiros, o jurista Luis Roberto Barroso argumenta que a Resolução nº 07/2005 do CNJ:</w:t>
      </w:r>
    </w:p>
    <w:p w:rsidR="00BB7561" w:rsidRPr="00200E05" w:rsidRDefault="00200E05" w:rsidP="00200E05">
      <w:pPr>
        <w:spacing w:line="240" w:lineRule="auto"/>
        <w:ind w:left="22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(...)</w:t>
      </w:r>
      <w:r w:rsidR="005C0D2F" w:rsidRPr="00200E05">
        <w:rPr>
          <w:rFonts w:ascii="Arial" w:hAnsi="Arial" w:cs="Arial"/>
          <w:sz w:val="20"/>
          <w:szCs w:val="20"/>
        </w:rPr>
        <w:t xml:space="preserve"> reveste-se dos atributos da generalidade (os dispositivos dela constantes veiculam normas proibitivas de ações administrativas de logo padronizadas),</w:t>
      </w:r>
      <w:r>
        <w:rPr>
          <w:rFonts w:ascii="Arial" w:hAnsi="Arial" w:cs="Arial"/>
          <w:sz w:val="20"/>
          <w:szCs w:val="20"/>
        </w:rPr>
        <w:t xml:space="preserve"> </w:t>
      </w:r>
      <w:r w:rsidR="005C0D2F" w:rsidRPr="00200E05">
        <w:rPr>
          <w:rFonts w:ascii="Arial" w:hAnsi="Arial" w:cs="Arial"/>
          <w:sz w:val="20"/>
          <w:szCs w:val="20"/>
        </w:rPr>
        <w:t>impessoalidade (ausência de indicação nominal ou patronímica de quem quer que seja) e abstratividade (trata-se de um modelo normativo com âmbito temporal de vigência em aberto, pois claramente vo</w:t>
      </w:r>
      <w:r>
        <w:rPr>
          <w:rFonts w:ascii="Arial" w:hAnsi="Arial" w:cs="Arial"/>
          <w:sz w:val="20"/>
          <w:szCs w:val="20"/>
        </w:rPr>
        <w:t>cacionado para renovar de forma</w:t>
      </w:r>
      <w:r w:rsidR="005C0D2F" w:rsidRPr="00200E05">
        <w:rPr>
          <w:rFonts w:ascii="Arial" w:hAnsi="Arial" w:cs="Arial"/>
          <w:sz w:val="20"/>
          <w:szCs w:val="20"/>
        </w:rPr>
        <w:t xml:space="preserve"> contínua o liame que prende suas hipóteses de incidência aos respectivos mandamentos). A Resolução 7/2005 se dota, ainda, de caráter normativo primário, dado que arranca diretamente do § 4º do art. 103-B da Carta-cidadã e tem como finalidade debulhar os próprios conteúdos lógicos dos princípios constitucionais de centrada regência de toda a atividade administrativa do Estado, especialmente o da impessoalidade, o da eficiência, o da </w:t>
      </w:r>
      <w:r>
        <w:rPr>
          <w:rFonts w:ascii="Arial" w:hAnsi="Arial" w:cs="Arial"/>
          <w:sz w:val="20"/>
          <w:szCs w:val="20"/>
        </w:rPr>
        <w:t>igualdade e o da moralidade." (A</w:t>
      </w:r>
      <w:r w:rsidR="005C0D2F" w:rsidRPr="00200E05">
        <w:rPr>
          <w:rFonts w:ascii="Arial" w:hAnsi="Arial" w:cs="Arial"/>
          <w:sz w:val="20"/>
          <w:szCs w:val="20"/>
        </w:rPr>
        <w:t>DC</w:t>
      </w:r>
      <w:r w:rsidR="00113992" w:rsidRPr="00200E0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12</w:t>
      </w:r>
      <w:r w:rsidR="00292756">
        <w:rPr>
          <w:rFonts w:ascii="Arial" w:hAnsi="Arial" w:cs="Arial"/>
          <w:sz w:val="20"/>
          <w:szCs w:val="20"/>
        </w:rPr>
        <w:t>/DF</w:t>
      </w:r>
      <w:r>
        <w:rPr>
          <w:rFonts w:ascii="Arial" w:hAnsi="Arial" w:cs="Arial"/>
          <w:sz w:val="20"/>
          <w:szCs w:val="20"/>
        </w:rPr>
        <w:t xml:space="preserve">, Rel. Min. Ayres </w:t>
      </w:r>
      <w:r w:rsidR="005C0D2F" w:rsidRPr="00200E05">
        <w:rPr>
          <w:rFonts w:ascii="Arial" w:hAnsi="Arial" w:cs="Arial"/>
          <w:sz w:val="20"/>
          <w:szCs w:val="20"/>
        </w:rPr>
        <w:t>Britto, julgamento em 16-2-2</w:t>
      </w:r>
      <w:r>
        <w:rPr>
          <w:rFonts w:ascii="Arial" w:hAnsi="Arial" w:cs="Arial"/>
          <w:sz w:val="20"/>
          <w:szCs w:val="20"/>
        </w:rPr>
        <w:t>006, Plenário, DJ de 1º-9-2006</w:t>
      </w:r>
      <w:r w:rsidR="00292756">
        <w:rPr>
          <w:rFonts w:ascii="Arial" w:hAnsi="Arial" w:cs="Arial"/>
          <w:sz w:val="20"/>
          <w:szCs w:val="20"/>
        </w:rPr>
        <w:t>)</w:t>
      </w:r>
    </w:p>
    <w:p w:rsidR="003C3D3F" w:rsidRDefault="003C3D3F" w:rsidP="00200E05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maioria dos Ministros do STF considerou constitucional o conteúdo da resolução, por entender </w:t>
      </w:r>
      <w:r w:rsidR="00292756">
        <w:rPr>
          <w:rFonts w:ascii="Arial" w:hAnsi="Arial" w:cs="Arial"/>
          <w:sz w:val="24"/>
          <w:szCs w:val="24"/>
        </w:rPr>
        <w:t>que ela apenas efetiva</w:t>
      </w:r>
      <w:r>
        <w:rPr>
          <w:rFonts w:ascii="Arial" w:hAnsi="Arial" w:cs="Arial"/>
          <w:sz w:val="24"/>
          <w:szCs w:val="24"/>
        </w:rPr>
        <w:t xml:space="preserve"> os princípios da impessoalidade, moralidade e eficiência, visto que </w:t>
      </w:r>
      <w:r w:rsidRPr="00887291">
        <w:rPr>
          <w:rFonts w:ascii="Arial" w:hAnsi="Arial" w:cs="Arial"/>
          <w:sz w:val="24"/>
          <w:szCs w:val="24"/>
        </w:rPr>
        <w:t xml:space="preserve">era inconcebível </w:t>
      </w:r>
      <w:r w:rsidR="0022491E">
        <w:rPr>
          <w:rFonts w:ascii="Arial" w:hAnsi="Arial" w:cs="Arial"/>
          <w:sz w:val="24"/>
          <w:szCs w:val="24"/>
        </w:rPr>
        <w:t>testemunhar</w:t>
      </w:r>
      <w:r w:rsidRPr="00887291">
        <w:rPr>
          <w:rFonts w:ascii="Arial" w:hAnsi="Arial" w:cs="Arial"/>
          <w:sz w:val="24"/>
          <w:szCs w:val="24"/>
        </w:rPr>
        <w:t xml:space="preserve"> muitos dos cargos de provimento em comissão ou de função </w:t>
      </w:r>
      <w:r w:rsidR="0022491E">
        <w:rPr>
          <w:rFonts w:ascii="Arial" w:hAnsi="Arial" w:cs="Arial"/>
          <w:sz w:val="24"/>
          <w:szCs w:val="24"/>
        </w:rPr>
        <w:t>remunerada</w:t>
      </w:r>
      <w:r w:rsidRPr="00887291">
        <w:rPr>
          <w:rFonts w:ascii="Arial" w:hAnsi="Arial" w:cs="Arial"/>
          <w:sz w:val="24"/>
          <w:szCs w:val="24"/>
        </w:rPr>
        <w:t xml:space="preserve"> serem ocupados por parentes próximos do magistrado </w:t>
      </w:r>
      <w:r w:rsidR="0022491E">
        <w:rPr>
          <w:rFonts w:ascii="Arial" w:hAnsi="Arial" w:cs="Arial"/>
          <w:sz w:val="24"/>
          <w:szCs w:val="24"/>
        </w:rPr>
        <w:t>responsável pela nomeação</w:t>
      </w:r>
      <w:r>
        <w:rPr>
          <w:rFonts w:ascii="Arial" w:hAnsi="Arial" w:cs="Arial"/>
          <w:sz w:val="24"/>
          <w:szCs w:val="24"/>
        </w:rPr>
        <w:t>.</w:t>
      </w:r>
    </w:p>
    <w:p w:rsidR="0022491E" w:rsidRDefault="003C3D3F" w:rsidP="0022491E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entanto, visão crítica tem Pedersoli, que a</w:t>
      </w:r>
      <w:r w:rsidR="00200E05">
        <w:rPr>
          <w:rFonts w:ascii="Arial" w:hAnsi="Arial" w:cs="Arial"/>
          <w:sz w:val="24"/>
          <w:szCs w:val="24"/>
        </w:rPr>
        <w:t>o</w:t>
      </w:r>
      <w:r w:rsidR="00887291">
        <w:rPr>
          <w:rFonts w:ascii="Arial" w:hAnsi="Arial" w:cs="Arial"/>
          <w:sz w:val="24"/>
          <w:szCs w:val="24"/>
        </w:rPr>
        <w:t xml:space="preserve"> </w:t>
      </w:r>
      <w:r w:rsidR="00200E05">
        <w:rPr>
          <w:rFonts w:ascii="Arial" w:hAnsi="Arial" w:cs="Arial"/>
          <w:sz w:val="24"/>
          <w:szCs w:val="24"/>
        </w:rPr>
        <w:t>analisar</w:t>
      </w:r>
      <w:r w:rsidR="00887291">
        <w:rPr>
          <w:rFonts w:ascii="Arial" w:hAnsi="Arial" w:cs="Arial"/>
          <w:sz w:val="24"/>
          <w:szCs w:val="24"/>
        </w:rPr>
        <w:t xml:space="preserve"> o julgamento da referida ADC, </w:t>
      </w:r>
      <w:r>
        <w:rPr>
          <w:rFonts w:ascii="Arial" w:hAnsi="Arial" w:cs="Arial"/>
          <w:sz w:val="24"/>
          <w:szCs w:val="24"/>
        </w:rPr>
        <w:t xml:space="preserve">considerou que </w:t>
      </w:r>
      <w:r w:rsidR="00887291">
        <w:rPr>
          <w:rFonts w:ascii="Arial" w:hAnsi="Arial" w:cs="Arial"/>
          <w:sz w:val="24"/>
          <w:szCs w:val="24"/>
        </w:rPr>
        <w:t xml:space="preserve">a declaração de constitucionalidade da Resolução nº </w:t>
      </w:r>
      <w:r w:rsidR="00887291">
        <w:rPr>
          <w:rFonts w:ascii="Arial" w:hAnsi="Arial" w:cs="Arial"/>
          <w:sz w:val="24"/>
          <w:szCs w:val="24"/>
        </w:rPr>
        <w:lastRenderedPageBreak/>
        <w:t>07/05</w:t>
      </w:r>
      <w:r w:rsidR="00200E05">
        <w:rPr>
          <w:rFonts w:ascii="Arial" w:hAnsi="Arial" w:cs="Arial"/>
          <w:sz w:val="24"/>
          <w:szCs w:val="24"/>
        </w:rPr>
        <w:t xml:space="preserve"> “</w:t>
      </w:r>
      <w:r w:rsidR="00200E05" w:rsidRPr="00200E05">
        <w:rPr>
          <w:rFonts w:ascii="Arial" w:hAnsi="Arial" w:cs="Arial"/>
          <w:sz w:val="24"/>
          <w:szCs w:val="24"/>
        </w:rPr>
        <w:t>demonstra os contornos bastante amplos e, por tal razão, questionáveis adotados pelo STF acerca do poder regulamentar do CNJ</w:t>
      </w:r>
      <w:r w:rsidR="00200E05">
        <w:rPr>
          <w:rFonts w:ascii="Arial" w:hAnsi="Arial" w:cs="Arial"/>
          <w:sz w:val="24"/>
          <w:szCs w:val="24"/>
        </w:rPr>
        <w:t xml:space="preserve">”. </w:t>
      </w:r>
      <w:r w:rsidR="00200E05" w:rsidRPr="00200E05">
        <w:rPr>
          <w:rFonts w:ascii="Arial" w:hAnsi="Arial" w:cs="Arial"/>
          <w:sz w:val="24"/>
          <w:szCs w:val="24"/>
        </w:rPr>
        <w:t>(PEDERSOLI, 2009, p. 7)</w:t>
      </w:r>
      <w:r w:rsidR="0022491E">
        <w:rPr>
          <w:rFonts w:ascii="Arial" w:hAnsi="Arial" w:cs="Arial"/>
          <w:sz w:val="24"/>
          <w:szCs w:val="24"/>
        </w:rPr>
        <w:t xml:space="preserve"> </w:t>
      </w:r>
    </w:p>
    <w:p w:rsidR="00200E05" w:rsidRDefault="0022491E" w:rsidP="0022491E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ela, que considerou a grande pressão da sociedade como principal influenciadora da edição da resolução, “</w:t>
      </w:r>
      <w:r w:rsidRPr="0022491E">
        <w:rPr>
          <w:rFonts w:ascii="Arial" w:hAnsi="Arial" w:cs="Arial"/>
          <w:sz w:val="24"/>
          <w:szCs w:val="24"/>
        </w:rPr>
        <w:t xml:space="preserve">referida matéria </w:t>
      </w:r>
      <w:r w:rsidR="00DF646A">
        <w:rPr>
          <w:rFonts w:ascii="Arial" w:hAnsi="Arial" w:cs="Arial"/>
          <w:sz w:val="24"/>
          <w:szCs w:val="24"/>
        </w:rPr>
        <w:t>deveria t</w:t>
      </w:r>
      <w:r w:rsidRPr="0022491E">
        <w:rPr>
          <w:rFonts w:ascii="Arial" w:hAnsi="Arial" w:cs="Arial"/>
          <w:sz w:val="24"/>
          <w:szCs w:val="24"/>
        </w:rPr>
        <w:t>er sido trazida por uma lei, a solução cabia ao Legislativo</w:t>
      </w:r>
      <w:r>
        <w:rPr>
          <w:rFonts w:ascii="Arial" w:hAnsi="Arial" w:cs="Arial"/>
          <w:sz w:val="24"/>
          <w:szCs w:val="24"/>
        </w:rPr>
        <w:t>”.</w:t>
      </w:r>
      <w:r w:rsidRPr="0022491E">
        <w:rPr>
          <w:rFonts w:ascii="Arial" w:hAnsi="Arial" w:cs="Arial"/>
          <w:sz w:val="24"/>
          <w:szCs w:val="24"/>
        </w:rPr>
        <w:t xml:space="preserve"> </w:t>
      </w:r>
      <w:r w:rsidRPr="00200E05">
        <w:rPr>
          <w:rFonts w:ascii="Arial" w:hAnsi="Arial" w:cs="Arial"/>
          <w:sz w:val="24"/>
          <w:szCs w:val="24"/>
        </w:rPr>
        <w:t xml:space="preserve">(PEDERSOLI, 2009, p. </w:t>
      </w:r>
      <w:r>
        <w:rPr>
          <w:rFonts w:ascii="Arial" w:hAnsi="Arial" w:cs="Arial"/>
          <w:sz w:val="24"/>
          <w:szCs w:val="24"/>
        </w:rPr>
        <w:t>8)</w:t>
      </w:r>
    </w:p>
    <w:p w:rsidR="00953133" w:rsidRDefault="0022491E" w:rsidP="00887291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Já o</w:t>
      </w:r>
      <w:r w:rsidR="00953133">
        <w:rPr>
          <w:rFonts w:ascii="Arial" w:hAnsi="Arial" w:cs="Arial"/>
          <w:sz w:val="24"/>
          <w:szCs w:val="24"/>
        </w:rPr>
        <w:t xml:space="preserve"> relator da ação, Ministro Ayres Britto, entendeu que o CNJ “não invadiu seara reservada ao Poder Legislativo, mas limitou-se a exercer as competências constitucionais que lhe foram reservadas”</w:t>
      </w:r>
      <w:r w:rsidR="00BB13BA">
        <w:rPr>
          <w:rFonts w:ascii="Arial" w:hAnsi="Arial" w:cs="Arial"/>
          <w:sz w:val="24"/>
          <w:szCs w:val="24"/>
        </w:rPr>
        <w:t xml:space="preserve"> (ADC 12/DF)</w:t>
      </w:r>
      <w:r w:rsidR="00953133">
        <w:rPr>
          <w:rFonts w:ascii="Arial" w:hAnsi="Arial" w:cs="Arial"/>
          <w:sz w:val="24"/>
          <w:szCs w:val="24"/>
        </w:rPr>
        <w:t>. Neste caso</w:t>
      </w:r>
      <w:r w:rsidR="003C3D3F">
        <w:rPr>
          <w:rFonts w:ascii="Arial" w:hAnsi="Arial" w:cs="Arial"/>
          <w:sz w:val="24"/>
          <w:szCs w:val="24"/>
        </w:rPr>
        <w:t>,</w:t>
      </w:r>
      <w:r w:rsidR="00953133">
        <w:rPr>
          <w:rFonts w:ascii="Arial" w:hAnsi="Arial" w:cs="Arial"/>
          <w:sz w:val="24"/>
          <w:szCs w:val="24"/>
        </w:rPr>
        <w:t xml:space="preserve"> ele corrobora que a referida resolução apenas </w:t>
      </w:r>
      <w:r w:rsidR="00D04EE2">
        <w:rPr>
          <w:rFonts w:ascii="Arial" w:hAnsi="Arial" w:cs="Arial"/>
          <w:sz w:val="24"/>
          <w:szCs w:val="24"/>
        </w:rPr>
        <w:t>visa dar efetividade</w:t>
      </w:r>
      <w:r w:rsidR="00953133">
        <w:rPr>
          <w:rFonts w:ascii="Arial" w:hAnsi="Arial" w:cs="Arial"/>
          <w:sz w:val="24"/>
          <w:szCs w:val="24"/>
        </w:rPr>
        <w:t xml:space="preserve"> </w:t>
      </w:r>
      <w:r w:rsidR="00D04EE2">
        <w:rPr>
          <w:rFonts w:ascii="Arial" w:hAnsi="Arial" w:cs="Arial"/>
          <w:sz w:val="24"/>
          <w:szCs w:val="24"/>
        </w:rPr>
        <w:t>a</w:t>
      </w:r>
      <w:r w:rsidR="00953133">
        <w:rPr>
          <w:rFonts w:ascii="Arial" w:hAnsi="Arial" w:cs="Arial"/>
          <w:sz w:val="24"/>
          <w:szCs w:val="24"/>
        </w:rPr>
        <w:t>o que está disposto no art. 37 da Constituição Federal.</w:t>
      </w:r>
    </w:p>
    <w:p w:rsidR="00D04EE2" w:rsidRDefault="00D04EE2" w:rsidP="00D04EE2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Seguindo o relator, o Ministro Cezar Peluso afirmou:</w:t>
      </w:r>
    </w:p>
    <w:p w:rsidR="00D04EE2" w:rsidRDefault="00D04EE2" w:rsidP="00D04EE2">
      <w:pPr>
        <w:spacing w:line="240" w:lineRule="auto"/>
        <w:ind w:left="22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Conselho tem o poder jurídico de explicitar o alcance do princípio na matéria, em especial com a ideia já ressaltada, também, pelo eminente Ministro Relator, de não apenas remediar os danos causados pela prática em si, mas de prevenir os riscos de que esse dano venha a atualizar-se, o que pode ser feito apenas mediante a edição de ato com caráter normativo e de sentido geral (ADC 12/DF, Rel. Min. Ayres Britto, DJ 1.9.06, p. 48).</w:t>
      </w:r>
    </w:p>
    <w:p w:rsidR="00D04EE2" w:rsidRDefault="0022491E" w:rsidP="00D04EE2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5A1C87">
        <w:rPr>
          <w:rFonts w:ascii="Arial" w:hAnsi="Arial" w:cs="Arial"/>
          <w:sz w:val="24"/>
          <w:szCs w:val="24"/>
        </w:rPr>
        <w:t xml:space="preserve"> Ministro Gilmar Mendes </w:t>
      </w:r>
      <w:r w:rsidR="00D04EE2">
        <w:rPr>
          <w:rFonts w:ascii="Arial" w:hAnsi="Arial" w:cs="Arial"/>
          <w:sz w:val="24"/>
          <w:szCs w:val="24"/>
        </w:rPr>
        <w:t xml:space="preserve">lembrou </w:t>
      </w:r>
      <w:r w:rsidR="005A1C87">
        <w:rPr>
          <w:rFonts w:ascii="Arial" w:hAnsi="Arial" w:cs="Arial"/>
          <w:sz w:val="24"/>
          <w:szCs w:val="24"/>
        </w:rPr>
        <w:t xml:space="preserve">bem </w:t>
      </w:r>
      <w:r w:rsidR="00D04EE2">
        <w:rPr>
          <w:rFonts w:ascii="Arial" w:hAnsi="Arial" w:cs="Arial"/>
          <w:sz w:val="24"/>
          <w:szCs w:val="24"/>
        </w:rPr>
        <w:t>que cabe ao CNJ zelar pelo cumprimento dos princípios da moralidade e impessoalidade, não ultrapassando</w:t>
      </w:r>
      <w:r>
        <w:rPr>
          <w:rFonts w:ascii="Arial" w:hAnsi="Arial" w:cs="Arial"/>
          <w:sz w:val="24"/>
          <w:szCs w:val="24"/>
        </w:rPr>
        <w:t xml:space="preserve"> assim</w:t>
      </w:r>
      <w:r w:rsidR="00D04EE2">
        <w:rPr>
          <w:rFonts w:ascii="Arial" w:hAnsi="Arial" w:cs="Arial"/>
          <w:sz w:val="24"/>
          <w:szCs w:val="24"/>
        </w:rPr>
        <w:t xml:space="preserve"> o limite de sua competência, que é “fiscalizar os atos administrativos do Poder Judiciário que violem tais princípios”, considerando que “os atos que impliquem a prática do nepotismo ofendem diretamente os princípios da moralidade e impessoalidade”.</w:t>
      </w:r>
      <w:r w:rsidR="00D04EE2" w:rsidRPr="00D04EE2">
        <w:rPr>
          <w:rFonts w:ascii="Arial" w:hAnsi="Arial" w:cs="Arial"/>
          <w:sz w:val="20"/>
          <w:szCs w:val="20"/>
        </w:rPr>
        <w:t xml:space="preserve"> </w:t>
      </w:r>
      <w:r w:rsidR="00D04EE2" w:rsidRPr="00D04EE2">
        <w:rPr>
          <w:rFonts w:ascii="Arial" w:hAnsi="Arial" w:cs="Arial"/>
          <w:sz w:val="24"/>
          <w:szCs w:val="24"/>
        </w:rPr>
        <w:t>(ADC 12/DF, Rel. Min. Ayres Britto, DJ 1.9.06</w:t>
      </w:r>
      <w:r w:rsidR="00D04EE2">
        <w:rPr>
          <w:rFonts w:ascii="Arial" w:hAnsi="Arial" w:cs="Arial"/>
          <w:sz w:val="24"/>
          <w:szCs w:val="24"/>
        </w:rPr>
        <w:t>, p. 6</w:t>
      </w:r>
      <w:r w:rsidR="00EA70FD">
        <w:rPr>
          <w:rFonts w:ascii="Arial" w:hAnsi="Arial" w:cs="Arial"/>
          <w:sz w:val="24"/>
          <w:szCs w:val="24"/>
        </w:rPr>
        <w:t>4)</w:t>
      </w:r>
    </w:p>
    <w:p w:rsidR="00EF3475" w:rsidRDefault="00BB13BA" w:rsidP="00D04EE2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EF3475">
        <w:rPr>
          <w:rFonts w:ascii="Arial" w:hAnsi="Arial" w:cs="Arial"/>
          <w:sz w:val="24"/>
          <w:szCs w:val="24"/>
        </w:rPr>
        <w:t xml:space="preserve"> voto do Ministro Marco Aurélio de Mello, único dissidente, </w:t>
      </w:r>
      <w:r>
        <w:rPr>
          <w:rFonts w:ascii="Arial" w:hAnsi="Arial" w:cs="Arial"/>
          <w:sz w:val="24"/>
          <w:szCs w:val="24"/>
        </w:rPr>
        <w:t xml:space="preserve">chamou mais atenção porque, contrariando os demais membros do STF, </w:t>
      </w:r>
      <w:r w:rsidR="00EF3475">
        <w:rPr>
          <w:rFonts w:ascii="Arial" w:hAnsi="Arial" w:cs="Arial"/>
          <w:sz w:val="24"/>
          <w:szCs w:val="24"/>
        </w:rPr>
        <w:t xml:space="preserve">tentou demonstrar que a discussão principal não era o fim ou não do nepotismo, </w:t>
      </w:r>
      <w:r>
        <w:rPr>
          <w:rFonts w:ascii="Arial" w:hAnsi="Arial" w:cs="Arial"/>
          <w:sz w:val="24"/>
          <w:szCs w:val="24"/>
        </w:rPr>
        <w:t xml:space="preserve">prática do qual se diz contra, </w:t>
      </w:r>
      <w:r w:rsidR="00EF3475">
        <w:rPr>
          <w:rFonts w:ascii="Arial" w:hAnsi="Arial" w:cs="Arial"/>
          <w:sz w:val="24"/>
          <w:szCs w:val="24"/>
        </w:rPr>
        <w:t xml:space="preserve">mas sim o poder atribuído ao CNJ de, através de suas resoluções, </w:t>
      </w:r>
      <w:r w:rsidR="00090070">
        <w:rPr>
          <w:rFonts w:ascii="Arial" w:hAnsi="Arial" w:cs="Arial"/>
          <w:sz w:val="24"/>
          <w:szCs w:val="24"/>
        </w:rPr>
        <w:t>regulamentar além do texto constitucional.</w:t>
      </w:r>
    </w:p>
    <w:p w:rsidR="00577B43" w:rsidRDefault="00577B43" w:rsidP="00D04EE2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Cabe ressaltar que o </w:t>
      </w:r>
      <w:r w:rsidR="008C4254">
        <w:rPr>
          <w:rFonts w:ascii="Arial" w:hAnsi="Arial" w:cs="Arial"/>
          <w:sz w:val="24"/>
          <w:szCs w:val="24"/>
        </w:rPr>
        <w:t xml:space="preserve">referido </w:t>
      </w:r>
      <w:r>
        <w:rPr>
          <w:rFonts w:ascii="Arial" w:hAnsi="Arial" w:cs="Arial"/>
          <w:sz w:val="24"/>
          <w:szCs w:val="24"/>
        </w:rPr>
        <w:t>Ministro não apoia a prática do nepotismo:</w:t>
      </w:r>
    </w:p>
    <w:p w:rsidR="00577B43" w:rsidRDefault="00577B43" w:rsidP="00577B43">
      <w:pPr>
        <w:spacing w:line="240" w:lineRule="auto"/>
        <w:ind w:left="2127"/>
        <w:jc w:val="both"/>
        <w:rPr>
          <w:rStyle w:val="nfase"/>
          <w:rFonts w:ascii="Arial" w:hAnsi="Arial" w:cs="Arial"/>
          <w:i w:val="0"/>
          <w:color w:val="090909"/>
          <w:sz w:val="20"/>
          <w:szCs w:val="20"/>
        </w:rPr>
      </w:pPr>
      <w:r w:rsidRPr="00577B43">
        <w:rPr>
          <w:rStyle w:val="nfase"/>
          <w:rFonts w:ascii="Arial" w:hAnsi="Arial" w:cs="Arial"/>
          <w:i w:val="0"/>
          <w:color w:val="090909"/>
          <w:sz w:val="20"/>
          <w:szCs w:val="20"/>
        </w:rPr>
        <w:t xml:space="preserve">Isso é absurdo. Sou contra o nepotismo porque ele não combina com os princípios que regem a administração pública em suas três esferas, não apenas no Judiciário, como no Executivo e Legislativo. Não se coaduna até mesmo com a eficiência no funcionalismo público porque quase sempre </w:t>
      </w:r>
      <w:r w:rsidRPr="00577B43">
        <w:rPr>
          <w:rStyle w:val="nfase"/>
          <w:rFonts w:ascii="Arial" w:hAnsi="Arial" w:cs="Arial"/>
          <w:i w:val="0"/>
          <w:color w:val="090909"/>
          <w:sz w:val="20"/>
          <w:szCs w:val="20"/>
        </w:rPr>
        <w:lastRenderedPageBreak/>
        <w:t>revela uma proteção abominável e a prestação de serviços deixa a desejar. No nepotismo, prevalece o tradicional QI, o quem indica, onde se busca algo incompatível com o interesse público. O concurso público é o caminho correto. Quem tem valor persegue e alcança o cargo por esse meio.</w:t>
      </w:r>
      <w:r>
        <w:rPr>
          <w:rStyle w:val="nfase"/>
          <w:rFonts w:ascii="Arial" w:hAnsi="Arial" w:cs="Arial"/>
          <w:i w:val="0"/>
          <w:color w:val="090909"/>
          <w:sz w:val="20"/>
          <w:szCs w:val="20"/>
        </w:rPr>
        <w:t xml:space="preserve"> (</w:t>
      </w:r>
      <w:r w:rsidR="00230308">
        <w:rPr>
          <w:rStyle w:val="nfase"/>
          <w:rFonts w:ascii="Arial" w:hAnsi="Arial" w:cs="Arial"/>
          <w:i w:val="0"/>
          <w:color w:val="090909"/>
          <w:sz w:val="20"/>
          <w:szCs w:val="20"/>
        </w:rPr>
        <w:t xml:space="preserve">MELLO, 2006, </w:t>
      </w:r>
      <w:r w:rsidR="00230308" w:rsidRPr="00230308">
        <w:rPr>
          <w:rStyle w:val="nfase"/>
          <w:rFonts w:ascii="Arial" w:hAnsi="Arial" w:cs="Arial"/>
          <w:color w:val="090909"/>
          <w:sz w:val="20"/>
          <w:szCs w:val="20"/>
        </w:rPr>
        <w:t>apud</w:t>
      </w:r>
      <w:r w:rsidR="00230308">
        <w:rPr>
          <w:rStyle w:val="nfase"/>
          <w:rFonts w:ascii="Arial" w:hAnsi="Arial" w:cs="Arial"/>
          <w:i w:val="0"/>
          <w:color w:val="090909"/>
          <w:sz w:val="20"/>
          <w:szCs w:val="20"/>
        </w:rPr>
        <w:t xml:space="preserve"> </w:t>
      </w:r>
      <w:r>
        <w:rPr>
          <w:rStyle w:val="nfase"/>
          <w:rFonts w:ascii="Arial" w:hAnsi="Arial" w:cs="Arial"/>
          <w:i w:val="0"/>
          <w:color w:val="090909"/>
          <w:sz w:val="20"/>
          <w:szCs w:val="20"/>
        </w:rPr>
        <w:t>CARVALHO, 2006)</w:t>
      </w:r>
    </w:p>
    <w:p w:rsidR="008C4254" w:rsidRPr="008C4254" w:rsidRDefault="008C4254" w:rsidP="008C4254">
      <w:pPr>
        <w:spacing w:line="360" w:lineRule="auto"/>
        <w:ind w:firstLine="851"/>
        <w:jc w:val="both"/>
        <w:rPr>
          <w:rStyle w:val="nfase"/>
          <w:rFonts w:ascii="Arial" w:hAnsi="Arial" w:cs="Arial"/>
          <w:i w:val="0"/>
          <w:color w:val="090909"/>
          <w:sz w:val="24"/>
          <w:szCs w:val="24"/>
        </w:rPr>
      </w:pPr>
      <w:r>
        <w:rPr>
          <w:rStyle w:val="nfase"/>
          <w:rFonts w:ascii="Arial" w:hAnsi="Arial" w:cs="Arial"/>
          <w:i w:val="0"/>
          <w:color w:val="090909"/>
          <w:sz w:val="24"/>
          <w:szCs w:val="24"/>
        </w:rPr>
        <w:t>Então, para explicar porque votou contra a resolução nº07/2005 do CNJ, o Ministro Marco Aurélio de Mello afirmou:</w:t>
      </w:r>
    </w:p>
    <w:p w:rsidR="008C4254" w:rsidRPr="008C4254" w:rsidRDefault="008C4254" w:rsidP="00577B43">
      <w:pPr>
        <w:spacing w:line="240" w:lineRule="auto"/>
        <w:ind w:left="2127"/>
        <w:jc w:val="both"/>
        <w:rPr>
          <w:rFonts w:ascii="Arial" w:hAnsi="Arial" w:cs="Arial"/>
          <w:i/>
          <w:sz w:val="20"/>
          <w:szCs w:val="20"/>
        </w:rPr>
      </w:pPr>
      <w:r w:rsidRPr="008C4254">
        <w:rPr>
          <w:rStyle w:val="nfase"/>
          <w:rFonts w:ascii="Arial" w:hAnsi="Arial" w:cs="Arial"/>
          <w:i w:val="0"/>
          <w:sz w:val="20"/>
          <w:szCs w:val="20"/>
        </w:rPr>
        <w:t>Não posso reconhecer o poder normativo do conselho porque a Emenda 45 (Reforma do Judiciário, que criou o CNJ) não prevê esse poder. Prevê outras atribuições, de caráter administrativo. Sendo assim, o conselho não pode editar resoluções com força de lei. Senão, daqui a pouco, não vamos mais precisar do Congresso. Já basta o Executivo com as medidas provisórias. O Supremo é a última trincheira do cidadão que busca preservação de princípios. Ao CNJ compete apenas administrar, assim como ao Conselho Nacional do Ministério Público. Ao Legislativo compete legislar, aos conselhos compete administrar e conduzir a administração do MP e do Judiciário.</w:t>
      </w:r>
      <w:r>
        <w:rPr>
          <w:rStyle w:val="nfase"/>
          <w:rFonts w:ascii="Arial" w:hAnsi="Arial" w:cs="Arial"/>
          <w:i w:val="0"/>
          <w:sz w:val="20"/>
          <w:szCs w:val="20"/>
        </w:rPr>
        <w:t xml:space="preserve"> </w:t>
      </w:r>
      <w:r w:rsidR="00230308">
        <w:rPr>
          <w:rStyle w:val="nfase"/>
          <w:rFonts w:ascii="Arial" w:hAnsi="Arial" w:cs="Arial"/>
          <w:i w:val="0"/>
          <w:color w:val="090909"/>
          <w:sz w:val="20"/>
          <w:szCs w:val="20"/>
        </w:rPr>
        <w:t xml:space="preserve">(MELLO, 2006, </w:t>
      </w:r>
      <w:r w:rsidR="00230308" w:rsidRPr="00230308">
        <w:rPr>
          <w:rStyle w:val="nfase"/>
          <w:rFonts w:ascii="Arial" w:hAnsi="Arial" w:cs="Arial"/>
          <w:color w:val="090909"/>
          <w:sz w:val="20"/>
          <w:szCs w:val="20"/>
        </w:rPr>
        <w:t>apud</w:t>
      </w:r>
      <w:r w:rsidR="00230308">
        <w:rPr>
          <w:rStyle w:val="nfase"/>
          <w:rFonts w:ascii="Arial" w:hAnsi="Arial" w:cs="Arial"/>
          <w:i w:val="0"/>
          <w:color w:val="090909"/>
          <w:sz w:val="20"/>
          <w:szCs w:val="20"/>
        </w:rPr>
        <w:t xml:space="preserve"> CARVALHO, 2006)</w:t>
      </w:r>
    </w:p>
    <w:p w:rsidR="00BB7561" w:rsidRDefault="00BB7561" w:rsidP="00A31F52">
      <w:pPr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C22B0" w:rsidRDefault="00A31F52" w:rsidP="00A31F52">
      <w:pPr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31F52">
        <w:rPr>
          <w:rFonts w:ascii="Arial" w:hAnsi="Arial" w:cs="Arial"/>
          <w:b/>
          <w:sz w:val="24"/>
          <w:szCs w:val="24"/>
        </w:rPr>
        <w:t>CONCLUSÃO</w:t>
      </w:r>
    </w:p>
    <w:p w:rsidR="00AC74DE" w:rsidRDefault="004C22B0" w:rsidP="00EF3475">
      <w:pPr>
        <w:spacing w:before="120" w:after="12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Percebe-se, portanto, que</w:t>
      </w:r>
      <w:r w:rsidR="00DF646A">
        <w:rPr>
          <w:rFonts w:ascii="Arial" w:hAnsi="Arial" w:cs="Arial"/>
          <w:sz w:val="24"/>
          <w:szCs w:val="24"/>
        </w:rPr>
        <w:t xml:space="preserve"> o Conselho Nacional de Justiça</w:t>
      </w:r>
      <w:r w:rsidR="00EF3475">
        <w:rPr>
          <w:rFonts w:ascii="Arial" w:hAnsi="Arial" w:cs="Arial"/>
          <w:sz w:val="24"/>
          <w:szCs w:val="24"/>
        </w:rPr>
        <w:t>, mesmo tendo em sua composição membros externos à magistratura</w:t>
      </w:r>
      <w:r w:rsidR="00090070">
        <w:rPr>
          <w:rFonts w:ascii="Arial" w:hAnsi="Arial" w:cs="Arial"/>
          <w:sz w:val="24"/>
          <w:szCs w:val="24"/>
        </w:rPr>
        <w:t>,</w:t>
      </w:r>
      <w:r w:rsidR="00EF3475">
        <w:rPr>
          <w:rFonts w:ascii="Arial" w:hAnsi="Arial" w:cs="Arial"/>
          <w:sz w:val="24"/>
          <w:szCs w:val="24"/>
        </w:rPr>
        <w:t xml:space="preserve"> </w:t>
      </w:r>
      <w:r w:rsidR="00090070">
        <w:rPr>
          <w:rFonts w:ascii="Arial" w:hAnsi="Arial" w:cs="Arial"/>
          <w:sz w:val="24"/>
          <w:szCs w:val="24"/>
        </w:rPr>
        <w:t>não fere o princípio da independência dos poderes, pois possui em sua maioria membros do Poder Judiciário.</w:t>
      </w:r>
    </w:p>
    <w:p w:rsidR="00AC74DE" w:rsidRDefault="00263373" w:rsidP="00EF3475">
      <w:pPr>
        <w:spacing w:before="120" w:after="12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Depois de analisada</w:t>
      </w:r>
      <w:r w:rsidR="00AC74DE">
        <w:rPr>
          <w:rFonts w:ascii="Arial" w:hAnsi="Arial" w:cs="Arial"/>
          <w:sz w:val="24"/>
          <w:szCs w:val="24"/>
        </w:rPr>
        <w:t xml:space="preserve"> sua composição, cabe lembrar que há a possibilidade de controle de suas decisões pelo STF, afastando ainda mais a ideia de interferência dos demais poderes sobre o poder julgador. </w:t>
      </w:r>
    </w:p>
    <w:p w:rsidR="004E2373" w:rsidRPr="00230308" w:rsidRDefault="004E2373" w:rsidP="00EF3475">
      <w:pPr>
        <w:spacing w:before="120" w:after="120" w:line="360" w:lineRule="auto"/>
        <w:ind w:firstLine="851"/>
        <w:jc w:val="both"/>
      </w:pPr>
      <w:r>
        <w:rPr>
          <w:rFonts w:ascii="Arial" w:hAnsi="Arial" w:cs="Arial"/>
          <w:sz w:val="24"/>
          <w:szCs w:val="24"/>
        </w:rPr>
        <w:t>Foram estudadas as atribuições conferidas ao CNJ, descobrindo que estas podem ser classificadas em</w:t>
      </w:r>
      <w:r w:rsidRPr="003769AA">
        <w:rPr>
          <w:rFonts w:ascii="Arial" w:hAnsi="Arial" w:cs="Arial"/>
          <w:sz w:val="24"/>
          <w:szCs w:val="24"/>
        </w:rPr>
        <w:t xml:space="preserve"> políticas, administrativas, corre</w:t>
      </w:r>
      <w:r>
        <w:rPr>
          <w:rFonts w:ascii="Arial" w:hAnsi="Arial" w:cs="Arial"/>
          <w:sz w:val="24"/>
          <w:szCs w:val="24"/>
        </w:rPr>
        <w:t>icionais, disciplina</w:t>
      </w:r>
      <w:r w:rsidR="00230308">
        <w:rPr>
          <w:rFonts w:ascii="Arial" w:hAnsi="Arial" w:cs="Arial"/>
          <w:sz w:val="24"/>
          <w:szCs w:val="24"/>
        </w:rPr>
        <w:t>res, informativas e propositivas, todas podendo ser encontradas</w:t>
      </w:r>
      <w:r w:rsidR="00230308" w:rsidRPr="00230308">
        <w:rPr>
          <w:rFonts w:ascii="Arial" w:hAnsi="Arial" w:cs="Arial"/>
          <w:sz w:val="24"/>
          <w:szCs w:val="24"/>
        </w:rPr>
        <w:t xml:space="preserve"> </w:t>
      </w:r>
      <w:r w:rsidR="00230308">
        <w:rPr>
          <w:rFonts w:ascii="Arial" w:hAnsi="Arial" w:cs="Arial"/>
          <w:sz w:val="24"/>
          <w:szCs w:val="24"/>
        </w:rPr>
        <w:t>no parágrafo 4º do artigo 103-B da Constituição Federal.</w:t>
      </w:r>
    </w:p>
    <w:p w:rsidR="003068CA" w:rsidRDefault="004E2373" w:rsidP="003068CA">
      <w:pPr>
        <w:spacing w:before="120" w:after="12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Mas o principal</w:t>
      </w:r>
      <w:r w:rsidR="00AC74DE">
        <w:rPr>
          <w:rFonts w:ascii="Arial" w:hAnsi="Arial" w:cs="Arial"/>
          <w:sz w:val="24"/>
          <w:szCs w:val="24"/>
        </w:rPr>
        <w:t xml:space="preserve"> </w:t>
      </w:r>
      <w:r w:rsidR="00230308">
        <w:rPr>
          <w:rFonts w:ascii="Arial" w:hAnsi="Arial" w:cs="Arial"/>
          <w:sz w:val="24"/>
          <w:szCs w:val="24"/>
        </w:rPr>
        <w:t xml:space="preserve">e mais polêmico </w:t>
      </w:r>
      <w:r w:rsidR="00AC74DE">
        <w:rPr>
          <w:rFonts w:ascii="Arial" w:hAnsi="Arial" w:cs="Arial"/>
          <w:sz w:val="24"/>
          <w:szCs w:val="24"/>
        </w:rPr>
        <w:t xml:space="preserve">poder dado ao Conselho </w:t>
      </w:r>
      <w:r w:rsidR="00230308">
        <w:rPr>
          <w:rFonts w:ascii="Arial" w:hAnsi="Arial" w:cs="Arial"/>
          <w:sz w:val="24"/>
          <w:szCs w:val="24"/>
        </w:rPr>
        <w:t xml:space="preserve">Nacional de Justiça </w:t>
      </w:r>
      <w:r>
        <w:rPr>
          <w:rFonts w:ascii="Arial" w:hAnsi="Arial" w:cs="Arial"/>
          <w:sz w:val="24"/>
          <w:szCs w:val="24"/>
        </w:rPr>
        <w:t xml:space="preserve">é o </w:t>
      </w:r>
      <w:r w:rsidR="00AC74DE">
        <w:rPr>
          <w:rFonts w:ascii="Arial" w:hAnsi="Arial" w:cs="Arial"/>
          <w:sz w:val="24"/>
          <w:szCs w:val="24"/>
        </w:rPr>
        <w:t xml:space="preserve">de expedir atos regulamentares, </w:t>
      </w:r>
      <w:r w:rsidR="00230308">
        <w:rPr>
          <w:rFonts w:ascii="Arial" w:hAnsi="Arial" w:cs="Arial"/>
          <w:sz w:val="24"/>
          <w:szCs w:val="24"/>
        </w:rPr>
        <w:t>defendido pelos Ministros do Supremo Tribunal Federal através da ADC nº 12/DF, que declarou constitucional a Resolução nº 07/05 expedida pelo CNJ</w:t>
      </w:r>
      <w:r w:rsidR="003068CA">
        <w:rPr>
          <w:rFonts w:ascii="Arial" w:hAnsi="Arial" w:cs="Arial"/>
          <w:sz w:val="24"/>
          <w:szCs w:val="24"/>
        </w:rPr>
        <w:t xml:space="preserve">. </w:t>
      </w:r>
      <w:r w:rsidR="00090070">
        <w:rPr>
          <w:rFonts w:ascii="Arial" w:hAnsi="Arial" w:cs="Arial"/>
          <w:sz w:val="24"/>
          <w:szCs w:val="24"/>
        </w:rPr>
        <w:t>Por fim, entendeu-se que o CNJ possui poder para regulamentar a questão do nepotismo</w:t>
      </w:r>
      <w:r w:rsidR="003068CA">
        <w:rPr>
          <w:rFonts w:ascii="Arial" w:hAnsi="Arial" w:cs="Arial"/>
          <w:sz w:val="24"/>
          <w:szCs w:val="24"/>
        </w:rPr>
        <w:t>, mas apenas por considerar que tal resolução não inovou em nada, pois somente efetivou o que está disposto no artigo 37 da Constituição Federal</w:t>
      </w:r>
      <w:r w:rsidR="00AC74DE">
        <w:rPr>
          <w:rFonts w:ascii="Arial" w:hAnsi="Arial" w:cs="Arial"/>
          <w:sz w:val="24"/>
          <w:szCs w:val="24"/>
        </w:rPr>
        <w:t>.</w:t>
      </w:r>
    </w:p>
    <w:p w:rsidR="00AC74DE" w:rsidRDefault="003068CA" w:rsidP="003068CA">
      <w:pPr>
        <w:spacing w:before="120" w:after="120" w:line="360" w:lineRule="auto"/>
        <w:ind w:firstLine="851"/>
        <w:jc w:val="both"/>
        <w:rPr>
          <w:rFonts w:ascii="Arial" w:hAnsi="Arial" w:cs="Arial"/>
          <w:cap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lastRenderedPageBreak/>
        <w:t>O CNJ n</w:t>
      </w:r>
      <w:r w:rsidR="00BD1D15">
        <w:rPr>
          <w:rFonts w:ascii="Arial" w:hAnsi="Arial" w:cs="Arial"/>
          <w:sz w:val="24"/>
          <w:szCs w:val="24"/>
        </w:rPr>
        <w:t>ão pode</w:t>
      </w:r>
      <w:r>
        <w:rPr>
          <w:rFonts w:ascii="Arial" w:hAnsi="Arial" w:cs="Arial"/>
          <w:sz w:val="24"/>
          <w:szCs w:val="24"/>
        </w:rPr>
        <w:t xml:space="preserve"> regulamentar algo que está além do disposto na Constituição Federal</w:t>
      </w:r>
      <w:r w:rsidR="00BD1D15">
        <w:rPr>
          <w:rFonts w:ascii="Arial" w:hAnsi="Arial" w:cs="Arial"/>
          <w:sz w:val="24"/>
          <w:szCs w:val="24"/>
        </w:rPr>
        <w:t>, devendo assim ser analisadas caso a caso suas resoluções, para que não seja ultrapassado o limite de sua competência</w:t>
      </w:r>
      <w:r>
        <w:rPr>
          <w:rFonts w:ascii="Arial" w:hAnsi="Arial" w:cs="Arial"/>
          <w:sz w:val="24"/>
          <w:szCs w:val="24"/>
        </w:rPr>
        <w:t>.</w:t>
      </w:r>
      <w:r w:rsidR="00AC74DE" w:rsidRPr="00AC74DE">
        <w:rPr>
          <w:rFonts w:ascii="Arial" w:hAnsi="Arial" w:cs="Arial"/>
          <w:caps/>
          <w:color w:val="000000"/>
          <w:sz w:val="24"/>
          <w:szCs w:val="24"/>
          <w:shd w:val="clear" w:color="auto" w:fill="FFFFFF"/>
        </w:rPr>
        <w:t xml:space="preserve"> </w:t>
      </w:r>
    </w:p>
    <w:p w:rsidR="00AC74DE" w:rsidRDefault="00F51D92" w:rsidP="00AC74DE">
      <w:pPr>
        <w:spacing w:before="120" w:after="120" w:line="360" w:lineRule="auto"/>
        <w:ind w:firstLine="85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Assim</w:t>
      </w:r>
      <w:r w:rsidR="00BD1D15">
        <w:rPr>
          <w:rFonts w:ascii="Arial" w:hAnsi="Arial" w:cs="Arial"/>
          <w:color w:val="000000"/>
          <w:sz w:val="24"/>
          <w:szCs w:val="24"/>
          <w:shd w:val="clear" w:color="auto" w:fill="FFFFFF"/>
        </w:rPr>
        <w:t>, c</w:t>
      </w:r>
      <w:r w:rsidR="00AC74DE">
        <w:rPr>
          <w:rFonts w:ascii="Arial" w:hAnsi="Arial" w:cs="Arial"/>
          <w:color w:val="000000"/>
          <w:sz w:val="24"/>
          <w:szCs w:val="24"/>
          <w:shd w:val="clear" w:color="auto" w:fill="FFFFFF"/>
        </w:rPr>
        <w:t>om a missão de “contribuir para que a prestação jurisdicional seja realizada com moralidade, eficiência e efetividade, em benefício da sociedade”, o CNJ passa para a população a imagem de que finalmente o foco da justiça está voltado para o povo.</w:t>
      </w:r>
    </w:p>
    <w:p w:rsidR="001523F3" w:rsidRDefault="001523F3" w:rsidP="005C292B">
      <w:pPr>
        <w:spacing w:before="120" w:after="12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523F3" w:rsidRDefault="001523F3" w:rsidP="005C292B">
      <w:pPr>
        <w:spacing w:before="120" w:after="12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523F3" w:rsidRDefault="001523F3" w:rsidP="005C292B">
      <w:pPr>
        <w:spacing w:before="120" w:after="12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523F3" w:rsidRDefault="001523F3" w:rsidP="005C292B">
      <w:pPr>
        <w:spacing w:before="120" w:after="12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523F3" w:rsidRDefault="001523F3" w:rsidP="005C292B">
      <w:pPr>
        <w:spacing w:before="120" w:after="12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8491F" w:rsidRDefault="0028491F" w:rsidP="005C292B">
      <w:pPr>
        <w:spacing w:before="120" w:after="12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C84FFF" w:rsidRDefault="00C84FFF" w:rsidP="005C292B">
      <w:pPr>
        <w:spacing w:before="120" w:after="12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8491F" w:rsidRDefault="0028491F" w:rsidP="005C292B">
      <w:pPr>
        <w:spacing w:before="120" w:after="12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8491F" w:rsidRDefault="0028491F" w:rsidP="005C292B">
      <w:pPr>
        <w:spacing w:before="120" w:after="12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8491F" w:rsidRDefault="0028491F" w:rsidP="005C292B">
      <w:pPr>
        <w:spacing w:before="120" w:after="12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8491F" w:rsidRDefault="0028491F" w:rsidP="005C292B">
      <w:pPr>
        <w:spacing w:before="120" w:after="12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8491F" w:rsidRDefault="0028491F" w:rsidP="005C292B">
      <w:pPr>
        <w:spacing w:before="120" w:after="12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8491F" w:rsidRDefault="0028491F" w:rsidP="005C292B">
      <w:pPr>
        <w:spacing w:before="120" w:after="12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3B05C5" w:rsidRDefault="003B05C5" w:rsidP="005C292B">
      <w:pPr>
        <w:spacing w:before="120" w:after="12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8D3854" w:rsidRDefault="008D3854" w:rsidP="005C292B">
      <w:pPr>
        <w:spacing w:before="120" w:after="12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8D3854" w:rsidRDefault="008D3854" w:rsidP="005C292B">
      <w:pPr>
        <w:spacing w:before="120" w:after="12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8D3854" w:rsidRDefault="008D3854" w:rsidP="005C292B">
      <w:pPr>
        <w:spacing w:before="120" w:after="12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8491F" w:rsidRDefault="0028491F" w:rsidP="005C292B">
      <w:pPr>
        <w:spacing w:before="120" w:after="12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27367" w:rsidRDefault="00127367" w:rsidP="005C292B">
      <w:pPr>
        <w:spacing w:before="120" w:after="12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27367" w:rsidRDefault="00127367" w:rsidP="005C292B">
      <w:pPr>
        <w:spacing w:before="120" w:after="12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5C292B" w:rsidRDefault="005C292B" w:rsidP="00D109A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REFERÊNCIAS</w:t>
      </w:r>
      <w:r w:rsidR="00D109AC">
        <w:rPr>
          <w:rFonts w:ascii="Arial" w:hAnsi="Arial" w:cs="Arial"/>
          <w:sz w:val="24"/>
          <w:szCs w:val="24"/>
        </w:rPr>
        <w:tab/>
      </w:r>
    </w:p>
    <w:p w:rsidR="00D109AC" w:rsidRPr="00A1249D" w:rsidRDefault="00D109AC" w:rsidP="00D109A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D2863" w:rsidRDefault="00DD2863" w:rsidP="005C292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806BA">
        <w:rPr>
          <w:rFonts w:ascii="Arial" w:hAnsi="Arial" w:cs="Arial"/>
          <w:sz w:val="24"/>
          <w:szCs w:val="24"/>
        </w:rPr>
        <w:t xml:space="preserve">BRASIL. Constituição (1988). </w:t>
      </w:r>
      <w:r w:rsidRPr="00F806BA">
        <w:rPr>
          <w:rFonts w:ascii="Arial" w:hAnsi="Arial" w:cs="Arial"/>
          <w:b/>
          <w:sz w:val="24"/>
          <w:szCs w:val="24"/>
        </w:rPr>
        <w:t>Constituição da República Federativa do Brasil</w:t>
      </w:r>
      <w:r w:rsidRPr="00F806BA">
        <w:rPr>
          <w:rFonts w:ascii="Arial" w:hAnsi="Arial" w:cs="Arial"/>
          <w:sz w:val="24"/>
          <w:szCs w:val="24"/>
        </w:rPr>
        <w:t>: promulgada em 5 de outubro de 1988. Organização do texto: Anne Joyce Angher. 12. ed. São Paulo: Rideel, 2011. (Série Vade Mecum 2011).</w:t>
      </w:r>
    </w:p>
    <w:p w:rsidR="00DD2863" w:rsidRDefault="00DD2863" w:rsidP="005C292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44BBC" w:rsidRDefault="00944BBC" w:rsidP="005C292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1249D">
        <w:rPr>
          <w:rFonts w:ascii="Arial" w:hAnsi="Arial" w:cs="Arial"/>
          <w:sz w:val="24"/>
          <w:szCs w:val="24"/>
        </w:rPr>
        <w:t xml:space="preserve">BRASÍLIA. </w:t>
      </w:r>
      <w:r>
        <w:rPr>
          <w:rFonts w:ascii="Arial" w:hAnsi="Arial" w:cs="Arial"/>
          <w:b/>
          <w:sz w:val="24"/>
          <w:szCs w:val="24"/>
        </w:rPr>
        <w:t>Ação D</w:t>
      </w:r>
      <w:r w:rsidR="0053661B">
        <w:rPr>
          <w:rFonts w:ascii="Arial" w:hAnsi="Arial" w:cs="Arial"/>
          <w:b/>
          <w:sz w:val="24"/>
          <w:szCs w:val="24"/>
        </w:rPr>
        <w:t>ecl</w:t>
      </w:r>
      <w:r>
        <w:rPr>
          <w:rFonts w:ascii="Arial" w:hAnsi="Arial" w:cs="Arial"/>
          <w:b/>
          <w:sz w:val="24"/>
          <w:szCs w:val="24"/>
        </w:rPr>
        <w:t>a</w:t>
      </w:r>
      <w:r w:rsidR="0053661B">
        <w:rPr>
          <w:rFonts w:ascii="Arial" w:hAnsi="Arial" w:cs="Arial"/>
          <w:b/>
          <w:sz w:val="24"/>
          <w:szCs w:val="24"/>
        </w:rPr>
        <w:t>ratória</w:t>
      </w:r>
      <w:r>
        <w:rPr>
          <w:rFonts w:ascii="Arial" w:hAnsi="Arial" w:cs="Arial"/>
          <w:b/>
          <w:sz w:val="24"/>
          <w:szCs w:val="24"/>
        </w:rPr>
        <w:t xml:space="preserve"> de C</w:t>
      </w:r>
      <w:r w:rsidRPr="00A1249D">
        <w:rPr>
          <w:rFonts w:ascii="Arial" w:hAnsi="Arial" w:cs="Arial"/>
          <w:b/>
          <w:sz w:val="24"/>
          <w:szCs w:val="24"/>
        </w:rPr>
        <w:t xml:space="preserve">onstitucionalidade nº </w:t>
      </w:r>
      <w:r>
        <w:rPr>
          <w:rFonts w:ascii="Arial" w:hAnsi="Arial" w:cs="Arial"/>
          <w:b/>
          <w:sz w:val="24"/>
          <w:szCs w:val="24"/>
        </w:rPr>
        <w:t>12</w:t>
      </w:r>
      <w:r w:rsidRPr="00A1249D">
        <w:rPr>
          <w:rFonts w:ascii="Arial" w:hAnsi="Arial" w:cs="Arial"/>
          <w:b/>
          <w:sz w:val="24"/>
          <w:szCs w:val="24"/>
        </w:rPr>
        <w:t>/DF</w:t>
      </w:r>
      <w:r>
        <w:rPr>
          <w:rFonts w:ascii="Arial" w:hAnsi="Arial" w:cs="Arial"/>
          <w:sz w:val="24"/>
          <w:szCs w:val="24"/>
        </w:rPr>
        <w:t>. Relator: Ministro Ayres Britto, 2006</w:t>
      </w:r>
      <w:r w:rsidRPr="00A1249D">
        <w:rPr>
          <w:rFonts w:ascii="Arial" w:hAnsi="Arial" w:cs="Arial"/>
          <w:sz w:val="24"/>
          <w:szCs w:val="24"/>
        </w:rPr>
        <w:t xml:space="preserve">. Disponível em: &lt; </w:t>
      </w:r>
      <w:hyperlink r:id="rId7" w:history="1">
        <w:r w:rsidRPr="00944BBC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http://www.stf.jus.br/portal/processo/verProcessoAndamento.asp?incidente=2358461</w:t>
        </w:r>
      </w:hyperlink>
      <w:r>
        <w:rPr>
          <w:rFonts w:ascii="Arial" w:hAnsi="Arial" w:cs="Arial"/>
          <w:sz w:val="24"/>
          <w:szCs w:val="24"/>
        </w:rPr>
        <w:t>&gt; Acesso em 20.05</w:t>
      </w:r>
      <w:r w:rsidRPr="00A1249D">
        <w:rPr>
          <w:rFonts w:ascii="Arial" w:hAnsi="Arial" w:cs="Arial"/>
          <w:sz w:val="24"/>
          <w:szCs w:val="24"/>
        </w:rPr>
        <w:t>.2012.</w:t>
      </w:r>
    </w:p>
    <w:p w:rsidR="00944BBC" w:rsidRDefault="00944BBC" w:rsidP="005C292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C292B" w:rsidRDefault="008D6D86" w:rsidP="005C292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</w:t>
      </w:r>
      <w:r w:rsidR="005C292B" w:rsidRPr="00A1249D">
        <w:rPr>
          <w:rFonts w:ascii="Arial" w:hAnsi="Arial" w:cs="Arial"/>
          <w:sz w:val="24"/>
          <w:szCs w:val="24"/>
        </w:rPr>
        <w:t xml:space="preserve">. </w:t>
      </w:r>
      <w:r w:rsidR="005C292B" w:rsidRPr="00A1249D">
        <w:rPr>
          <w:rFonts w:ascii="Arial" w:hAnsi="Arial" w:cs="Arial"/>
          <w:b/>
          <w:sz w:val="24"/>
          <w:szCs w:val="24"/>
        </w:rPr>
        <w:t>Ação Direta de Inconstitucionalidade nº 3367/DF</w:t>
      </w:r>
      <w:r w:rsidR="005C292B" w:rsidRPr="00A1249D">
        <w:rPr>
          <w:rFonts w:ascii="Arial" w:hAnsi="Arial" w:cs="Arial"/>
          <w:sz w:val="24"/>
          <w:szCs w:val="24"/>
        </w:rPr>
        <w:t xml:space="preserve">. Relator: Ministro Cezar Peluso, 2004. Disponível em: &lt; </w:t>
      </w:r>
      <w:hyperlink r:id="rId8" w:history="1">
        <w:r w:rsidR="005C292B" w:rsidRPr="00A1249D">
          <w:rPr>
            <w:rStyle w:val="Hyperlink"/>
            <w:rFonts w:ascii="Arial" w:hAnsi="Arial" w:cs="Arial"/>
            <w:color w:val="000000"/>
            <w:sz w:val="24"/>
            <w:szCs w:val="24"/>
            <w:u w:val="none"/>
          </w:rPr>
          <w:t>http://www.stf.jus.br/portal/processo/verProcessoAndamento.asp?incidente=2260590</w:t>
        </w:r>
      </w:hyperlink>
      <w:r w:rsidR="005C292B" w:rsidRPr="00A1249D">
        <w:rPr>
          <w:rFonts w:ascii="Arial" w:hAnsi="Arial" w:cs="Arial"/>
          <w:sz w:val="24"/>
          <w:szCs w:val="24"/>
        </w:rPr>
        <w:t xml:space="preserve">&gt; Acesso em 10.03.2012. </w:t>
      </w:r>
    </w:p>
    <w:p w:rsidR="005C292B" w:rsidRPr="00A1249D" w:rsidRDefault="005C292B" w:rsidP="005C292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C292B" w:rsidRDefault="008D6D86" w:rsidP="005C292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</w:t>
      </w:r>
      <w:r w:rsidR="005C292B" w:rsidRPr="00A1249D">
        <w:rPr>
          <w:rFonts w:ascii="Arial" w:hAnsi="Arial" w:cs="Arial"/>
          <w:sz w:val="24"/>
          <w:szCs w:val="24"/>
        </w:rPr>
        <w:t xml:space="preserve">. </w:t>
      </w:r>
      <w:r w:rsidR="005C292B" w:rsidRPr="00A1249D">
        <w:rPr>
          <w:rFonts w:ascii="Arial" w:hAnsi="Arial" w:cs="Arial"/>
          <w:b/>
          <w:sz w:val="24"/>
          <w:szCs w:val="24"/>
        </w:rPr>
        <w:t xml:space="preserve">Ação Direta de Inconstitucionalidade nº </w:t>
      </w:r>
      <w:r w:rsidR="00A5581F">
        <w:rPr>
          <w:rFonts w:ascii="Arial" w:hAnsi="Arial" w:cs="Arial"/>
          <w:b/>
          <w:sz w:val="24"/>
          <w:szCs w:val="24"/>
        </w:rPr>
        <w:t>3823</w:t>
      </w:r>
      <w:r w:rsidR="005C292B" w:rsidRPr="00A1249D">
        <w:rPr>
          <w:rFonts w:ascii="Arial" w:hAnsi="Arial" w:cs="Arial"/>
          <w:b/>
          <w:sz w:val="24"/>
          <w:szCs w:val="24"/>
        </w:rPr>
        <w:t>/DF</w:t>
      </w:r>
      <w:r w:rsidR="005C292B" w:rsidRPr="00A1249D">
        <w:rPr>
          <w:rFonts w:ascii="Arial" w:hAnsi="Arial" w:cs="Arial"/>
          <w:sz w:val="24"/>
          <w:szCs w:val="24"/>
        </w:rPr>
        <w:t>. Rela</w:t>
      </w:r>
      <w:r w:rsidR="00A5581F">
        <w:rPr>
          <w:rFonts w:ascii="Arial" w:hAnsi="Arial" w:cs="Arial"/>
          <w:sz w:val="24"/>
          <w:szCs w:val="24"/>
        </w:rPr>
        <w:t>tora: Ministra Cármen Lúcia, 2006</w:t>
      </w:r>
      <w:r w:rsidR="005C292B" w:rsidRPr="00A1249D">
        <w:rPr>
          <w:rFonts w:ascii="Arial" w:hAnsi="Arial" w:cs="Arial"/>
          <w:sz w:val="24"/>
          <w:szCs w:val="24"/>
        </w:rPr>
        <w:t xml:space="preserve">. Disponível em: &lt; </w:t>
      </w:r>
      <w:hyperlink r:id="rId9" w:history="1">
        <w:r w:rsidR="00A5581F" w:rsidRPr="00A5581F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http://www.stf.jus.br/portal/processo/verProcessoAndamento.asp?incidente=2446999</w:t>
        </w:r>
      </w:hyperlink>
      <w:r w:rsidR="00A5581F" w:rsidRPr="00A1249D">
        <w:rPr>
          <w:rFonts w:ascii="Arial" w:hAnsi="Arial" w:cs="Arial"/>
          <w:sz w:val="24"/>
          <w:szCs w:val="24"/>
        </w:rPr>
        <w:t xml:space="preserve"> </w:t>
      </w:r>
      <w:r w:rsidR="005C292B" w:rsidRPr="00A1249D">
        <w:rPr>
          <w:rFonts w:ascii="Arial" w:hAnsi="Arial" w:cs="Arial"/>
          <w:sz w:val="24"/>
          <w:szCs w:val="24"/>
        </w:rPr>
        <w:t xml:space="preserve">&gt; Acesso em </w:t>
      </w:r>
      <w:r w:rsidR="00A5581F">
        <w:rPr>
          <w:rFonts w:ascii="Arial" w:hAnsi="Arial" w:cs="Arial"/>
          <w:sz w:val="24"/>
          <w:szCs w:val="24"/>
        </w:rPr>
        <w:t>20.05</w:t>
      </w:r>
      <w:r w:rsidR="005C292B" w:rsidRPr="00A1249D">
        <w:rPr>
          <w:rFonts w:ascii="Arial" w:hAnsi="Arial" w:cs="Arial"/>
          <w:sz w:val="24"/>
          <w:szCs w:val="24"/>
        </w:rPr>
        <w:t xml:space="preserve">.2012. </w:t>
      </w:r>
    </w:p>
    <w:p w:rsidR="005C292B" w:rsidRPr="00A1249D" w:rsidRDefault="005C292B" w:rsidP="005C292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C292B" w:rsidRDefault="008D6D86" w:rsidP="005C292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</w:t>
      </w:r>
      <w:r w:rsidR="005C292B" w:rsidRPr="00A1249D">
        <w:rPr>
          <w:rFonts w:ascii="Arial" w:hAnsi="Arial" w:cs="Arial"/>
          <w:sz w:val="24"/>
          <w:szCs w:val="24"/>
        </w:rPr>
        <w:t xml:space="preserve">. </w:t>
      </w:r>
      <w:r w:rsidR="005C292B" w:rsidRPr="00A1249D">
        <w:rPr>
          <w:rFonts w:ascii="Arial" w:hAnsi="Arial" w:cs="Arial"/>
          <w:b/>
          <w:sz w:val="24"/>
          <w:szCs w:val="24"/>
        </w:rPr>
        <w:t>Ação Direta de Inconstitucionalidade nº 4638/DF</w:t>
      </w:r>
      <w:r w:rsidR="005C292B" w:rsidRPr="00A1249D">
        <w:rPr>
          <w:rFonts w:ascii="Arial" w:hAnsi="Arial" w:cs="Arial"/>
          <w:sz w:val="24"/>
          <w:szCs w:val="24"/>
        </w:rPr>
        <w:t xml:space="preserve">. Relator: Ministro Marco Aurélio, 2011. Disponível em: &lt; </w:t>
      </w:r>
      <w:hyperlink r:id="rId10" w:history="1">
        <w:r w:rsidR="005C292B" w:rsidRPr="00A1249D">
          <w:rPr>
            <w:rStyle w:val="Hyperlink"/>
            <w:rFonts w:ascii="Arial" w:hAnsi="Arial" w:cs="Arial"/>
            <w:color w:val="000000"/>
            <w:sz w:val="24"/>
            <w:szCs w:val="24"/>
            <w:u w:val="none"/>
          </w:rPr>
          <w:t>http://www.stf.jus.br/portal/processo/verProcessoAndamento.asp?incidente=4125637</w:t>
        </w:r>
      </w:hyperlink>
      <w:r w:rsidR="005C292B" w:rsidRPr="00A1249D">
        <w:rPr>
          <w:rFonts w:ascii="Arial" w:hAnsi="Arial" w:cs="Arial"/>
          <w:sz w:val="24"/>
          <w:szCs w:val="24"/>
        </w:rPr>
        <w:t xml:space="preserve">&gt; Acesso em 10.03.2012. </w:t>
      </w:r>
    </w:p>
    <w:p w:rsidR="005C292B" w:rsidRDefault="005C292B" w:rsidP="005C292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C292B" w:rsidRDefault="00577B43" w:rsidP="005C292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CARVALHO, Luis Fernando Ribeiro de. </w:t>
      </w:r>
      <w:r w:rsidRPr="001204B2">
        <w:rPr>
          <w:rFonts w:ascii="Arial" w:hAnsi="Arial" w:cs="Arial"/>
          <w:b/>
          <w:sz w:val="24"/>
          <w:szCs w:val="24"/>
        </w:rPr>
        <w:t>Se a lei ceder... Se o CNJ pode legislar, FUNAI e INCRA também devem poder</w:t>
      </w:r>
      <w:r>
        <w:rPr>
          <w:rFonts w:ascii="Arial" w:hAnsi="Arial" w:cs="Arial"/>
          <w:sz w:val="24"/>
          <w:szCs w:val="24"/>
        </w:rPr>
        <w:t>. Revista Consultor Jurídico em 23 de março de 2006. Disponível em:&lt;</w:t>
      </w:r>
      <w:r w:rsidRPr="00577B43">
        <w:t xml:space="preserve"> </w:t>
      </w:r>
      <w:hyperlink r:id="rId11" w:history="1">
        <w:r w:rsidRPr="00577B43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http://www.conjur.com.br/2006-mar-23/cnj_legislar_funai_incra_tambem_poder</w:t>
        </w:r>
      </w:hyperlink>
      <w:r w:rsidR="001204B2">
        <w:rPr>
          <w:rFonts w:ascii="Arial" w:hAnsi="Arial" w:cs="Arial"/>
          <w:sz w:val="24"/>
          <w:szCs w:val="24"/>
        </w:rPr>
        <w:t>&gt; . Acesso em 20.05.2012.</w:t>
      </w:r>
    </w:p>
    <w:p w:rsidR="005C292B" w:rsidRDefault="005C292B" w:rsidP="005C292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C292B" w:rsidRDefault="005C292B" w:rsidP="005C292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MENDES, Gilmar Ferreira</w:t>
      </w:r>
      <w:r w:rsidR="00807C7B">
        <w:rPr>
          <w:rFonts w:ascii="Arial" w:hAnsi="Arial" w:cs="Arial"/>
          <w:sz w:val="24"/>
          <w:szCs w:val="24"/>
        </w:rPr>
        <w:t>; BRANCO, Paulo Gonet; COELHO, Inocêncio Mártires</w:t>
      </w:r>
      <w:r>
        <w:rPr>
          <w:rFonts w:ascii="Arial" w:hAnsi="Arial" w:cs="Arial"/>
          <w:sz w:val="24"/>
          <w:szCs w:val="24"/>
        </w:rPr>
        <w:t xml:space="preserve">. </w:t>
      </w:r>
      <w:r w:rsidRPr="00B43B28">
        <w:rPr>
          <w:rFonts w:ascii="Arial" w:hAnsi="Arial" w:cs="Arial"/>
          <w:b/>
          <w:sz w:val="24"/>
          <w:szCs w:val="24"/>
        </w:rPr>
        <w:t>Curso de Direito Constitucional</w:t>
      </w:r>
      <w:r>
        <w:rPr>
          <w:rFonts w:ascii="Arial" w:hAnsi="Arial" w:cs="Arial"/>
          <w:sz w:val="24"/>
          <w:szCs w:val="24"/>
        </w:rPr>
        <w:t>. 4ª Ed. São Paulo: Saraiva, 2009.</w:t>
      </w:r>
    </w:p>
    <w:p w:rsidR="005C292B" w:rsidRPr="00A1249D" w:rsidRDefault="005C292B" w:rsidP="005C292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C292B" w:rsidRPr="00A1249D" w:rsidRDefault="005C292B" w:rsidP="005C292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1249D">
        <w:rPr>
          <w:rFonts w:ascii="Arial" w:hAnsi="Arial" w:cs="Arial"/>
          <w:sz w:val="24"/>
          <w:szCs w:val="24"/>
        </w:rPr>
        <w:t>PEDERSOLI, Christiane Vieira Soares</w:t>
      </w:r>
      <w:r w:rsidRPr="00A1249D">
        <w:rPr>
          <w:rFonts w:ascii="Arial" w:hAnsi="Arial" w:cs="Arial"/>
          <w:b/>
          <w:sz w:val="24"/>
          <w:szCs w:val="24"/>
        </w:rPr>
        <w:t>. A atribuição regulamentar do Conselho Nacional de Justiça e seus limites: alguns apontamentos sobre o ato administrativo regulamentar e a vinculação da Administração Pública ao princípio da juridicidade</w:t>
      </w:r>
      <w:r w:rsidRPr="00A1249D">
        <w:rPr>
          <w:rFonts w:ascii="Arial" w:hAnsi="Arial" w:cs="Arial"/>
          <w:sz w:val="24"/>
          <w:szCs w:val="24"/>
        </w:rPr>
        <w:t xml:space="preserve">. Belo Horizonte: EJEF, 2009. Disponível em: &lt; </w:t>
      </w:r>
      <w:hyperlink r:id="rId12" w:history="1">
        <w:r w:rsidRPr="00A1249D">
          <w:rPr>
            <w:rStyle w:val="Hyperlink"/>
            <w:rFonts w:ascii="Arial" w:hAnsi="Arial" w:cs="Arial"/>
            <w:color w:val="000000"/>
            <w:sz w:val="24"/>
            <w:szCs w:val="24"/>
            <w:u w:val="none"/>
          </w:rPr>
          <w:t>http://www.ejef.tjmg.jus.br/home/files/publicacoes/artigos/0292009.pdf</w:t>
        </w:r>
      </w:hyperlink>
      <w:r w:rsidRPr="00A1249D">
        <w:rPr>
          <w:rFonts w:ascii="Arial" w:hAnsi="Arial" w:cs="Arial"/>
          <w:color w:val="000000"/>
          <w:sz w:val="24"/>
          <w:szCs w:val="24"/>
        </w:rPr>
        <w:t>&gt;</w:t>
      </w:r>
    </w:p>
    <w:p w:rsidR="005C292B" w:rsidRDefault="005C292B" w:rsidP="005C292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1249D">
        <w:rPr>
          <w:rFonts w:ascii="Arial" w:hAnsi="Arial" w:cs="Arial"/>
          <w:sz w:val="24"/>
          <w:szCs w:val="24"/>
        </w:rPr>
        <w:t>Acesso em: 12.03.2012.</w:t>
      </w:r>
    </w:p>
    <w:p w:rsidR="005C292B" w:rsidRPr="00A1249D" w:rsidRDefault="005C292B" w:rsidP="005C292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C292B" w:rsidRPr="003760DE" w:rsidRDefault="005C292B" w:rsidP="005C292B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A1249D">
        <w:rPr>
          <w:rFonts w:ascii="Arial" w:hAnsi="Arial" w:cs="Arial"/>
          <w:sz w:val="24"/>
          <w:szCs w:val="24"/>
        </w:rPr>
        <w:t xml:space="preserve">SAMPAIO, José Adércio Leite. </w:t>
      </w:r>
      <w:r w:rsidRPr="00A1249D">
        <w:rPr>
          <w:rFonts w:ascii="Arial" w:hAnsi="Arial" w:cs="Arial"/>
          <w:b/>
          <w:sz w:val="24"/>
          <w:szCs w:val="24"/>
        </w:rPr>
        <w:t>O Conselho Nacional de Justiça e a independência do Judiciário</w:t>
      </w:r>
      <w:r w:rsidRPr="00A1249D">
        <w:rPr>
          <w:rFonts w:ascii="Arial" w:hAnsi="Arial" w:cs="Arial"/>
          <w:sz w:val="24"/>
          <w:szCs w:val="24"/>
        </w:rPr>
        <w:t xml:space="preserve">. </w:t>
      </w:r>
      <w:r w:rsidRPr="003760DE">
        <w:rPr>
          <w:rFonts w:ascii="Arial" w:hAnsi="Arial" w:cs="Arial"/>
          <w:sz w:val="24"/>
          <w:szCs w:val="24"/>
          <w:lang w:val="en-US"/>
        </w:rPr>
        <w:t>Belo Horizonte: Del Rey, 2007.</w:t>
      </w:r>
    </w:p>
    <w:p w:rsidR="005C292B" w:rsidRPr="003760DE" w:rsidRDefault="005C292B" w:rsidP="005C292B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38568D" w:rsidRPr="00577B43" w:rsidRDefault="005C292B" w:rsidP="00577B4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760D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STRECK, Lenio Luiz; SARLET, Ingo Wolfgang</w:t>
      </w:r>
      <w:r w:rsidR="003760D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;</w:t>
      </w:r>
      <w:r w:rsidRPr="003760D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3760DE" w:rsidRPr="003760D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CL</w:t>
      </w:r>
      <w:r w:rsidR="003760D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ÈVE,</w:t>
      </w:r>
      <w:r w:rsidR="003760DE" w:rsidRPr="003760D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hyperlink r:id="rId13" w:history="1">
        <w:r w:rsidR="003760DE" w:rsidRPr="003760DE">
          <w:rPr>
            <w:rStyle w:val="Hyperlink"/>
            <w:rFonts w:ascii="Arial" w:hAnsi="Arial" w:cs="Arial"/>
            <w:color w:val="auto"/>
            <w:sz w:val="24"/>
            <w:szCs w:val="24"/>
            <w:u w:val="none"/>
            <w:lang w:val="en-US"/>
          </w:rPr>
          <w:t>Clèmerson Merlin</w:t>
        </w:r>
      </w:hyperlink>
      <w:r w:rsidRPr="003760DE">
        <w:rPr>
          <w:rFonts w:ascii="Arial" w:hAnsi="Arial" w:cs="Arial"/>
          <w:sz w:val="24"/>
          <w:szCs w:val="24"/>
          <w:lang w:val="en-US"/>
        </w:rPr>
        <w:t>.</w:t>
      </w:r>
      <w:r w:rsidRPr="003760DE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 </w:t>
      </w:r>
      <w:r w:rsidRPr="00A1249D">
        <w:rPr>
          <w:rStyle w:val="Forte"/>
          <w:rFonts w:ascii="Arial" w:hAnsi="Arial" w:cs="Arial"/>
          <w:color w:val="000000"/>
          <w:sz w:val="24"/>
          <w:szCs w:val="24"/>
          <w:shd w:val="clear" w:color="auto" w:fill="FFFFFF"/>
        </w:rPr>
        <w:t>Os limites constitucionais das resoluções do Conselho Nacional de Justiça (CNJ) e Conselho Nacional do Ministério Público (CNMP).</w:t>
      </w:r>
      <w:r w:rsidRPr="00A1249D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A1249D">
        <w:rPr>
          <w:rFonts w:ascii="Arial" w:hAnsi="Arial" w:cs="Arial"/>
          <w:color w:val="000000"/>
          <w:sz w:val="24"/>
          <w:szCs w:val="24"/>
          <w:shd w:val="clear" w:color="auto" w:fill="FFFFFF"/>
        </w:rPr>
        <w:t>Jus Navigandi, Teresina, ano 10, n. 888, 8 dez. 2005. Disponível em:</w:t>
      </w:r>
      <w:r w:rsidRPr="00A1249D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A1249D">
        <w:rPr>
          <w:rStyle w:val="url"/>
          <w:rFonts w:ascii="Arial" w:hAnsi="Arial" w:cs="Arial"/>
          <w:color w:val="0746A8"/>
          <w:sz w:val="24"/>
          <w:szCs w:val="24"/>
          <w:shd w:val="clear" w:color="auto" w:fill="FFFFFF"/>
        </w:rPr>
        <w:t>&lt;</w:t>
      </w:r>
      <w:r w:rsidRPr="00A1249D">
        <w:rPr>
          <w:rFonts w:ascii="Arial" w:hAnsi="Arial" w:cs="Arial"/>
          <w:sz w:val="24"/>
          <w:szCs w:val="24"/>
        </w:rPr>
        <w:t xml:space="preserve"> </w:t>
      </w:r>
      <w:hyperlink r:id="rId14" w:history="1">
        <w:r w:rsidRPr="00A1249D">
          <w:rPr>
            <w:rStyle w:val="Hyperlink"/>
            <w:rFonts w:ascii="Arial" w:hAnsi="Arial" w:cs="Arial"/>
            <w:color w:val="000000"/>
            <w:sz w:val="24"/>
            <w:szCs w:val="24"/>
            <w:u w:val="none"/>
          </w:rPr>
          <w:t>http://jus.com.br/revista/texto/7694/os-limites-constitucionais-das-resolucoes-do-conselho-nacional-de-justica-cnj-e-conselho-nacional-do-ministerio-publico-cnmp</w:t>
        </w:r>
      </w:hyperlink>
      <w:r w:rsidRPr="00A1249D">
        <w:rPr>
          <w:rStyle w:val="url"/>
          <w:rFonts w:ascii="Arial" w:hAnsi="Arial" w:cs="Arial"/>
          <w:color w:val="0746A8"/>
          <w:sz w:val="24"/>
          <w:szCs w:val="24"/>
          <w:shd w:val="clear" w:color="auto" w:fill="FFFFFF"/>
        </w:rPr>
        <w:t>&gt;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A1249D">
        <w:rPr>
          <w:rFonts w:ascii="Arial" w:hAnsi="Arial" w:cs="Arial"/>
          <w:sz w:val="24"/>
          <w:szCs w:val="24"/>
        </w:rPr>
        <w:t xml:space="preserve">Acesso em: 13.03.2012. </w:t>
      </w:r>
    </w:p>
    <w:sectPr w:rsidR="0038568D" w:rsidRPr="00577B43" w:rsidSect="001B77A4">
      <w:headerReference w:type="default" r:id="rId15"/>
      <w:footerReference w:type="default" r:id="rId16"/>
      <w:footerReference w:type="first" r:id="rId17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F6F" w:rsidRDefault="00FB4F6F" w:rsidP="005C292B">
      <w:pPr>
        <w:spacing w:after="0" w:line="240" w:lineRule="auto"/>
      </w:pPr>
      <w:r>
        <w:separator/>
      </w:r>
    </w:p>
  </w:endnote>
  <w:endnote w:type="continuationSeparator" w:id="0">
    <w:p w:rsidR="00FB4F6F" w:rsidRDefault="00FB4F6F" w:rsidP="005C2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7A4" w:rsidRDefault="00FB4F6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27367">
      <w:rPr>
        <w:noProof/>
      </w:rPr>
      <w:t>10</w:t>
    </w:r>
    <w:r>
      <w:rPr>
        <w:noProof/>
      </w:rPr>
      <w:fldChar w:fldCharType="end"/>
    </w:r>
  </w:p>
  <w:p w:rsidR="001B77A4" w:rsidRDefault="001B77A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7A4" w:rsidRDefault="00FB4F6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27367">
      <w:rPr>
        <w:noProof/>
      </w:rPr>
      <w:t>1</w:t>
    </w:r>
    <w:r>
      <w:rPr>
        <w:noProof/>
      </w:rPr>
      <w:fldChar w:fldCharType="end"/>
    </w:r>
  </w:p>
  <w:p w:rsidR="001B77A4" w:rsidRDefault="001B77A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F6F" w:rsidRDefault="00FB4F6F" w:rsidP="005C292B">
      <w:pPr>
        <w:spacing w:after="0" w:line="240" w:lineRule="auto"/>
      </w:pPr>
      <w:r>
        <w:separator/>
      </w:r>
    </w:p>
  </w:footnote>
  <w:footnote w:type="continuationSeparator" w:id="0">
    <w:p w:rsidR="00FB4F6F" w:rsidRDefault="00FB4F6F" w:rsidP="005C292B">
      <w:pPr>
        <w:spacing w:after="0" w:line="240" w:lineRule="auto"/>
      </w:pPr>
      <w:r>
        <w:continuationSeparator/>
      </w:r>
    </w:p>
  </w:footnote>
  <w:footnote w:id="1">
    <w:p w:rsidR="00172CD9" w:rsidRDefault="001B77A4" w:rsidP="00AC5DCC">
      <w:pPr>
        <w:pStyle w:val="Textodenotadefim"/>
        <w:jc w:val="both"/>
        <w:rPr>
          <w:rFonts w:ascii="Arial" w:hAnsi="Arial" w:cs="Arial"/>
        </w:rPr>
      </w:pPr>
      <w:r w:rsidRPr="00AC5DCC">
        <w:rPr>
          <w:rStyle w:val="Refdenotaderodap"/>
          <w:rFonts w:ascii="Arial" w:hAnsi="Arial" w:cs="Arial"/>
          <w:vertAlign w:val="baseline"/>
        </w:rPr>
        <w:footnoteRef/>
      </w:r>
      <w:r w:rsidRPr="00AC5DCC">
        <w:rPr>
          <w:rFonts w:ascii="Arial" w:hAnsi="Arial" w:cs="Arial"/>
        </w:rPr>
        <w:t xml:space="preserve"> </w:t>
      </w:r>
      <w:r w:rsidRPr="000C30C5">
        <w:rPr>
          <w:rFonts w:ascii="Arial" w:hAnsi="Arial" w:cs="Arial"/>
        </w:rPr>
        <w:t>Paper apresentado à disciplina Direito Constitucional I, da Unidad</w:t>
      </w:r>
      <w:r w:rsidR="00172CD9">
        <w:rPr>
          <w:rFonts w:ascii="Arial" w:hAnsi="Arial" w:cs="Arial"/>
        </w:rPr>
        <w:t>e de Ensino Superior Dom Bosco.</w:t>
      </w:r>
    </w:p>
    <w:p w:rsidR="001B77A4" w:rsidRPr="00127367" w:rsidRDefault="001B77A4" w:rsidP="00127367">
      <w:pPr>
        <w:pStyle w:val="Textodenotadefim"/>
        <w:jc w:val="both"/>
        <w:rPr>
          <w:rFonts w:ascii="Arial" w:hAnsi="Arial" w:cs="Arial"/>
        </w:rPr>
      </w:pPr>
      <w:r w:rsidRPr="000C30C5">
        <w:rPr>
          <w:rFonts w:ascii="Arial" w:hAnsi="Arial" w:cs="Arial"/>
        </w:rPr>
        <w:t>2 Discentes do 3º Período, do Curso de Direito, da UNDB.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7A4" w:rsidRDefault="001B77A4">
    <w:pPr>
      <w:pStyle w:val="Cabealho"/>
    </w:pPr>
    <w:r>
      <w:rPr>
        <w:rFonts w:ascii="Arial" w:hAnsi="Arial" w:cs="Arial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92B"/>
    <w:rsid w:val="000018DA"/>
    <w:rsid w:val="000156BF"/>
    <w:rsid w:val="0006448F"/>
    <w:rsid w:val="000735BF"/>
    <w:rsid w:val="00090070"/>
    <w:rsid w:val="000C1D72"/>
    <w:rsid w:val="00112272"/>
    <w:rsid w:val="00113992"/>
    <w:rsid w:val="001204B2"/>
    <w:rsid w:val="00122F43"/>
    <w:rsid w:val="00127367"/>
    <w:rsid w:val="00131A24"/>
    <w:rsid w:val="001334F5"/>
    <w:rsid w:val="001523F3"/>
    <w:rsid w:val="00153796"/>
    <w:rsid w:val="00162171"/>
    <w:rsid w:val="00172CD9"/>
    <w:rsid w:val="001755B3"/>
    <w:rsid w:val="001B77A4"/>
    <w:rsid w:val="00200E05"/>
    <w:rsid w:val="00212EA4"/>
    <w:rsid w:val="00216D28"/>
    <w:rsid w:val="0022491E"/>
    <w:rsid w:val="00230308"/>
    <w:rsid w:val="00263373"/>
    <w:rsid w:val="0028491F"/>
    <w:rsid w:val="00292756"/>
    <w:rsid w:val="002C654C"/>
    <w:rsid w:val="002C6AD3"/>
    <w:rsid w:val="002D01CA"/>
    <w:rsid w:val="002D0FA2"/>
    <w:rsid w:val="002E7EB8"/>
    <w:rsid w:val="003068CA"/>
    <w:rsid w:val="00337F63"/>
    <w:rsid w:val="0035197A"/>
    <w:rsid w:val="003557C2"/>
    <w:rsid w:val="003760DE"/>
    <w:rsid w:val="003769AA"/>
    <w:rsid w:val="003847ED"/>
    <w:rsid w:val="00384D5A"/>
    <w:rsid w:val="0038568D"/>
    <w:rsid w:val="00397903"/>
    <w:rsid w:val="003A6B49"/>
    <w:rsid w:val="003B05C5"/>
    <w:rsid w:val="003B17BF"/>
    <w:rsid w:val="003C3D3F"/>
    <w:rsid w:val="003C7B3B"/>
    <w:rsid w:val="003F60FF"/>
    <w:rsid w:val="00407244"/>
    <w:rsid w:val="004332F9"/>
    <w:rsid w:val="00445183"/>
    <w:rsid w:val="00445C15"/>
    <w:rsid w:val="00451441"/>
    <w:rsid w:val="00467AB7"/>
    <w:rsid w:val="004856B1"/>
    <w:rsid w:val="004C22B0"/>
    <w:rsid w:val="004E2373"/>
    <w:rsid w:val="004F347B"/>
    <w:rsid w:val="00506357"/>
    <w:rsid w:val="0052526A"/>
    <w:rsid w:val="00532DF3"/>
    <w:rsid w:val="0053661B"/>
    <w:rsid w:val="00551E27"/>
    <w:rsid w:val="00562564"/>
    <w:rsid w:val="00576879"/>
    <w:rsid w:val="00577B43"/>
    <w:rsid w:val="00580526"/>
    <w:rsid w:val="00581B6D"/>
    <w:rsid w:val="00585E5D"/>
    <w:rsid w:val="005A1C87"/>
    <w:rsid w:val="005C0D2F"/>
    <w:rsid w:val="005C292B"/>
    <w:rsid w:val="006070C8"/>
    <w:rsid w:val="00610F0C"/>
    <w:rsid w:val="00621E13"/>
    <w:rsid w:val="00625459"/>
    <w:rsid w:val="006449DB"/>
    <w:rsid w:val="006469A5"/>
    <w:rsid w:val="00657482"/>
    <w:rsid w:val="006B199B"/>
    <w:rsid w:val="006B6468"/>
    <w:rsid w:val="006D4881"/>
    <w:rsid w:val="007274D9"/>
    <w:rsid w:val="007345C9"/>
    <w:rsid w:val="0076204B"/>
    <w:rsid w:val="007734D6"/>
    <w:rsid w:val="007C7099"/>
    <w:rsid w:val="007E3671"/>
    <w:rsid w:val="007F021C"/>
    <w:rsid w:val="007F0B13"/>
    <w:rsid w:val="007F194F"/>
    <w:rsid w:val="00807C7B"/>
    <w:rsid w:val="0081651E"/>
    <w:rsid w:val="008302B5"/>
    <w:rsid w:val="00845DC1"/>
    <w:rsid w:val="00864EF3"/>
    <w:rsid w:val="00866507"/>
    <w:rsid w:val="008757AC"/>
    <w:rsid w:val="00876FB9"/>
    <w:rsid w:val="00887291"/>
    <w:rsid w:val="0088777A"/>
    <w:rsid w:val="008A7E3C"/>
    <w:rsid w:val="008C3E4E"/>
    <w:rsid w:val="008C4254"/>
    <w:rsid w:val="008C57ED"/>
    <w:rsid w:val="008D3854"/>
    <w:rsid w:val="008D6D86"/>
    <w:rsid w:val="00934D0B"/>
    <w:rsid w:val="0094363F"/>
    <w:rsid w:val="00944BBC"/>
    <w:rsid w:val="00953133"/>
    <w:rsid w:val="0096652B"/>
    <w:rsid w:val="00975756"/>
    <w:rsid w:val="00992E83"/>
    <w:rsid w:val="009C44A7"/>
    <w:rsid w:val="009E0F02"/>
    <w:rsid w:val="009F27D5"/>
    <w:rsid w:val="00A21F8F"/>
    <w:rsid w:val="00A24834"/>
    <w:rsid w:val="00A31F52"/>
    <w:rsid w:val="00A5581F"/>
    <w:rsid w:val="00AC5DCC"/>
    <w:rsid w:val="00AC74DE"/>
    <w:rsid w:val="00AE1A11"/>
    <w:rsid w:val="00AE7B84"/>
    <w:rsid w:val="00BB13BA"/>
    <w:rsid w:val="00BB7561"/>
    <w:rsid w:val="00BC00CB"/>
    <w:rsid w:val="00BD1D15"/>
    <w:rsid w:val="00BE77C5"/>
    <w:rsid w:val="00BF3315"/>
    <w:rsid w:val="00C83986"/>
    <w:rsid w:val="00C84FFF"/>
    <w:rsid w:val="00C96BC7"/>
    <w:rsid w:val="00CB4824"/>
    <w:rsid w:val="00CB5726"/>
    <w:rsid w:val="00CC56FF"/>
    <w:rsid w:val="00D04EE2"/>
    <w:rsid w:val="00D109AC"/>
    <w:rsid w:val="00D532A8"/>
    <w:rsid w:val="00D87D1A"/>
    <w:rsid w:val="00DC3450"/>
    <w:rsid w:val="00DD2863"/>
    <w:rsid w:val="00DF646A"/>
    <w:rsid w:val="00E61F9E"/>
    <w:rsid w:val="00EA5E91"/>
    <w:rsid w:val="00EA70FD"/>
    <w:rsid w:val="00EB39DA"/>
    <w:rsid w:val="00EC3FAF"/>
    <w:rsid w:val="00EE3236"/>
    <w:rsid w:val="00EF3475"/>
    <w:rsid w:val="00F340EC"/>
    <w:rsid w:val="00F45DEE"/>
    <w:rsid w:val="00F51296"/>
    <w:rsid w:val="00F51D92"/>
    <w:rsid w:val="00FB4F6F"/>
    <w:rsid w:val="00FE0094"/>
    <w:rsid w:val="00FF36E2"/>
    <w:rsid w:val="00FF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9C6E85-75E1-48E0-906C-260F72558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92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C292B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5C292B"/>
  </w:style>
  <w:style w:type="character" w:styleId="Forte">
    <w:name w:val="Strong"/>
    <w:basedOn w:val="Fontepargpadro"/>
    <w:uiPriority w:val="22"/>
    <w:qFormat/>
    <w:rsid w:val="005C292B"/>
    <w:rPr>
      <w:b/>
      <w:bCs/>
    </w:rPr>
  </w:style>
  <w:style w:type="character" w:customStyle="1" w:styleId="url">
    <w:name w:val="url"/>
    <w:basedOn w:val="Fontepargpadro"/>
    <w:rsid w:val="005C292B"/>
  </w:style>
  <w:style w:type="paragraph" w:styleId="Cabealho">
    <w:name w:val="header"/>
    <w:basedOn w:val="Normal"/>
    <w:link w:val="CabealhoChar"/>
    <w:uiPriority w:val="99"/>
    <w:unhideWhenUsed/>
    <w:rsid w:val="005C29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C292B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5C29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C292B"/>
    <w:rPr>
      <w:rFonts w:ascii="Calibri" w:eastAsia="Calibri" w:hAnsi="Calibri"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C292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C292B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C292B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unhideWhenUsed/>
    <w:rsid w:val="005C292B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5C292B"/>
    <w:rPr>
      <w:rFonts w:ascii="Calibri" w:eastAsia="Calibri" w:hAnsi="Calibri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C00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BC00CB"/>
    <w:rPr>
      <w:i/>
      <w:iCs/>
    </w:rPr>
  </w:style>
  <w:style w:type="character" w:styleId="HiperlinkVisitado">
    <w:name w:val="FollowedHyperlink"/>
    <w:basedOn w:val="Fontepargpadro"/>
    <w:uiPriority w:val="99"/>
    <w:semiHidden/>
    <w:unhideWhenUsed/>
    <w:rsid w:val="005252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6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6122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f.jus.br/portal/processo/verProcessoAndamento.asp?incidente=2260590" TargetMode="External"/><Relationship Id="rId13" Type="http://schemas.openxmlformats.org/officeDocument/2006/relationships/hyperlink" Target="http://jus.com.br/revista/autor/clemerson-merlin-clev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f.jus.br/portal/processo/verProcessoAndamento.asp?incidente=2358461" TargetMode="External"/><Relationship Id="rId12" Type="http://schemas.openxmlformats.org/officeDocument/2006/relationships/hyperlink" Target="http://www.ejef.tjmg.jus.br/home/files/publicacoes/artigos/0292009.pdf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onjur.com.br/2006-mar-23/cnj_legislar_funai_incra_tambem_pode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stf.jus.br/portal/processo/verProcessoAndamento.asp?incidente=4125637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tf.jus.br/portal/processo/verProcessoAndamento.asp?incidente=2446999" TargetMode="External"/><Relationship Id="rId14" Type="http://schemas.openxmlformats.org/officeDocument/2006/relationships/hyperlink" Target="http://jus.com.br/revista/texto/7694/os-limites-constitucionais-das-resolucoes-do-conselho-nacional-de-justica-cnj-e-conselho-nacional-do-ministerio-publico-cnmp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037876-96E5-4FEC-AD17-1EF4D1A18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3478</Words>
  <Characters>18787</Characters>
  <Application>Microsoft Office Word</Application>
  <DocSecurity>0</DocSecurity>
  <Lines>156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Residencial</Company>
  <LinksUpToDate>false</LinksUpToDate>
  <CharactersWithSpaces>22221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</dc:creator>
  <cp:keywords/>
  <dc:description/>
  <cp:lastModifiedBy>Gustavo José Gomes Azevedo</cp:lastModifiedBy>
  <cp:revision>2</cp:revision>
  <cp:lastPrinted>2012-05-29T16:29:00Z</cp:lastPrinted>
  <dcterms:created xsi:type="dcterms:W3CDTF">2015-09-25T14:58:00Z</dcterms:created>
  <dcterms:modified xsi:type="dcterms:W3CDTF">2015-09-25T14:58:00Z</dcterms:modified>
</cp:coreProperties>
</file>