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14" w:rsidRPr="00D41228" w:rsidRDefault="003F1C14" w:rsidP="003F1C14">
      <w:pPr>
        <w:autoSpaceDE w:val="0"/>
        <w:autoSpaceDN w:val="0"/>
        <w:adjustRightInd w:val="0"/>
        <w:ind w:right="-710"/>
        <w:jc w:val="center"/>
      </w:pPr>
      <w:r w:rsidRPr="00D41228">
        <w:rPr>
          <w:b/>
        </w:rPr>
        <w:t>MEDIDAS DE SEGURANÇA: A DOENÇA MENTAL E O LIMITE ENTRE A SEGURANÇA E A JUSTIÇA NO DIREITO PENAL BRASILEIRO</w:t>
      </w:r>
      <w:r w:rsidRPr="00D41228">
        <w:rPr>
          <w:rStyle w:val="Refdenotaderodap"/>
        </w:rPr>
        <w:footnoteReference w:id="1"/>
      </w:r>
    </w:p>
    <w:p w:rsidR="003F1C14" w:rsidRPr="00D41228" w:rsidRDefault="003F1C14" w:rsidP="003F1C14">
      <w:pPr>
        <w:autoSpaceDE w:val="0"/>
        <w:autoSpaceDN w:val="0"/>
        <w:adjustRightInd w:val="0"/>
        <w:ind w:right="-710"/>
      </w:pPr>
    </w:p>
    <w:p w:rsidR="003F1C14" w:rsidRPr="00A83C8D" w:rsidRDefault="003F1C14" w:rsidP="003F1C14">
      <w:pPr>
        <w:autoSpaceDE w:val="0"/>
        <w:autoSpaceDN w:val="0"/>
        <w:adjustRightInd w:val="0"/>
        <w:ind w:right="-710"/>
        <w:jc w:val="right"/>
        <w:rPr>
          <w:i/>
          <w:sz w:val="20"/>
          <w:szCs w:val="20"/>
        </w:rPr>
      </w:pPr>
      <w:r w:rsidRPr="00A83C8D">
        <w:rPr>
          <w:i/>
          <w:sz w:val="20"/>
          <w:szCs w:val="20"/>
        </w:rPr>
        <w:t>Isabela Pessoa Lima</w:t>
      </w:r>
      <w:r w:rsidRPr="00A83C8D">
        <w:rPr>
          <w:rStyle w:val="Refdenotaderodap"/>
          <w:i/>
          <w:sz w:val="20"/>
          <w:szCs w:val="20"/>
        </w:rPr>
        <w:footnoteReference w:id="2"/>
      </w:r>
    </w:p>
    <w:p w:rsidR="003F1C14" w:rsidRPr="00A83C8D" w:rsidRDefault="003F1C14" w:rsidP="003F1C14">
      <w:pPr>
        <w:autoSpaceDE w:val="0"/>
        <w:autoSpaceDN w:val="0"/>
        <w:adjustRightInd w:val="0"/>
        <w:ind w:right="-710"/>
        <w:jc w:val="right"/>
        <w:rPr>
          <w:i/>
          <w:sz w:val="20"/>
          <w:szCs w:val="20"/>
        </w:rPr>
      </w:pPr>
      <w:r w:rsidRPr="00A83C8D">
        <w:rPr>
          <w:i/>
          <w:sz w:val="20"/>
          <w:szCs w:val="20"/>
        </w:rPr>
        <w:t>Larissa Saraiva Garrido</w:t>
      </w:r>
      <w:r w:rsidRPr="00A83C8D">
        <w:rPr>
          <w:rStyle w:val="Refdenotaderodap"/>
          <w:i/>
          <w:sz w:val="20"/>
          <w:szCs w:val="20"/>
        </w:rPr>
        <w:footnoteReference w:id="3"/>
      </w:r>
    </w:p>
    <w:p w:rsidR="003F1C14" w:rsidRPr="00A83C8D" w:rsidRDefault="003F1C14" w:rsidP="003F1C14">
      <w:pPr>
        <w:autoSpaceDE w:val="0"/>
        <w:autoSpaceDN w:val="0"/>
        <w:adjustRightInd w:val="0"/>
        <w:ind w:right="-710"/>
        <w:jc w:val="right"/>
        <w:rPr>
          <w:rFonts w:eastAsiaTheme="minorHAnsi"/>
          <w:i/>
          <w:color w:val="000000"/>
          <w:sz w:val="20"/>
          <w:szCs w:val="20"/>
          <w:lang w:eastAsia="en-US"/>
        </w:rPr>
      </w:pPr>
      <w:r w:rsidRPr="00A83C8D">
        <w:rPr>
          <w:i/>
          <w:sz w:val="20"/>
          <w:szCs w:val="20"/>
        </w:rPr>
        <w:t>Orientadora:</w:t>
      </w:r>
      <w:r w:rsidRPr="00A83C8D">
        <w:rPr>
          <w:rFonts w:eastAsiaTheme="minorHAnsi"/>
          <w:i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/>
          <w:i/>
          <w:color w:val="000000"/>
          <w:sz w:val="20"/>
          <w:szCs w:val="20"/>
          <w:lang w:eastAsia="en-US"/>
        </w:rPr>
        <w:t xml:space="preserve">Maria do </w:t>
      </w:r>
      <w:r w:rsidRPr="00A83C8D">
        <w:rPr>
          <w:rFonts w:eastAsiaTheme="minorHAnsi"/>
          <w:i/>
          <w:color w:val="000000"/>
          <w:sz w:val="20"/>
          <w:szCs w:val="20"/>
          <w:lang w:eastAsia="en-US"/>
        </w:rPr>
        <w:t xml:space="preserve">Socorro </w:t>
      </w:r>
      <w:r>
        <w:rPr>
          <w:rFonts w:eastAsiaTheme="minorHAnsi"/>
          <w:i/>
          <w:color w:val="000000"/>
          <w:sz w:val="20"/>
          <w:szCs w:val="20"/>
          <w:lang w:eastAsia="en-US"/>
        </w:rPr>
        <w:t xml:space="preserve">Almeida de </w:t>
      </w:r>
      <w:r w:rsidRPr="00A83C8D">
        <w:rPr>
          <w:rFonts w:eastAsiaTheme="minorHAnsi"/>
          <w:i/>
          <w:color w:val="000000"/>
          <w:sz w:val="20"/>
          <w:szCs w:val="20"/>
          <w:lang w:eastAsia="en-US"/>
        </w:rPr>
        <w:t>Carvalho</w:t>
      </w:r>
    </w:p>
    <w:p w:rsidR="003F1C14" w:rsidRPr="00D41228" w:rsidRDefault="003F1C14" w:rsidP="003F1C14">
      <w:pPr>
        <w:ind w:right="-710"/>
      </w:pPr>
      <w:bookmarkStart w:id="0" w:name="_GoBack"/>
      <w:bookmarkEnd w:id="0"/>
    </w:p>
    <w:p w:rsidR="003F1C14" w:rsidRDefault="003F1C14" w:rsidP="003F1C14">
      <w:pPr>
        <w:tabs>
          <w:tab w:val="left" w:pos="720"/>
        </w:tabs>
        <w:autoSpaceDE w:val="0"/>
        <w:autoSpaceDN w:val="0"/>
        <w:adjustRightInd w:val="0"/>
        <w:ind w:left="2552" w:right="-710"/>
        <w:jc w:val="both"/>
        <w:rPr>
          <w:rFonts w:eastAsiaTheme="minorHAnsi"/>
          <w:sz w:val="20"/>
          <w:szCs w:val="20"/>
          <w:lang w:eastAsia="en-US"/>
        </w:rPr>
      </w:pPr>
      <w:r w:rsidRPr="00D41228">
        <w:rPr>
          <w:b/>
          <w:sz w:val="20"/>
          <w:szCs w:val="20"/>
        </w:rPr>
        <w:t>Sumário:</w:t>
      </w:r>
      <w:r>
        <w:rPr>
          <w:sz w:val="20"/>
          <w:szCs w:val="20"/>
        </w:rPr>
        <w:t xml:space="preserve"> Introdução; 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</w:t>
      </w:r>
      <w:r w:rsidRPr="00D41228">
        <w:rPr>
          <w:sz w:val="20"/>
          <w:szCs w:val="20"/>
        </w:rPr>
        <w:t>Das medidas de segurança</w:t>
      </w:r>
      <w:r>
        <w:rPr>
          <w:sz w:val="20"/>
          <w:szCs w:val="20"/>
        </w:rPr>
        <w:t xml:space="preserve"> e pressupostos</w:t>
      </w:r>
      <w:r>
        <w:rPr>
          <w:rFonts w:eastAsiaTheme="minorHAnsi"/>
          <w:sz w:val="20"/>
          <w:szCs w:val="20"/>
          <w:lang w:eastAsia="en-US"/>
        </w:rPr>
        <w:t>; 2</w:t>
      </w:r>
      <w:r w:rsidRPr="00D41228">
        <w:rPr>
          <w:rFonts w:eastAsiaTheme="minorHAnsi"/>
          <w:sz w:val="20"/>
          <w:szCs w:val="20"/>
          <w:lang w:eastAsia="en-US"/>
        </w:rPr>
        <w:t xml:space="preserve"> Classificação das medidas de segurança</w:t>
      </w:r>
      <w:r>
        <w:rPr>
          <w:rFonts w:eastAsiaTheme="minorHAnsi"/>
          <w:sz w:val="20"/>
          <w:szCs w:val="20"/>
          <w:lang w:eastAsia="en-US"/>
        </w:rPr>
        <w:t xml:space="preserve">; 3 </w:t>
      </w:r>
      <w:r>
        <w:rPr>
          <w:sz w:val="20"/>
          <w:szCs w:val="20"/>
        </w:rPr>
        <w:t>Inimputabilidade e culpabilidade</w:t>
      </w:r>
      <w:r w:rsidRPr="00D41228">
        <w:rPr>
          <w:rFonts w:eastAsiaTheme="minorHAnsi"/>
          <w:sz w:val="20"/>
          <w:szCs w:val="20"/>
          <w:lang w:eastAsia="en-US"/>
        </w:rPr>
        <w:t>;</w:t>
      </w:r>
      <w:r>
        <w:rPr>
          <w:rFonts w:eastAsiaTheme="minorHAnsi"/>
          <w:sz w:val="20"/>
          <w:szCs w:val="20"/>
          <w:lang w:eastAsia="en-US"/>
        </w:rPr>
        <w:t xml:space="preserve"> 4 </w:t>
      </w:r>
      <w:r>
        <w:rPr>
          <w:sz w:val="20"/>
          <w:szCs w:val="20"/>
        </w:rPr>
        <w:t>Atemporalidade da medida de segurança;</w:t>
      </w:r>
      <w:r w:rsidRPr="00D41228">
        <w:rPr>
          <w:rFonts w:eastAsiaTheme="minorHAnsi"/>
          <w:sz w:val="20"/>
          <w:szCs w:val="20"/>
          <w:lang w:eastAsia="en-US"/>
        </w:rPr>
        <w:t xml:space="preserve"> Conclusão; Referências.</w:t>
      </w:r>
    </w:p>
    <w:p w:rsidR="003F1C14" w:rsidRDefault="003F1C14" w:rsidP="003F1C14">
      <w:pPr>
        <w:tabs>
          <w:tab w:val="left" w:pos="720"/>
        </w:tabs>
        <w:autoSpaceDE w:val="0"/>
        <w:autoSpaceDN w:val="0"/>
        <w:adjustRightInd w:val="0"/>
        <w:ind w:left="2552" w:right="-710"/>
        <w:jc w:val="both"/>
        <w:rPr>
          <w:rFonts w:eastAsiaTheme="minorHAnsi"/>
          <w:sz w:val="20"/>
          <w:szCs w:val="20"/>
          <w:lang w:eastAsia="en-US"/>
        </w:rPr>
      </w:pPr>
    </w:p>
    <w:p w:rsidR="003F1C14" w:rsidRDefault="003F1C14" w:rsidP="003F1C14">
      <w:pPr>
        <w:tabs>
          <w:tab w:val="left" w:pos="720"/>
        </w:tabs>
        <w:autoSpaceDE w:val="0"/>
        <w:autoSpaceDN w:val="0"/>
        <w:adjustRightInd w:val="0"/>
        <w:ind w:left="2552" w:right="-710" w:hanging="2552"/>
        <w:jc w:val="center"/>
        <w:rPr>
          <w:rFonts w:eastAsiaTheme="minorHAnsi"/>
          <w:b/>
          <w:lang w:eastAsia="en-US"/>
        </w:rPr>
      </w:pPr>
      <w:r w:rsidRPr="00256051">
        <w:rPr>
          <w:rFonts w:eastAsiaTheme="minorHAnsi"/>
          <w:b/>
          <w:lang w:eastAsia="en-US"/>
        </w:rPr>
        <w:t>RESUMO</w:t>
      </w:r>
    </w:p>
    <w:p w:rsidR="003F1C14" w:rsidRPr="0027700F" w:rsidRDefault="003F1C14" w:rsidP="003F1C14">
      <w:pPr>
        <w:tabs>
          <w:tab w:val="left" w:pos="720"/>
        </w:tabs>
        <w:autoSpaceDE w:val="0"/>
        <w:autoSpaceDN w:val="0"/>
        <w:adjustRightInd w:val="0"/>
        <w:ind w:left="2552" w:right="-710" w:hanging="2552"/>
        <w:jc w:val="center"/>
        <w:rPr>
          <w:rFonts w:eastAsiaTheme="minorHAnsi"/>
          <w:b/>
          <w:lang w:eastAsia="en-US"/>
        </w:rPr>
      </w:pPr>
    </w:p>
    <w:p w:rsidR="003F1C14" w:rsidRPr="00146EC7" w:rsidRDefault="003F1C14" w:rsidP="003F1C14">
      <w:pPr>
        <w:tabs>
          <w:tab w:val="left" w:pos="720"/>
          <w:tab w:val="left" w:pos="1276"/>
        </w:tabs>
        <w:autoSpaceDE w:val="0"/>
        <w:autoSpaceDN w:val="0"/>
        <w:adjustRightInd w:val="0"/>
        <w:ind w:right="-710"/>
        <w:jc w:val="both"/>
        <w:rPr>
          <w:rFonts w:eastAsiaTheme="minorHAnsi"/>
          <w:lang w:eastAsia="en-US"/>
        </w:rPr>
      </w:pPr>
      <w:r w:rsidRPr="00146EC7">
        <w:t xml:space="preserve">O Brasil apresenta índices de violência catastróficos e elevados. A violência se torna cada vez mais presente na vida de brasileiros e os assustam o fato de ser elevada a participação de inimputáveis e semi-imputáveis </w:t>
      </w:r>
      <w:r>
        <w:t xml:space="preserve">portadores de periculosidade </w:t>
      </w:r>
      <w:r w:rsidRPr="00146EC7">
        <w:t xml:space="preserve">na prática de atos ilícitos. Diante desta discussão no âmbito jurídico penal </w:t>
      </w:r>
      <w:r w:rsidRPr="00146EC7">
        <w:rPr>
          <w:shd w:val="clear" w:color="auto" w:fill="FFFFFF"/>
        </w:rPr>
        <w:t>o presente paper apresenta enquanto temática principal a aplicação das medidas de segurança aos indivíduos que comete</w:t>
      </w:r>
      <w:r>
        <w:rPr>
          <w:shd w:val="clear" w:color="auto" w:fill="FFFFFF"/>
        </w:rPr>
        <w:t xml:space="preserve">m um injusto-penal, - </w:t>
      </w:r>
      <w:r w:rsidRPr="00146EC7">
        <w:rPr>
          <w:shd w:val="clear" w:color="auto" w:fill="FFFFFF"/>
        </w:rPr>
        <w:t>isen</w:t>
      </w:r>
      <w:r>
        <w:rPr>
          <w:shd w:val="clear" w:color="auto" w:fill="FFFFFF"/>
        </w:rPr>
        <w:t>t</w:t>
      </w:r>
      <w:r w:rsidRPr="00146EC7">
        <w:rPr>
          <w:shd w:val="clear" w:color="auto" w:fill="FFFFFF"/>
        </w:rPr>
        <w:t>os de culpabilidade por portarem algum transtorno me</w:t>
      </w:r>
      <w:r>
        <w:rPr>
          <w:shd w:val="clear" w:color="auto" w:fill="FFFFFF"/>
        </w:rPr>
        <w:t>n</w:t>
      </w:r>
      <w:r w:rsidRPr="00146EC7">
        <w:rPr>
          <w:shd w:val="clear" w:color="auto" w:fill="FFFFFF"/>
        </w:rPr>
        <w:t>tal -, e que apresentam periculosidade social, sendo este o elemento l</w:t>
      </w:r>
      <w:r>
        <w:rPr>
          <w:shd w:val="clear" w:color="auto" w:fill="FFFFFF"/>
        </w:rPr>
        <w:t xml:space="preserve">egitimador e requisito para </w:t>
      </w:r>
      <w:r w:rsidRPr="00146EC7">
        <w:rPr>
          <w:shd w:val="clear" w:color="auto" w:fill="FFFFFF"/>
        </w:rPr>
        <w:t>aplicação</w:t>
      </w:r>
      <w:r>
        <w:rPr>
          <w:shd w:val="clear" w:color="auto" w:fill="FFFFFF"/>
        </w:rPr>
        <w:t xml:space="preserve"> das medidas de segurança</w:t>
      </w:r>
      <w:r w:rsidRPr="00146EC7">
        <w:rPr>
          <w:shd w:val="clear" w:color="auto" w:fill="FFFFFF"/>
        </w:rPr>
        <w:t xml:space="preserve">. Para tal, </w:t>
      </w:r>
      <w:r w:rsidRPr="00146EC7">
        <w:rPr>
          <w:rFonts w:eastAsiaTheme="minorHAnsi"/>
          <w:lang w:eastAsia="en-US"/>
        </w:rPr>
        <w:t xml:space="preserve">a estrutura do trabalho se </w:t>
      </w:r>
      <w:r w:rsidRPr="000E7657">
        <w:rPr>
          <w:rFonts w:eastAsiaTheme="minorHAnsi"/>
          <w:lang w:eastAsia="en-US"/>
        </w:rPr>
        <w:t>constituirá através da definição de medida de segurança, as suas espécies e os requisitos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>de inimputabilidade, culpabilidade e atemporalidade.</w:t>
      </w:r>
      <w:r w:rsidRPr="00146EC7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>Juntos estes somarão</w:t>
      </w:r>
      <w:r w:rsidRPr="00146EC7">
        <w:rPr>
          <w:rFonts w:eastAsiaTheme="minorHAnsi"/>
          <w:lang w:eastAsia="en-US"/>
        </w:rPr>
        <w:t xml:space="preserve"> para </w:t>
      </w:r>
      <w:r>
        <w:rPr>
          <w:rFonts w:eastAsiaTheme="minorHAnsi"/>
          <w:lang w:eastAsia="en-US"/>
        </w:rPr>
        <w:t>uma melhor compreensão dest</w:t>
      </w:r>
      <w:r w:rsidRPr="00146EC7">
        <w:rPr>
          <w:rFonts w:eastAsiaTheme="minorHAnsi"/>
          <w:lang w:eastAsia="en-US"/>
        </w:rPr>
        <w:t>e tratamento preventivo e sua consolidação no Código Penal Brasileiro.</w:t>
      </w:r>
    </w:p>
    <w:p w:rsidR="003F1C14" w:rsidRDefault="003F1C14" w:rsidP="003F1C14">
      <w:pPr>
        <w:tabs>
          <w:tab w:val="left" w:pos="720"/>
        </w:tabs>
        <w:autoSpaceDE w:val="0"/>
        <w:autoSpaceDN w:val="0"/>
        <w:adjustRightInd w:val="0"/>
        <w:ind w:right="-710" w:firstLine="1418"/>
        <w:jc w:val="both"/>
        <w:rPr>
          <w:rFonts w:eastAsiaTheme="minorHAnsi"/>
          <w:lang w:eastAsia="en-US"/>
        </w:rPr>
      </w:pPr>
    </w:p>
    <w:p w:rsidR="003F1C14" w:rsidRDefault="003F1C14" w:rsidP="003F1C14">
      <w:pPr>
        <w:tabs>
          <w:tab w:val="left" w:pos="720"/>
        </w:tabs>
        <w:autoSpaceDE w:val="0"/>
        <w:autoSpaceDN w:val="0"/>
        <w:adjustRightInd w:val="0"/>
        <w:ind w:right="-710" w:firstLine="1418"/>
        <w:jc w:val="both"/>
        <w:rPr>
          <w:rFonts w:eastAsiaTheme="minorHAnsi"/>
          <w:lang w:eastAsia="en-US"/>
        </w:rPr>
      </w:pPr>
    </w:p>
    <w:p w:rsidR="003F1C14" w:rsidRPr="00E24F73" w:rsidRDefault="003F1C14" w:rsidP="003F1C14">
      <w:pPr>
        <w:spacing w:line="360" w:lineRule="auto"/>
        <w:ind w:right="-710"/>
        <w:jc w:val="both"/>
        <w:rPr>
          <w:b/>
          <w:bCs/>
        </w:rPr>
      </w:pPr>
      <w:r w:rsidRPr="00E24F73">
        <w:rPr>
          <w:b/>
          <w:bCs/>
        </w:rPr>
        <w:t>INTRODUÇÃO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t>A medida de segurança constitui uma das formas da sanção penal, de natureza essencialmente preventiva, um meio de evitar que o sujeito que praticou um crime previsto no Código Penal e apresenta periculosidade venha a cometer novas infrações penais, configurando um tratamento da pessoa perigosa.</w:t>
      </w:r>
      <w:r w:rsidRPr="000E7657">
        <w:rPr>
          <w:shd w:val="clear" w:color="auto" w:fill="FFFFFF"/>
        </w:rPr>
        <w:t xml:space="preserve"> </w:t>
      </w:r>
      <w:r w:rsidRPr="007332DF">
        <w:t>Estas são destinadas aos inimputáveis e aos semi-imputáveis</w:t>
      </w:r>
      <w:r>
        <w:t xml:space="preserve"> e a </w:t>
      </w:r>
      <w:r>
        <w:rPr>
          <w:shd w:val="clear" w:color="auto" w:fill="FFFFFF"/>
        </w:rPr>
        <w:t>aplicação das medidas de segurança se fundamenta na periculosidade do sujeito, na probabilidade de o indivíduo que cometeu uma conduta ilícita anteriormente prevista em lei cometer novos crimes.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A periculosidade, portanto, é presumida quando o inimputável pratica ato ilícito e típico previsto em lei penal</w:t>
      </w:r>
      <w:r w:rsidRPr="00A80F64">
        <w:rPr>
          <w:shd w:val="clear" w:color="auto" w:fill="FFFFFF"/>
        </w:rPr>
        <w:t xml:space="preserve">. Por apresentarem </w:t>
      </w:r>
      <w:r>
        <w:rPr>
          <w:shd w:val="clear" w:color="auto" w:fill="FFFFFF"/>
        </w:rPr>
        <w:t xml:space="preserve">doença mental ou </w:t>
      </w:r>
      <w:r w:rsidRPr="00A80F64">
        <w:rPr>
          <w:shd w:val="clear" w:color="auto" w:fill="FFFFFF"/>
        </w:rPr>
        <w:t>desenvolvimento mental incompleto esse agente está isento de pena e não possuem capacidade de culpa. Ao invés da aplicação de uma pena,</w:t>
      </w:r>
      <w:r>
        <w:rPr>
          <w:shd w:val="clear" w:color="auto" w:fill="FFFFFF"/>
        </w:rPr>
        <w:t xml:space="preserve"> estes são absolvidos e, em regra, destinados à internação em hospital de custódia e tratamento psiquiátrico (medida de segurança detentiva). Contudo, se o crime previsto for punível com detenção, poderá este ser submetido a tratamento ambulatorial (medida de segurança restritiva). Enquanto aos semi-imputáveis, cabe ao juiz escolher se será </w:t>
      </w:r>
      <w:r>
        <w:rPr>
          <w:shd w:val="clear" w:color="auto" w:fill="FFFFFF"/>
        </w:rPr>
        <w:lastRenderedPageBreak/>
        <w:t>aplicada pena reduzida ou medida de segurança em decorrência de sua menor capacidade de autodeterminação.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internação é aplicada como regra, por prazo indeterminado uma vez que a periculosidade é presumida, mediante perícia médica e com prazo mínimo de </w:t>
      </w:r>
      <w:proofErr w:type="gramStart"/>
      <w:r>
        <w:rPr>
          <w:shd w:val="clear" w:color="auto" w:fill="FFFFFF"/>
        </w:rPr>
        <w:t>1</w:t>
      </w:r>
      <w:proofErr w:type="gramEnd"/>
      <w:r>
        <w:rPr>
          <w:shd w:val="clear" w:color="auto" w:fill="FFFFFF"/>
        </w:rPr>
        <w:t xml:space="preserve"> (um) a 3 (três) anos (</w:t>
      </w:r>
      <w:r w:rsidRPr="00295023">
        <w:t xml:space="preserve">Art. 97 do Código Penal, </w:t>
      </w:r>
      <w:r w:rsidRPr="00295023">
        <w:rPr>
          <w:shd w:val="clear" w:color="auto" w:fill="FFFFFF"/>
        </w:rPr>
        <w:t>§ 1º</w:t>
      </w:r>
      <w:r>
        <w:rPr>
          <w:shd w:val="clear" w:color="auto" w:fill="FFFFFF"/>
        </w:rPr>
        <w:t>) e prevalece sobre o tratamento ambulatorial por conta do seu objetivo que é a retirada dos indivíduos que apresentam periculosidade da sociedade para tratamento, uma forma de defesa e prevenção social.  Uma vez internado o agente inimputável deve permanecer no hospital de custódia e em tratamento psiquiátrico até que a perícia médica realizada de um em um ano determine a cessação da periculosidade.</w:t>
      </w:r>
    </w:p>
    <w:p w:rsidR="003F1C14" w:rsidRDefault="003F1C14" w:rsidP="003F1C14">
      <w:pPr>
        <w:spacing w:line="360" w:lineRule="auto"/>
        <w:ind w:right="-710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Outro aspecto sobre a medida de segurança que será analisado é a constitucionalidade conflitante desta. A Constituição Federal é</w:t>
      </w:r>
      <w:r w:rsidRPr="00295023">
        <w:rPr>
          <w:shd w:val="clear" w:color="auto" w:fill="FFFFFF"/>
        </w:rPr>
        <w:t xml:space="preserve"> clara ao estabelecer que a pena de prisão perpétua </w:t>
      </w:r>
      <w:proofErr w:type="gramStart"/>
      <w:r w:rsidRPr="00295023">
        <w:rPr>
          <w:shd w:val="clear" w:color="auto" w:fill="FFFFFF"/>
        </w:rPr>
        <w:t>é</w:t>
      </w:r>
      <w:proofErr w:type="gramEnd"/>
      <w:r>
        <w:rPr>
          <w:shd w:val="clear" w:color="auto" w:fill="FFFFFF"/>
        </w:rPr>
        <w:t xml:space="preserve"> proibida no Brasil,</w:t>
      </w:r>
      <w:r w:rsidRPr="00295023">
        <w:rPr>
          <w:shd w:val="clear" w:color="auto" w:fill="FFFFFF"/>
        </w:rPr>
        <w:t xml:space="preserve"> o que põe </w:t>
      </w:r>
      <w:r>
        <w:rPr>
          <w:shd w:val="clear" w:color="auto" w:fill="FFFFFF"/>
        </w:rPr>
        <w:t xml:space="preserve">sua constitucionalidade </w:t>
      </w:r>
      <w:r w:rsidRPr="00295023">
        <w:rPr>
          <w:shd w:val="clear" w:color="auto" w:fill="FFFFFF"/>
        </w:rPr>
        <w:t>em instabilidade</w:t>
      </w:r>
      <w:r>
        <w:rPr>
          <w:shd w:val="clear" w:color="auto" w:fill="FFFFFF"/>
        </w:rPr>
        <w:t>, frente aos casos concretos de medidas de segurança que perduram por muito tempo. Isto caracteriza o conflito máximo deste paper – um possível caráter atemporal das medidas de segurança.</w:t>
      </w:r>
    </w:p>
    <w:p w:rsidR="003F1C14" w:rsidRDefault="003F1C14" w:rsidP="003F1C14">
      <w:pPr>
        <w:spacing w:line="360" w:lineRule="auto"/>
        <w:ind w:right="-710"/>
        <w:jc w:val="both"/>
        <w:rPr>
          <w:shd w:val="clear" w:color="auto" w:fill="FFFFFF"/>
        </w:rPr>
      </w:pPr>
    </w:p>
    <w:p w:rsidR="003F1C14" w:rsidRDefault="003F1C14" w:rsidP="003F1C14">
      <w:pPr>
        <w:spacing w:line="360" w:lineRule="auto"/>
        <w:ind w:right="-710"/>
        <w:jc w:val="both"/>
        <w:rPr>
          <w:b/>
        </w:rPr>
      </w:pPr>
      <w:proofErr w:type="gramStart"/>
      <w:r w:rsidRPr="000716D8">
        <w:rPr>
          <w:b/>
        </w:rPr>
        <w:t>1</w:t>
      </w:r>
      <w:proofErr w:type="gramEnd"/>
      <w:r w:rsidRPr="000716D8">
        <w:rPr>
          <w:b/>
        </w:rPr>
        <w:t xml:space="preserve"> DA</w:t>
      </w:r>
      <w:r>
        <w:rPr>
          <w:b/>
        </w:rPr>
        <w:t>S MEDIDAS DE SEGURANÇA E PRESSUPOSTOS</w:t>
      </w:r>
    </w:p>
    <w:p w:rsidR="003F1C14" w:rsidRPr="003907BD" w:rsidRDefault="003F1C14" w:rsidP="003F1C14">
      <w:pPr>
        <w:spacing w:line="360" w:lineRule="auto"/>
        <w:ind w:right="-710" w:firstLine="851"/>
        <w:jc w:val="both"/>
        <w:rPr>
          <w:b/>
          <w:sz w:val="4"/>
          <w:szCs w:val="4"/>
        </w:rPr>
      </w:pP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Fernando </w:t>
      </w:r>
      <w:proofErr w:type="spellStart"/>
      <w:r>
        <w:rPr>
          <w:shd w:val="clear" w:color="auto" w:fill="FFFFFF"/>
        </w:rPr>
        <w:t>Capez</w:t>
      </w:r>
      <w:proofErr w:type="spellEnd"/>
      <w:r>
        <w:rPr>
          <w:shd w:val="clear" w:color="auto" w:fill="FFFFFF"/>
        </w:rPr>
        <w:t xml:space="preserve"> conceitua </w:t>
      </w:r>
      <w:r w:rsidRPr="00A75A48">
        <w:rPr>
          <w:shd w:val="clear" w:color="auto" w:fill="FFFFFF"/>
        </w:rPr>
        <w:t>medidas de segurança como</w:t>
      </w:r>
      <w:r>
        <w:rPr>
          <w:shd w:val="clear" w:color="auto" w:fill="FFFFFF"/>
        </w:rPr>
        <w:t xml:space="preserve"> “</w:t>
      </w:r>
      <w:r w:rsidRPr="00A75A48">
        <w:rPr>
          <w:shd w:val="clear" w:color="auto" w:fill="FFFFFF"/>
        </w:rPr>
        <w:t>sanção penal imposta pelo Estado, na execução de uma sentença, cuja finalidade é exclusivamente preventiva, no sentido de evitar que o autor de uma infração penal que tenha demonstrado periculosidade volte a delinquir</w:t>
      </w:r>
      <w:r>
        <w:rPr>
          <w:shd w:val="clear" w:color="auto" w:fill="FFFFFF"/>
        </w:rPr>
        <w:t xml:space="preserve">” </w:t>
      </w:r>
      <w:r>
        <w:rPr>
          <w:rStyle w:val="Refdenotaderodap"/>
          <w:shd w:val="clear" w:color="auto" w:fill="FFFFFF"/>
        </w:rPr>
        <w:footnoteReference w:id="4"/>
      </w:r>
      <w:r w:rsidRPr="00A75A48">
        <w:rPr>
          <w:shd w:val="clear" w:color="auto" w:fill="FFFFFF"/>
        </w:rPr>
        <w:t>.</w:t>
      </w:r>
    </w:p>
    <w:p w:rsidR="003F1C14" w:rsidRDefault="003F1C14" w:rsidP="003F1C14">
      <w:pPr>
        <w:spacing w:line="360" w:lineRule="auto"/>
        <w:ind w:right="-710" w:firstLine="851"/>
        <w:jc w:val="both"/>
      </w:pPr>
      <w:r>
        <w:rPr>
          <w:shd w:val="clear" w:color="auto" w:fill="FFFFFF"/>
        </w:rPr>
        <w:t>Diante do exposto, interpreta-se que as medidas de segurança são sanções de caráter preventivo ou medidas defensivas da sociedade aplicadas somente aos</w:t>
      </w:r>
      <w:r w:rsidRPr="008B5012">
        <w:rPr>
          <w:shd w:val="clear" w:color="auto" w:fill="FFFFFF"/>
        </w:rPr>
        <w:t xml:space="preserve"> </w:t>
      </w:r>
      <w:r w:rsidRPr="008B5012">
        <w:t>inimputáveis e semi-imputáveis</w:t>
      </w:r>
      <w:r>
        <w:t xml:space="preserve">, ou seja, os sujeitos que não possuem capacidade plena ou parcial, respectivamente, em decorrência da prática de um injusto penal </w:t>
      </w:r>
      <w:r w:rsidRPr="008B5012">
        <w:t>e</w:t>
      </w:r>
      <w:r>
        <w:t>,</w:t>
      </w:r>
      <w:r w:rsidRPr="008B5012">
        <w:t xml:space="preserve"> fixadas</w:t>
      </w:r>
      <w:r>
        <w:t xml:space="preserve"> segundo a periculosidade deste</w:t>
      </w:r>
      <w:r w:rsidRPr="008B5012">
        <w:t xml:space="preserve"> agente</w:t>
      </w:r>
      <w:r>
        <w:t xml:space="preserve"> e aplicadas pelo juiz na sentença por tempo indeterminado, até a cessação da periculosidade.</w:t>
      </w:r>
    </w:p>
    <w:p w:rsidR="003F1C14" w:rsidRDefault="003F1C14" w:rsidP="003F1C14">
      <w:pPr>
        <w:spacing w:line="360" w:lineRule="auto"/>
        <w:ind w:right="-710" w:firstLine="851"/>
        <w:jc w:val="both"/>
      </w:pPr>
      <w:r>
        <w:t>Existem dois sistemas de aplicação da medida de segurança: o duplo binário e o vicariante. Segundo o sistema duplo binário, a pena e a medida de segurança devem ser aplicadas cumulativamente e há possibilidade de aplicação da medida de segurança aos imputáveis, enquanto que de acordo com o sistema vicariante aplica-se a pena ou medida de segurança, alternativamente. O sistema adotado pelo Código Civil brasileiro é o vicariante, aplicando-se aos imputáveis: pena; aos inimputáveis: medida de segurança; e aos semi-imputáveis: pena ou medida de segurança.</w:t>
      </w:r>
    </w:p>
    <w:p w:rsidR="003F1C14" w:rsidRDefault="003F1C14" w:rsidP="003F1C14">
      <w:pPr>
        <w:spacing w:line="360" w:lineRule="auto"/>
        <w:ind w:right="-710" w:firstLine="851"/>
        <w:jc w:val="both"/>
      </w:pPr>
      <w:r>
        <w:lastRenderedPageBreak/>
        <w:t xml:space="preserve">Os pressupostos para a aplicação da medida de segurança são a prática de um crime, a periculosidade do agente e a não imputabilidade (o sujeito para ser responsabilizado deve ser portador de doença mental ou desenvolvimento mental incompleto ou retardado, o que afasta ou diminui a capacidade de entendimento do caráter ilícito do ato que é praticado). </w:t>
      </w:r>
    </w:p>
    <w:p w:rsidR="003F1C14" w:rsidRDefault="00EB1664" w:rsidP="003F1C14">
      <w:pPr>
        <w:spacing w:line="360" w:lineRule="auto"/>
        <w:ind w:right="-710" w:firstLine="851"/>
        <w:jc w:val="both"/>
      </w:pPr>
      <w:r>
        <w:t>Está vedada</w:t>
      </w:r>
      <w:r w:rsidR="003F1C14">
        <w:t>, portanto, a aplicação da medida de segurança na ausência de provas de que o réu cometeu um injusto penal ou quanto estiver extinta a punibilidade (antes ou depois da sentença condenatória de acordo com o art. 96, parágrafo único do Código Penal), ainda que reconhecida a imputabilidade por doença mental.</w:t>
      </w:r>
    </w:p>
    <w:p w:rsidR="003F1C14" w:rsidRPr="00C877F9" w:rsidRDefault="003F1C14" w:rsidP="003F1C14">
      <w:pPr>
        <w:spacing w:line="360" w:lineRule="auto"/>
        <w:ind w:right="-710" w:firstLine="851"/>
        <w:jc w:val="both"/>
      </w:pPr>
      <w:r>
        <w:t xml:space="preserve">A finalidade das medidas de segurança é essencialmente preventiva, diferente da pena que apresenta caráter fundamental retributiva-preventiva tendendo a readaptar socialmente o delinquente. A medida de segurança não é uma pena. A pena baseia-se na culpabilidade do agente, enquanto o sujeito que apresenta doença mental age sem culpa, portanto, a medida de segurança fundamenta-se na periculosidade do agente, visando dar tratamento médico ao inimputável ou semi-imputável que possuem tendências a praticar novas ações danosas, evitando que este volte a delinquir e tornando-o novamente apto para o convívio social. </w:t>
      </w:r>
    </w:p>
    <w:p w:rsidR="003F1C14" w:rsidRDefault="003F1C14" w:rsidP="003F1C14">
      <w:pPr>
        <w:ind w:right="-710"/>
        <w:jc w:val="both"/>
      </w:pPr>
    </w:p>
    <w:p w:rsidR="003F1C14" w:rsidRDefault="003F1C14" w:rsidP="003F1C14">
      <w:pPr>
        <w:ind w:right="-710"/>
        <w:jc w:val="both"/>
        <w:rPr>
          <w:rFonts w:eastAsiaTheme="minorHAnsi"/>
          <w:b/>
          <w:lang w:eastAsia="en-US"/>
        </w:rPr>
      </w:pPr>
      <w:proofErr w:type="gramStart"/>
      <w:r w:rsidRPr="007332DF">
        <w:rPr>
          <w:rFonts w:eastAsiaTheme="minorHAnsi"/>
          <w:b/>
          <w:lang w:eastAsia="en-US"/>
        </w:rPr>
        <w:t>2</w:t>
      </w:r>
      <w:proofErr w:type="gramEnd"/>
      <w:r w:rsidRPr="007332DF">
        <w:rPr>
          <w:rFonts w:eastAsiaTheme="minorHAnsi"/>
          <w:b/>
          <w:lang w:eastAsia="en-US"/>
        </w:rPr>
        <w:t xml:space="preserve"> CLASSIFICAÇÃO DAS MEDIDAS DE SEGURANÇA</w:t>
      </w:r>
    </w:p>
    <w:p w:rsidR="003F1C14" w:rsidRDefault="003F1C14" w:rsidP="003F1C14">
      <w:pPr>
        <w:ind w:right="-710" w:firstLine="851"/>
        <w:jc w:val="both"/>
        <w:rPr>
          <w:b/>
          <w:sz w:val="4"/>
          <w:szCs w:val="4"/>
        </w:rPr>
      </w:pPr>
    </w:p>
    <w:p w:rsidR="003F1C14" w:rsidRPr="00C877F9" w:rsidRDefault="003F1C14" w:rsidP="003F1C14">
      <w:pPr>
        <w:ind w:right="-710" w:firstLine="851"/>
        <w:jc w:val="both"/>
        <w:rPr>
          <w:b/>
          <w:sz w:val="4"/>
          <w:szCs w:val="4"/>
        </w:rPr>
      </w:pPr>
    </w:p>
    <w:p w:rsidR="003F1C14" w:rsidRDefault="003F1C14" w:rsidP="003F1C14">
      <w:pPr>
        <w:spacing w:line="360" w:lineRule="auto"/>
        <w:ind w:right="-710" w:firstLine="851"/>
        <w:jc w:val="both"/>
      </w:pPr>
      <w:r>
        <w:t>A periculosidade constitui a capacidade de praticar atos lesivos. A medida de segurança toma como base a periculosidade de agentes portadores de doença mental, principalmente, os inimputáveis e semi-imputáveis.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t>E</w:t>
      </w:r>
      <w:r w:rsidRPr="000E7657">
        <w:t>stão sujeito</w:t>
      </w:r>
      <w:r>
        <w:t>s</w:t>
      </w:r>
      <w:r w:rsidRPr="000E7657">
        <w:t xml:space="preserve"> à aplicação das med</w:t>
      </w:r>
      <w:r w:rsidRPr="00A80F64">
        <w:t>idas de segurança os</w:t>
      </w:r>
      <w:r>
        <w:t xml:space="preserve"> inimputáveis que são os</w:t>
      </w:r>
      <w:r w:rsidRPr="00A80F64">
        <w:t xml:space="preserve"> indivíduos que sofrem de </w:t>
      </w:r>
      <w:r>
        <w:t xml:space="preserve">doença mental ou desenvolvimento mental </w:t>
      </w:r>
      <w:r>
        <w:rPr>
          <w:shd w:val="clear" w:color="auto" w:fill="FFFFFF"/>
        </w:rPr>
        <w:t xml:space="preserve">incompleto ou retardado, ao tempo da ação ou omissão, </w:t>
      </w:r>
      <w:r w:rsidRPr="000E7657">
        <w:rPr>
          <w:shd w:val="clear" w:color="auto" w:fill="FFFFFF"/>
        </w:rPr>
        <w:t xml:space="preserve">e </w:t>
      </w:r>
      <w:r>
        <w:rPr>
          <w:shd w:val="clear" w:color="auto" w:fill="FFFFFF"/>
        </w:rPr>
        <w:t xml:space="preserve">que </w:t>
      </w:r>
      <w:r w:rsidRPr="000E7657">
        <w:rPr>
          <w:shd w:val="clear" w:color="auto" w:fill="FFFFFF"/>
        </w:rPr>
        <w:t>não podem responder por si judicialmente</w:t>
      </w:r>
      <w:r>
        <w:rPr>
          <w:shd w:val="clear" w:color="auto" w:fill="FFFFFF"/>
        </w:rPr>
        <w:t xml:space="preserve"> por apresentarem-se inteiramente incapazes de entender o caráter ilícito</w:t>
      </w:r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shd w:val="clear" w:color="auto" w:fill="FFFFFF"/>
        </w:rPr>
        <w:t xml:space="preserve"> portanto, isentos de pena (CP, art. 26). 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Na inimputabilidade a medida de segurança é presumida, a prática do crime determina a aplicação da medida de segurança até que cesse a periculosidade, bastando que o laudo médico aponte o retardo mental do agente para que a medida de segurança seja aplicada obrigatoriamente.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 semi-imputabilidade os indivíduos se encontram entre a normalidade e a doença mental. O legislador prevê para estes a necessidade da aplicação da medida de segurança ou redução da pena em 1/3 a 2/3 decorrência de sua menor capacidade de discernimento e autodeterminação do agente, apresentando, portanto, periculosidade à sociedade. O injusto penal cometido por um semi-imputável além de passar por laudo médico que constate a falta de boa saúde mental, deverá ainda ser analisado pelo julgador que decide entre a aplicação da pena </w:t>
      </w:r>
      <w:r>
        <w:rPr>
          <w:shd w:val="clear" w:color="auto" w:fill="FFFFFF"/>
        </w:rPr>
        <w:lastRenderedPageBreak/>
        <w:t>reduzida ou medida de segurança. Trata-se de periculosidade real, ou uma ou outra. Se a decisão for aplicação da medida de segurança esta deve ser fundamentada.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A periculosidade dos inimputáveis e ou semi-imputáveis estão sujeita a duas espécies de medida de segurança, a medida de segurança detentiva (o agente é internado em hospital de custódia para tratamento psiquiátrico) e medida de segurança restritiva (o agente é submetido a tratamento ambulatorial, comparecendo ao hospital nos dias determinado pelo médico que o acompanha).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As características da medida de segurança detentiva são: obrigatoriedade quando a pena imposta pelo juiz for à de reclusão; será aplicada por prazo indeterminado enquanto perdurar a periculosidade do agente; a cessação da periculosidade deve ser comprovada mediante perícia médica e averiguada após um prazo mínimo variável entre um e três anos; a perícia médica poderá ocorrer a qualquer tempo, mesmo antes do prazo previsto em lei (um a três anos) se assim o juiz da execução a determinar (LEP, art. 176).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As características da medida de segurança restritiva são: se o fato é punido com detenção, o juiz escolhe entre a medida de internação ou tratamento ambulatorial; o tratamento ambulatorial perdura enquanto existir periculosidade do agente (prazo indeterminado); a cessação da periculosidade do agente deve ser constatada através de perícia médica após o decurso do prazo mínimo variável entre um e três anos; a perícia médica poderá ocorrer a qualquer tempo, mesmo antes do prazo previsto em lei (entre um e três anos) se assim o juiz da execução a determinar (LEP, art. 176).</w:t>
      </w: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Quanto à possibilidade de aplicação da medida de segurança detentiva em crime apenado com detenção tratando-se de inimputável, o tratamento ambulatorial é facultativo e condicionado a maior ou menor periculosidade do inimputável, cabendo ao juiz à estipulação ou não da medida mais gravosa. Em casos de reclusão, segue como regra a internação em hospital de custódia e tratamento psiquiátrico obrigatório.</w:t>
      </w:r>
    </w:p>
    <w:p w:rsidR="003F1C14" w:rsidRDefault="003F1C14" w:rsidP="00793578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O local da internação do inimputável ou semi-imputável será em um estabelecimento dotado de características hospitalares (art. 99 do CP), e na ausência deste estabelecimento a internação pode dar-se em hospital comum ou particular. A desinternação ou liberação é condicional, devendo ser restabelecida a condição anterior se antes do prazo mínimo previsto em lei (entre um e três anos) o agente praticar qualquer ato que apresente indícios de periculosidade.</w:t>
      </w:r>
    </w:p>
    <w:p w:rsidR="00793578" w:rsidRDefault="00793578" w:rsidP="00793578">
      <w:pPr>
        <w:ind w:right="-710"/>
        <w:jc w:val="both"/>
        <w:rPr>
          <w:rFonts w:eastAsiaTheme="minorHAnsi"/>
          <w:b/>
          <w:lang w:eastAsia="en-US"/>
        </w:rPr>
      </w:pPr>
    </w:p>
    <w:p w:rsidR="00793578" w:rsidRDefault="00793578" w:rsidP="00793578">
      <w:pPr>
        <w:ind w:right="-710"/>
        <w:jc w:val="both"/>
        <w:rPr>
          <w:rFonts w:eastAsiaTheme="minorHAnsi"/>
          <w:b/>
          <w:lang w:eastAsia="en-US"/>
        </w:rPr>
      </w:pPr>
    </w:p>
    <w:p w:rsidR="00793578" w:rsidRDefault="00793578" w:rsidP="00793578">
      <w:pPr>
        <w:ind w:right="-710"/>
        <w:jc w:val="both"/>
        <w:rPr>
          <w:rFonts w:eastAsiaTheme="minorHAnsi"/>
          <w:b/>
          <w:lang w:eastAsia="en-US"/>
        </w:rPr>
      </w:pPr>
    </w:p>
    <w:p w:rsidR="00793578" w:rsidRDefault="00793578" w:rsidP="00793578">
      <w:pPr>
        <w:ind w:right="-710"/>
        <w:jc w:val="both"/>
        <w:rPr>
          <w:rFonts w:eastAsiaTheme="minorHAnsi"/>
          <w:b/>
          <w:lang w:eastAsia="en-US"/>
        </w:rPr>
      </w:pPr>
    </w:p>
    <w:p w:rsidR="00793578" w:rsidRDefault="00793578" w:rsidP="00793578">
      <w:pPr>
        <w:ind w:right="-710"/>
        <w:jc w:val="both"/>
        <w:rPr>
          <w:rFonts w:eastAsiaTheme="minorHAnsi"/>
          <w:b/>
          <w:lang w:eastAsia="en-US"/>
        </w:rPr>
      </w:pPr>
    </w:p>
    <w:p w:rsidR="00793578" w:rsidRDefault="00793578" w:rsidP="00793578">
      <w:pPr>
        <w:ind w:right="-710"/>
        <w:jc w:val="both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lastRenderedPageBreak/>
        <w:t>3</w:t>
      </w:r>
      <w:proofErr w:type="gramEnd"/>
      <w:r>
        <w:rPr>
          <w:rFonts w:eastAsiaTheme="minorHAnsi"/>
          <w:b/>
          <w:lang w:eastAsia="en-US"/>
        </w:rPr>
        <w:t xml:space="preserve"> INIMPUTABILIDADE E CULPABILIDADE</w:t>
      </w:r>
    </w:p>
    <w:p w:rsidR="00793578" w:rsidRDefault="00793578" w:rsidP="00793578">
      <w:pPr>
        <w:ind w:right="-710" w:firstLine="851"/>
        <w:jc w:val="both"/>
        <w:rPr>
          <w:b/>
          <w:sz w:val="4"/>
          <w:szCs w:val="4"/>
        </w:rPr>
      </w:pPr>
    </w:p>
    <w:p w:rsidR="00793578" w:rsidRPr="00C877F9" w:rsidRDefault="00793578" w:rsidP="00793578">
      <w:pPr>
        <w:ind w:right="-710" w:firstLine="851"/>
        <w:jc w:val="both"/>
        <w:rPr>
          <w:b/>
          <w:sz w:val="4"/>
          <w:szCs w:val="4"/>
        </w:rPr>
      </w:pPr>
    </w:p>
    <w:p w:rsidR="003F1C14" w:rsidRDefault="00480754" w:rsidP="00956014">
      <w:pPr>
        <w:spacing w:line="360" w:lineRule="auto"/>
        <w:ind w:right="-710" w:firstLine="851"/>
        <w:jc w:val="both"/>
      </w:pPr>
      <w:r>
        <w:t>No estudo das medidas de segurança, dois elementos são fundamenta</w:t>
      </w:r>
      <w:r w:rsidR="00F41739">
        <w:t>is</w:t>
      </w:r>
      <w:r w:rsidR="00487536">
        <w:t xml:space="preserve">. </w:t>
      </w:r>
      <w:r w:rsidR="00F41739">
        <w:t>A inimputabilidade, iniciada sua explanação no tópico anterior, é uma exceção à imputabilidade: é impossível se atribuir o fato típico e ilícito ao agente</w:t>
      </w:r>
      <w:r w:rsidR="00F41739">
        <w:rPr>
          <w:rStyle w:val="Refdenotaderodap"/>
        </w:rPr>
        <w:footnoteReference w:id="5"/>
      </w:r>
      <w:r w:rsidR="00F41739">
        <w:t xml:space="preserve">. </w:t>
      </w:r>
      <w:proofErr w:type="spellStart"/>
      <w:r w:rsidR="00487536">
        <w:t>Brodt</w:t>
      </w:r>
      <w:proofErr w:type="spellEnd"/>
      <w:r w:rsidR="00487536">
        <w:t xml:space="preserve"> complementa este conceito, atribuindo à inimputabilidade dois elementos: um intelectual (capacidade de entender a ilicitude do fato), e outro volitivo (capacidade de autodeterminação a partir do elemento intelectual).</w:t>
      </w:r>
      <w:proofErr w:type="gramStart"/>
      <w:r w:rsidR="00487536">
        <w:rPr>
          <w:rStyle w:val="Refdenotaderodap"/>
        </w:rPr>
        <w:footnoteReference w:id="6"/>
      </w:r>
      <w:proofErr w:type="gramEnd"/>
    </w:p>
    <w:p w:rsidR="00AE1F9F" w:rsidRDefault="00956014" w:rsidP="00AE1F9F">
      <w:pPr>
        <w:spacing w:line="360" w:lineRule="auto"/>
        <w:ind w:right="-710" w:firstLine="851"/>
        <w:jc w:val="both"/>
      </w:pPr>
      <w:r>
        <w:t>Antes da conceituação da culpabilidade, é necessário enfatizar as noções de direito penal do autor e de direito penal do fato. Na primeira noção, o caráter do agente é analisado pelo direito p</w:t>
      </w:r>
      <w:r w:rsidR="00AE1F9F">
        <w:t xml:space="preserve">enal. Na última, </w:t>
      </w:r>
      <w:proofErr w:type="gramStart"/>
      <w:r w:rsidR="00AE1F9F">
        <w:t>é</w:t>
      </w:r>
      <w:proofErr w:type="gramEnd"/>
      <w:r w:rsidR="00AE1F9F">
        <w:t xml:space="preserve"> analisado os atos do agente, sem considerar o jeito de ser do mesmo. No presente objeto de estudo, o direito penal do fato será relevante para determinar o conceito de culpabilidade, mais especificamente </w:t>
      </w:r>
      <w:proofErr w:type="gramStart"/>
      <w:r w:rsidR="00AE1F9F">
        <w:t>a</w:t>
      </w:r>
      <w:proofErr w:type="gramEnd"/>
      <w:r w:rsidR="00AE1F9F">
        <w:t xml:space="preserve"> culpabilidade do ato. Greco define que esta seria a reprovação do homem por aquilo que ele fez, considerando a sua capacidade de autodeterminação.</w:t>
      </w:r>
      <w:proofErr w:type="gramStart"/>
      <w:r w:rsidR="00AE1F9F">
        <w:rPr>
          <w:rStyle w:val="Refdenotaderodap"/>
        </w:rPr>
        <w:footnoteReference w:id="7"/>
      </w:r>
      <w:proofErr w:type="gramEnd"/>
    </w:p>
    <w:p w:rsidR="00AE1F9F" w:rsidRDefault="00AE1F9F" w:rsidP="00AE1F9F">
      <w:pPr>
        <w:spacing w:line="360" w:lineRule="auto"/>
        <w:ind w:right="-710" w:firstLine="851"/>
        <w:jc w:val="both"/>
      </w:pPr>
      <w:r>
        <w:t>No caso do autor que se aplica a medida de segurança, a imputabilidade se anula, pois o</w:t>
      </w:r>
      <w:r w:rsidR="00EB1664">
        <w:t>s elementos intelectual e volitivo não existem.</w:t>
      </w:r>
      <w:r w:rsidR="00780509">
        <w:t xml:space="preserve"> Concretizando os conceitos, u</w:t>
      </w:r>
      <w:r w:rsidR="00EB1664">
        <w:t>ma pessoa com doença mental, constatada sua incapacidade de compreender o significado dos seus atos, pode come</w:t>
      </w:r>
      <w:r w:rsidR="00780509">
        <w:t xml:space="preserve">ter ilícitos, e não tendo o mesmo grau de reprovação social que uma pessoa saudável. </w:t>
      </w:r>
    </w:p>
    <w:p w:rsidR="00956014" w:rsidRDefault="00780509" w:rsidP="00956014">
      <w:pPr>
        <w:spacing w:line="360" w:lineRule="auto"/>
        <w:ind w:right="-710" w:firstLine="851"/>
        <w:jc w:val="both"/>
      </w:pPr>
      <w:r>
        <w:t>O Código Penal faz referência à inimputabilidade no art. 26, ao isentar de pena o agente que, por doença mental ou desenvolvimento mental incomp</w:t>
      </w:r>
      <w:r w:rsidR="003A325A">
        <w:t>leto ou retardado, era incapaz de entender a ilicitude do fato ou se autodeterminar. Ao isentá-lo de pena, o legislador reconheceu a condição especial desse autor, respeitando o Princípio da Isonomia</w:t>
      </w:r>
      <w:r w:rsidR="001F70AF">
        <w:t>, e atribuindo à medida de segurança uma capacidade curativa.</w:t>
      </w:r>
    </w:p>
    <w:p w:rsidR="001F70AF" w:rsidRDefault="001F70AF" w:rsidP="001F70AF">
      <w:pPr>
        <w:ind w:right="-710"/>
        <w:jc w:val="both"/>
        <w:rPr>
          <w:rFonts w:eastAsiaTheme="minorHAnsi"/>
          <w:b/>
          <w:lang w:eastAsia="en-US"/>
        </w:rPr>
      </w:pPr>
    </w:p>
    <w:p w:rsidR="001F70AF" w:rsidRDefault="001F70AF" w:rsidP="001F70AF">
      <w:pPr>
        <w:ind w:right="-710"/>
        <w:jc w:val="both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4</w:t>
      </w:r>
      <w:proofErr w:type="gramEnd"/>
      <w:r>
        <w:rPr>
          <w:rFonts w:eastAsiaTheme="minorHAnsi"/>
          <w:b/>
          <w:lang w:eastAsia="en-US"/>
        </w:rPr>
        <w:t xml:space="preserve"> ATEMPORALIDADE DA MEDIDA DE SEGURANÇA</w:t>
      </w:r>
    </w:p>
    <w:p w:rsidR="001F70AF" w:rsidRDefault="001F70AF" w:rsidP="001F70AF">
      <w:pPr>
        <w:ind w:right="-710" w:firstLine="851"/>
        <w:jc w:val="both"/>
        <w:rPr>
          <w:b/>
          <w:sz w:val="4"/>
          <w:szCs w:val="4"/>
        </w:rPr>
      </w:pPr>
    </w:p>
    <w:p w:rsidR="001F70AF" w:rsidRPr="00C877F9" w:rsidRDefault="001F70AF" w:rsidP="001F70AF">
      <w:pPr>
        <w:ind w:right="-710" w:firstLine="851"/>
        <w:jc w:val="both"/>
        <w:rPr>
          <w:b/>
          <w:sz w:val="4"/>
          <w:szCs w:val="4"/>
        </w:rPr>
      </w:pPr>
    </w:p>
    <w:p w:rsidR="001F70AF" w:rsidRDefault="001F70AF" w:rsidP="001F70AF">
      <w:pPr>
        <w:spacing w:line="360" w:lineRule="auto"/>
        <w:ind w:right="-710" w:firstLine="851"/>
        <w:jc w:val="both"/>
        <w:rPr>
          <w:shd w:val="clear" w:color="auto" w:fill="FFFFFF"/>
        </w:rPr>
      </w:pPr>
      <w:r w:rsidRPr="001F70AF">
        <w:rPr>
          <w:shd w:val="clear" w:color="auto" w:fill="FFFFFF"/>
        </w:rPr>
        <w:t xml:space="preserve">Há princípios constitucionais e penais que regem a aplicação das medidas de segurança. </w:t>
      </w:r>
      <w:proofErr w:type="spellStart"/>
      <w:r>
        <w:rPr>
          <w:shd w:val="clear" w:color="auto" w:fill="FFFFFF"/>
        </w:rPr>
        <w:t>Mirabete</w:t>
      </w:r>
      <w:proofErr w:type="spellEnd"/>
      <w:r>
        <w:rPr>
          <w:shd w:val="clear" w:color="auto" w:fill="FFFFFF"/>
        </w:rPr>
        <w:t xml:space="preserve"> </w:t>
      </w:r>
      <w:r w:rsidRPr="001F70AF">
        <w:rPr>
          <w:shd w:val="clear" w:color="auto" w:fill="FFFFFF"/>
        </w:rPr>
        <w:t xml:space="preserve">cita em sua obra o princípio da legalidade, sendo possível apenas a imposição prevista em lei. Vige também o princípio da anterioridade – mesmo durante a vigência da lei anterior, que previa expressamente a aplicação da medida de segurança vigente ao tempo da sentença ou da execução já havia manifestações no sentido de que se devia </w:t>
      </w:r>
      <w:r w:rsidRPr="001F70AF">
        <w:rPr>
          <w:shd w:val="clear" w:color="auto" w:fill="FFFFFF"/>
        </w:rPr>
        <w:lastRenderedPageBreak/>
        <w:t>obedecer ao princípio da irretroatividade da lei mais severa.</w:t>
      </w:r>
      <w:r>
        <w:rPr>
          <w:rStyle w:val="Refdenotaderodap"/>
          <w:shd w:val="clear" w:color="auto" w:fill="FFFFFF"/>
        </w:rPr>
        <w:footnoteReference w:id="8"/>
      </w:r>
      <w:r w:rsidRPr="001F70AF">
        <w:rPr>
          <w:shd w:val="clear" w:color="auto" w:fill="FFFFFF"/>
        </w:rPr>
        <w:t xml:space="preserve"> Ainda há, segundo </w:t>
      </w:r>
      <w:r>
        <w:rPr>
          <w:shd w:val="clear" w:color="auto" w:fill="FFFFFF"/>
        </w:rPr>
        <w:t xml:space="preserve">Marques, </w:t>
      </w:r>
      <w:r w:rsidRPr="001F70AF">
        <w:rPr>
          <w:shd w:val="clear" w:color="auto" w:fill="FFFFFF"/>
        </w:rPr>
        <w:t xml:space="preserve">o princípio da </w:t>
      </w:r>
      <w:proofErr w:type="spellStart"/>
      <w:r w:rsidRPr="001F70AF">
        <w:rPr>
          <w:shd w:val="clear" w:color="auto" w:fill="FFFFFF"/>
        </w:rPr>
        <w:t>jurisdicionalidade</w:t>
      </w:r>
      <w:proofErr w:type="spellEnd"/>
      <w:r w:rsidRPr="001F70AF">
        <w:rPr>
          <w:shd w:val="clear" w:color="auto" w:fill="FFFFFF"/>
        </w:rPr>
        <w:t>, definindo que a medida de segurança é aplicável apenas de providência jurisdicional.</w:t>
      </w:r>
      <w:proofErr w:type="gramStart"/>
      <w:r>
        <w:rPr>
          <w:rStyle w:val="Refdenotaderodap"/>
          <w:shd w:val="clear" w:color="auto" w:fill="FFFFFF"/>
        </w:rPr>
        <w:footnoteReference w:id="9"/>
      </w:r>
      <w:proofErr w:type="gramEnd"/>
      <w:r w:rsidR="00573136">
        <w:rPr>
          <w:shd w:val="clear" w:color="auto" w:fill="FFFFFF"/>
        </w:rPr>
        <w:t xml:space="preserve"> </w:t>
      </w:r>
    </w:p>
    <w:p w:rsidR="00573136" w:rsidRDefault="00573136" w:rsidP="001F70AF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A questão da medida de segurança vai tomando um viés contraditório, segundo a doutrina, quando se cita além destes princípios, o princípio constitucional que veda a prisão perpétua. Isto se torna mais grave ainda quando se trata de uma medida de segurança detentiva, cumprida em regime de internação.</w:t>
      </w:r>
      <w:r>
        <w:rPr>
          <w:rStyle w:val="Refdenotaderodap"/>
          <w:shd w:val="clear" w:color="auto" w:fill="FFFFFF"/>
        </w:rPr>
        <w:footnoteReference w:id="10"/>
      </w:r>
      <w:r w:rsidR="009E796D">
        <w:rPr>
          <w:shd w:val="clear" w:color="auto" w:fill="FFFFFF"/>
        </w:rPr>
        <w:t xml:space="preserve"> A maior parte da doutrina afirma que a medida de segurança não tem prazo máximo, como está no dispositivo da lei penal. Porém, é necessário que se compare este entendimento com a opinião minoritária.</w:t>
      </w:r>
    </w:p>
    <w:p w:rsidR="00050802" w:rsidRDefault="00050802" w:rsidP="001F70AF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Dentre as diferentes vertentes, </w:t>
      </w:r>
      <w:proofErr w:type="spellStart"/>
      <w:r>
        <w:rPr>
          <w:shd w:val="clear" w:color="auto" w:fill="FFFFFF"/>
        </w:rPr>
        <w:t>Bitencourt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Copetti</w:t>
      </w:r>
      <w:proofErr w:type="spellEnd"/>
      <w:r>
        <w:rPr>
          <w:shd w:val="clear" w:color="auto" w:fill="FFFFFF"/>
        </w:rPr>
        <w:t xml:space="preserve"> entendem que o fato da medida de segurança apenas um prazo m</w:t>
      </w:r>
      <w:r w:rsidR="005B3BDC">
        <w:rPr>
          <w:shd w:val="clear" w:color="auto" w:fill="FFFFFF"/>
        </w:rPr>
        <w:t>ínimo de duração é inadmissível. O</w:t>
      </w:r>
      <w:r>
        <w:rPr>
          <w:shd w:val="clear" w:color="auto" w:fill="FFFFFF"/>
        </w:rPr>
        <w:t xml:space="preserve"> primeiro critica</w:t>
      </w:r>
      <w:r w:rsidR="005B3BDC">
        <w:rPr>
          <w:shd w:val="clear" w:color="auto" w:fill="FFFFFF"/>
        </w:rPr>
        <w:t xml:space="preserve"> o não estabelecimento de limites da intervenção estatal, sendo o mais correto não ultrapassar o limite máximo da pena abstratamente cominada ao delito, adequando-se assim ao princípio constitucional do uso da prisão perpétua.</w:t>
      </w:r>
      <w:r w:rsidR="005B3BDC">
        <w:rPr>
          <w:rStyle w:val="Refdenotaderodap"/>
          <w:shd w:val="clear" w:color="auto" w:fill="FFFFFF"/>
        </w:rPr>
        <w:footnoteReference w:id="11"/>
      </w:r>
      <w:r w:rsidR="005B3BDC">
        <w:rPr>
          <w:shd w:val="clear" w:color="auto" w:fill="FFFFFF"/>
        </w:rPr>
        <w:t xml:space="preserve"> O último ressalta os argumentos de </w:t>
      </w:r>
      <w:proofErr w:type="spellStart"/>
      <w:r w:rsidR="005B3BDC">
        <w:rPr>
          <w:shd w:val="clear" w:color="auto" w:fill="FFFFFF"/>
        </w:rPr>
        <w:t>Bitencourt</w:t>
      </w:r>
      <w:proofErr w:type="spellEnd"/>
      <w:r w:rsidR="005B3BDC">
        <w:rPr>
          <w:shd w:val="clear" w:color="auto" w:fill="FFFFFF"/>
        </w:rPr>
        <w:t xml:space="preserve">, afirmando que é </w:t>
      </w:r>
      <w:r w:rsidR="004222C7">
        <w:rPr>
          <w:shd w:val="clear" w:color="auto" w:fill="FFFFFF"/>
        </w:rPr>
        <w:t>inaceitável uma medida de segurança que venha a ter uma duração maior que a medida da pena que seria aplicada a um imputável que tivesse sido condenado pelo mesmo delito.</w:t>
      </w:r>
      <w:proofErr w:type="gramStart"/>
      <w:r w:rsidR="004222C7">
        <w:rPr>
          <w:rStyle w:val="Refdenotaderodap"/>
          <w:shd w:val="clear" w:color="auto" w:fill="FFFFFF"/>
        </w:rPr>
        <w:footnoteReference w:id="12"/>
      </w:r>
      <w:proofErr w:type="gramEnd"/>
    </w:p>
    <w:p w:rsidR="004222C7" w:rsidRDefault="004222C7" w:rsidP="001F70AF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Ainda analisando as opiniões doutrinárias, Greco ainda enfatiza a realidade das medidas de segurança. Na sua perspectiva, o Estado não é capaz de fornecer o melhor tratamento para seus doentes, sendo o raciocínio positivado algo utópico. O autor também</w:t>
      </w:r>
      <w:r w:rsidR="009E796D">
        <w:rPr>
          <w:shd w:val="clear" w:color="auto" w:fill="FFFFFF"/>
        </w:rPr>
        <w:t xml:space="preserve"> afirma que há</w:t>
      </w:r>
      <w:r>
        <w:rPr>
          <w:shd w:val="clear" w:color="auto" w:fill="FFFFFF"/>
        </w:rPr>
        <w:t xml:space="preserve"> casos reais que mesmo após longos anos de tratamento, o inimputável não demonstra aptidão ao retorno ao convívio e</w:t>
      </w:r>
      <w:r w:rsidR="009E796D">
        <w:rPr>
          <w:shd w:val="clear" w:color="auto" w:fill="FFFFFF"/>
        </w:rPr>
        <w:t>m</w:t>
      </w:r>
      <w:r>
        <w:rPr>
          <w:shd w:val="clear" w:color="auto" w:fill="FFFFFF"/>
        </w:rPr>
        <w:t xml:space="preserve"> soci</w:t>
      </w:r>
      <w:r w:rsidR="009E796D">
        <w:rPr>
          <w:shd w:val="clear" w:color="auto" w:fill="FFFFFF"/>
        </w:rPr>
        <w:t>edade.</w:t>
      </w:r>
      <w:proofErr w:type="gramStart"/>
      <w:r w:rsidR="009E796D">
        <w:rPr>
          <w:rStyle w:val="Refdenotaderodap"/>
          <w:shd w:val="clear" w:color="auto" w:fill="FFFFFF"/>
        </w:rPr>
        <w:footnoteReference w:id="13"/>
      </w:r>
      <w:proofErr w:type="gramEnd"/>
    </w:p>
    <w:p w:rsidR="009E796D" w:rsidRDefault="009E796D" w:rsidP="001F70AF">
      <w:pPr>
        <w:spacing w:line="360" w:lineRule="auto"/>
        <w:ind w:right="-710" w:firstLine="851"/>
        <w:jc w:val="both"/>
      </w:pPr>
      <w:r>
        <w:rPr>
          <w:shd w:val="clear" w:color="auto" w:fill="FFFFFF"/>
        </w:rPr>
        <w:t xml:space="preserve">É possível citar jurisprudências favoráveis à imposição de limites ao prazo de duração das medidas de segurança. </w:t>
      </w:r>
      <w:r>
        <w:t xml:space="preserve">A Sexta Turma do STJ tem o mesmo entendimento posto por </w:t>
      </w:r>
      <w:proofErr w:type="spellStart"/>
      <w:r>
        <w:t>Bitencourt</w:t>
      </w:r>
      <w:proofErr w:type="spellEnd"/>
      <w:r>
        <w:t>, anter</w:t>
      </w:r>
      <w:r w:rsidR="002D2059">
        <w:t>iormente. Além disto, o STF tem pacificada a medida de segurança com prazo máximo de 30 anos.</w:t>
      </w:r>
      <w:proofErr w:type="gramStart"/>
      <w:r w:rsidR="002D2059">
        <w:rPr>
          <w:rStyle w:val="Refdenotaderodap"/>
        </w:rPr>
        <w:footnoteReference w:id="14"/>
      </w:r>
      <w:proofErr w:type="gramEnd"/>
      <w:r w:rsidR="002D2059">
        <w:t xml:space="preserve"> </w:t>
      </w:r>
    </w:p>
    <w:p w:rsidR="003F1C14" w:rsidRDefault="002D2059" w:rsidP="002D2059">
      <w:pPr>
        <w:spacing w:line="360" w:lineRule="auto"/>
        <w:ind w:right="-710" w:firstLine="851"/>
        <w:jc w:val="both"/>
        <w:rPr>
          <w:shd w:val="clear" w:color="auto" w:fill="FFFFFF"/>
        </w:rPr>
      </w:pPr>
      <w:r>
        <w:lastRenderedPageBreak/>
        <w:t xml:space="preserve">Apesar das perspectivas analisadas anteriormente, a medida de segurança tem como objetivo a cura do agente, a fim de que este volte para o convívio social. </w:t>
      </w:r>
      <w:proofErr w:type="gramStart"/>
      <w:r>
        <w:rPr>
          <w:shd w:val="clear" w:color="auto" w:fill="FFFFFF"/>
        </w:rPr>
        <w:t>Ao mesmo tempo que</w:t>
      </w:r>
      <w:proofErr w:type="gramEnd"/>
      <w:r>
        <w:rPr>
          <w:shd w:val="clear" w:color="auto" w:fill="FFFFFF"/>
        </w:rPr>
        <w:t xml:space="preserve"> se faz a tentativa de regeneração do indivíduo, a sociedade é mantida em segurança, sem esta</w:t>
      </w:r>
      <w:r w:rsidR="00702E31">
        <w:rPr>
          <w:shd w:val="clear" w:color="auto" w:fill="FFFFFF"/>
        </w:rPr>
        <w:t xml:space="preserve">r exposta à periculosidade deste. É necessário que o profissional da saúde verifique se esta pessoa está apta para voltar a conviver em sociedade. </w:t>
      </w:r>
    </w:p>
    <w:p w:rsidR="00702E31" w:rsidRPr="007332DF" w:rsidRDefault="00702E31" w:rsidP="003F1C14">
      <w:pPr>
        <w:ind w:right="-710"/>
        <w:jc w:val="both"/>
        <w:rPr>
          <w:b/>
        </w:rPr>
      </w:pPr>
    </w:p>
    <w:p w:rsidR="00702E31" w:rsidRDefault="003F1C14" w:rsidP="00702E31">
      <w:pPr>
        <w:spacing w:line="360" w:lineRule="auto"/>
        <w:ind w:right="-710"/>
        <w:jc w:val="both"/>
        <w:rPr>
          <w:b/>
        </w:rPr>
      </w:pPr>
      <w:r w:rsidRPr="0085543C">
        <w:rPr>
          <w:b/>
        </w:rPr>
        <w:t>CONCLUSÃO</w:t>
      </w:r>
    </w:p>
    <w:p w:rsidR="003F1C14" w:rsidRPr="0085543C" w:rsidRDefault="001A66EE" w:rsidP="00702E31">
      <w:pPr>
        <w:spacing w:line="360" w:lineRule="auto"/>
        <w:ind w:right="-710" w:firstLine="851"/>
        <w:jc w:val="both"/>
      </w:pPr>
      <w:r>
        <w:t>O presente trabalho apresenta</w:t>
      </w:r>
      <w:r w:rsidR="003F1C14" w:rsidRPr="0085543C">
        <w:t xml:space="preserve"> uma análise das medidas de segurança dispostas no ordenamento jurídico penal brasileiro. As medidas de segurança existentes são o internamento em hospital de custódia ou tratamento psiquiátrico e o tratamento ambulatorial, ambas destinadas ao indivíduo inimputável ou semi-imputável que pratica</w:t>
      </w:r>
      <w:r w:rsidR="003F1C14">
        <w:t>m</w:t>
      </w:r>
      <w:r w:rsidR="003F1C14" w:rsidRPr="0085543C">
        <w:t xml:space="preserve"> um ato ilícito</w:t>
      </w:r>
      <w:r w:rsidR="003F1C14">
        <w:t xml:space="preserve"> punível penalmente</w:t>
      </w:r>
      <w:r w:rsidR="003F1C14" w:rsidRPr="0085543C">
        <w:t xml:space="preserve">. </w:t>
      </w:r>
    </w:p>
    <w:p w:rsidR="003F1C14" w:rsidRDefault="003F1C14" w:rsidP="003F1C14">
      <w:pPr>
        <w:spacing w:line="360" w:lineRule="auto"/>
        <w:ind w:right="-710" w:firstLine="851"/>
        <w:jc w:val="both"/>
        <w:rPr>
          <w:b/>
        </w:rPr>
      </w:pPr>
      <w:r w:rsidRPr="0085543C">
        <w:t>A medida de segurança diferente da pena</w:t>
      </w:r>
      <w:r>
        <w:t xml:space="preserve"> que se fundamenta sobre uma perspectiva retributiva-preventiva</w:t>
      </w:r>
      <w:r w:rsidRPr="0085543C">
        <w:t>, não visa punir o criminoso</w:t>
      </w:r>
      <w:r>
        <w:rPr>
          <w:b/>
        </w:rPr>
        <w:t xml:space="preserve">, </w:t>
      </w:r>
      <w:r w:rsidRPr="000716D8">
        <w:t>mas sim</w:t>
      </w:r>
      <w:r>
        <w:rPr>
          <w:b/>
        </w:rPr>
        <w:t xml:space="preserve"> </w:t>
      </w:r>
      <w:r w:rsidRPr="0085543C">
        <w:t xml:space="preserve">possui natureza essencialmente </w:t>
      </w:r>
      <w:r>
        <w:t xml:space="preserve">preventiva </w:t>
      </w:r>
      <w:r w:rsidRPr="000716D8">
        <w:t xml:space="preserve">no sentido evitar que um sujeito que praticou um </w:t>
      </w:r>
      <w:r>
        <w:t>crime</w:t>
      </w:r>
      <w:r w:rsidRPr="000716D8">
        <w:t xml:space="preserve"> e apresenta periculosidade</w:t>
      </w:r>
      <w:r>
        <w:t xml:space="preserve"> venha a cometer novas infrações penais</w:t>
      </w:r>
      <w:r w:rsidRPr="000716D8">
        <w:t>, buscando o seu tratamento.</w:t>
      </w:r>
      <w:r w:rsidRPr="0085543C">
        <w:rPr>
          <w:b/>
        </w:rPr>
        <w:t xml:space="preserve"> </w:t>
      </w:r>
    </w:p>
    <w:p w:rsidR="003F1C14" w:rsidRPr="00FB1926" w:rsidRDefault="003F1C14" w:rsidP="003F1C14">
      <w:pPr>
        <w:spacing w:line="360" w:lineRule="auto"/>
        <w:ind w:right="-710" w:firstLine="851"/>
        <w:jc w:val="both"/>
      </w:pPr>
      <w:r w:rsidRPr="00FB1926">
        <w:t>Vale ressaltar a importância da divergência doutrinária no tocante à ausência de estipulação de prazo máximo</w:t>
      </w:r>
      <w:r>
        <w:t xml:space="preserve"> d</w:t>
      </w:r>
      <w:r w:rsidRPr="00FB1926">
        <w:t>a aplicação da medida de segurança, uma vez que o Código Penal brasileiro estipula somente prazo mínimo de duração entre um e três anos.</w:t>
      </w:r>
      <w:r>
        <w:t xml:space="preserve"> Parte majoritária da doutrina afirma não existir prazo máximo de duração da aplicação da medida de segurança, contudo, a doutrina minoritária e a Sexta Turma do STJ alegam que seu tempo de aplicação não pode transcender a pena prevista para a infração, enquanto que o Supremo Tribunal Federal valendo-se de analogia com o artigo 75 do Código Penal define que prazo máximo de aplicação da medida de segurança não pode ultrapassar trinta anos.</w:t>
      </w:r>
    </w:p>
    <w:p w:rsidR="003F1C14" w:rsidRPr="009721A4" w:rsidRDefault="003F1C14" w:rsidP="003F1C14">
      <w:pPr>
        <w:spacing w:line="360" w:lineRule="auto"/>
        <w:ind w:right="-710" w:firstLine="851"/>
        <w:jc w:val="both"/>
      </w:pPr>
      <w:r w:rsidRPr="009721A4">
        <w:t xml:space="preserve">Portanto, o objetivo da aplicação das medidas de segurança consiste em oferecer condições de </w:t>
      </w:r>
      <w:r>
        <w:t>recuperação ao indiví</w:t>
      </w:r>
      <w:r w:rsidRPr="009721A4">
        <w:t>duo doente</w:t>
      </w:r>
      <w:r>
        <w:t xml:space="preserve"> por meio de</w:t>
      </w:r>
      <w:r w:rsidRPr="009721A4">
        <w:t xml:space="preserve"> um tratamento eficaz </w:t>
      </w:r>
      <w:r>
        <w:t xml:space="preserve">que busca cessar a </w:t>
      </w:r>
      <w:r w:rsidRPr="009721A4">
        <w:t xml:space="preserve">periculosidade que este oferece à sociedade, </w:t>
      </w:r>
      <w:r>
        <w:t xml:space="preserve">demonstrando sua recuperação </w:t>
      </w:r>
      <w:r w:rsidRPr="009721A4">
        <w:t>através de perícia médica especializada</w:t>
      </w:r>
      <w:r>
        <w:t xml:space="preserve"> e</w:t>
      </w:r>
      <w:r w:rsidRPr="009721A4">
        <w:t xml:space="preserve"> p</w:t>
      </w:r>
      <w:r>
        <w:t xml:space="preserve">roporcionando-o </w:t>
      </w:r>
      <w:r w:rsidRPr="009721A4">
        <w:t>retorno ao convívio social.</w:t>
      </w:r>
    </w:p>
    <w:p w:rsidR="00487536" w:rsidRDefault="00487536" w:rsidP="003F1C14">
      <w:pPr>
        <w:ind w:right="-710"/>
        <w:jc w:val="both"/>
      </w:pPr>
    </w:p>
    <w:p w:rsidR="00702E31" w:rsidRDefault="00702E31" w:rsidP="003F1C14">
      <w:pPr>
        <w:ind w:right="-710"/>
        <w:jc w:val="both"/>
      </w:pPr>
    </w:p>
    <w:p w:rsidR="00702E31" w:rsidRDefault="00702E31" w:rsidP="003F1C14">
      <w:pPr>
        <w:ind w:right="-710"/>
        <w:jc w:val="both"/>
      </w:pPr>
    </w:p>
    <w:p w:rsidR="00702E31" w:rsidRDefault="00702E31" w:rsidP="003F1C14">
      <w:pPr>
        <w:ind w:right="-710"/>
        <w:jc w:val="both"/>
      </w:pPr>
    </w:p>
    <w:p w:rsidR="00702E31" w:rsidRDefault="00702E31" w:rsidP="003F1C14">
      <w:pPr>
        <w:ind w:right="-710"/>
        <w:jc w:val="both"/>
      </w:pPr>
    </w:p>
    <w:p w:rsidR="00702E31" w:rsidRDefault="00702E31" w:rsidP="003F1C14">
      <w:pPr>
        <w:ind w:right="-710"/>
        <w:jc w:val="both"/>
      </w:pPr>
    </w:p>
    <w:p w:rsidR="00702E31" w:rsidRDefault="00702E31" w:rsidP="003F1C14">
      <w:pPr>
        <w:ind w:right="-710"/>
        <w:jc w:val="both"/>
      </w:pPr>
    </w:p>
    <w:p w:rsidR="00702E31" w:rsidRDefault="00702E31" w:rsidP="003F1C14">
      <w:pPr>
        <w:ind w:right="-710"/>
        <w:jc w:val="both"/>
      </w:pPr>
    </w:p>
    <w:p w:rsidR="00702E31" w:rsidRDefault="00702E31" w:rsidP="003F1C14">
      <w:pPr>
        <w:ind w:right="-710"/>
        <w:jc w:val="both"/>
      </w:pPr>
    </w:p>
    <w:p w:rsidR="003F1C14" w:rsidRDefault="003F1C14" w:rsidP="003F1C14">
      <w:pPr>
        <w:ind w:right="-710"/>
        <w:jc w:val="both"/>
        <w:rPr>
          <w:b/>
        </w:rPr>
      </w:pPr>
    </w:p>
    <w:p w:rsidR="003F1C14" w:rsidRPr="0085543C" w:rsidRDefault="003F1C14" w:rsidP="003F1C14">
      <w:pPr>
        <w:ind w:right="-710"/>
        <w:jc w:val="both"/>
        <w:rPr>
          <w:b/>
        </w:rPr>
      </w:pPr>
      <w:r>
        <w:rPr>
          <w:b/>
        </w:rPr>
        <w:lastRenderedPageBreak/>
        <w:t>REFERÊNCIAS</w:t>
      </w:r>
    </w:p>
    <w:p w:rsidR="003F1C14" w:rsidRPr="000D08D8" w:rsidRDefault="003F1C14" w:rsidP="003F1C14">
      <w:pPr>
        <w:spacing w:line="360" w:lineRule="auto"/>
        <w:ind w:right="-710"/>
        <w:jc w:val="both"/>
        <w:rPr>
          <w:bCs/>
        </w:rPr>
      </w:pPr>
    </w:p>
    <w:p w:rsidR="003F1C14" w:rsidRPr="00D41228" w:rsidRDefault="00050802" w:rsidP="003F1C14">
      <w:pPr>
        <w:ind w:right="-710"/>
        <w:jc w:val="both"/>
      </w:pPr>
      <w:r>
        <w:rPr>
          <w:bCs/>
        </w:rPr>
        <w:t>BI</w:t>
      </w:r>
      <w:r w:rsidR="003F1C14" w:rsidRPr="00D41228">
        <w:rPr>
          <w:bCs/>
        </w:rPr>
        <w:t xml:space="preserve">TENCOURT, Cezar Roberto. </w:t>
      </w:r>
      <w:r w:rsidR="003F1C14" w:rsidRPr="00B17F05">
        <w:rPr>
          <w:bCs/>
          <w:i/>
        </w:rPr>
        <w:t>Tratado de direito penal: parte geral</w:t>
      </w:r>
      <w:r w:rsidR="003F1C14" w:rsidRPr="00D41228">
        <w:rPr>
          <w:bCs/>
        </w:rPr>
        <w:t>. São Paulo: Revista dos Tribunais, 2007.</w:t>
      </w:r>
    </w:p>
    <w:p w:rsidR="003F1C14" w:rsidRDefault="003F1C14" w:rsidP="003F1C14">
      <w:pPr>
        <w:ind w:right="-710"/>
        <w:jc w:val="both"/>
      </w:pPr>
    </w:p>
    <w:p w:rsidR="003F1C14" w:rsidRPr="00D41228" w:rsidRDefault="003F1C14" w:rsidP="003F1C14">
      <w:pPr>
        <w:ind w:right="-710"/>
        <w:jc w:val="both"/>
      </w:pPr>
      <w:r w:rsidRPr="00D41228">
        <w:t xml:space="preserve">CAPEZ, Fernando. </w:t>
      </w:r>
      <w:r w:rsidRPr="00B17F05">
        <w:rPr>
          <w:i/>
        </w:rPr>
        <w:t>Curso de direito penal: parte geral</w:t>
      </w:r>
      <w:r w:rsidRPr="00D41228">
        <w:t>. São Paulo: Saraiva 2007</w:t>
      </w:r>
      <w:r>
        <w:t>.</w:t>
      </w:r>
    </w:p>
    <w:p w:rsidR="003F1C14" w:rsidRDefault="003F1C14" w:rsidP="003F1C14">
      <w:pPr>
        <w:ind w:right="-710"/>
        <w:jc w:val="both"/>
        <w:rPr>
          <w:bCs/>
        </w:rPr>
      </w:pPr>
    </w:p>
    <w:p w:rsidR="004222C7" w:rsidRPr="004222C7" w:rsidRDefault="004222C7" w:rsidP="003F1C14">
      <w:pPr>
        <w:ind w:right="-710"/>
        <w:jc w:val="both"/>
        <w:rPr>
          <w:bCs/>
        </w:rPr>
      </w:pPr>
      <w:r w:rsidRPr="004222C7">
        <w:t xml:space="preserve">COPETTI, André. </w:t>
      </w:r>
      <w:r w:rsidRPr="004222C7">
        <w:rPr>
          <w:i/>
        </w:rPr>
        <w:t>Direito penal e estado democrático de direito</w:t>
      </w:r>
      <w:r w:rsidRPr="004222C7">
        <w:t xml:space="preserve">, p. 185, apud </w:t>
      </w:r>
      <w:r w:rsidRPr="004222C7">
        <w:rPr>
          <w:bCs/>
        </w:rPr>
        <w:t xml:space="preserve">GRECO, Rogério. Curso de direito penal: parte geral. </w:t>
      </w:r>
      <w:proofErr w:type="gramStart"/>
      <w:r w:rsidRPr="004222C7">
        <w:rPr>
          <w:bCs/>
        </w:rPr>
        <w:t>14.</w:t>
      </w:r>
      <w:proofErr w:type="gramEnd"/>
      <w:r w:rsidRPr="004222C7">
        <w:rPr>
          <w:bCs/>
        </w:rPr>
        <w:t xml:space="preserve">ed. Rio de Janeiro: </w:t>
      </w:r>
      <w:proofErr w:type="spellStart"/>
      <w:r w:rsidRPr="004222C7">
        <w:rPr>
          <w:bCs/>
        </w:rPr>
        <w:t>Impetus</w:t>
      </w:r>
      <w:proofErr w:type="spellEnd"/>
      <w:r w:rsidRPr="004222C7">
        <w:rPr>
          <w:bCs/>
        </w:rPr>
        <w:t>, 2012</w:t>
      </w:r>
    </w:p>
    <w:p w:rsidR="004222C7" w:rsidRPr="004222C7" w:rsidRDefault="004222C7" w:rsidP="003F1C14">
      <w:pPr>
        <w:ind w:right="-710"/>
        <w:jc w:val="both"/>
        <w:rPr>
          <w:bCs/>
        </w:rPr>
      </w:pPr>
    </w:p>
    <w:p w:rsidR="003F1C14" w:rsidRDefault="003F1C14" w:rsidP="003F1C14">
      <w:pPr>
        <w:ind w:right="-710"/>
        <w:jc w:val="both"/>
        <w:rPr>
          <w:bCs/>
        </w:rPr>
      </w:pPr>
      <w:r w:rsidRPr="00D41228">
        <w:rPr>
          <w:bCs/>
        </w:rPr>
        <w:t xml:space="preserve">GRECO, Rogério. </w:t>
      </w:r>
      <w:r w:rsidRPr="00B17F05">
        <w:rPr>
          <w:bCs/>
          <w:i/>
        </w:rPr>
        <w:t>Curso de direito penal: parte geral</w:t>
      </w:r>
      <w:r w:rsidR="00F41739">
        <w:rPr>
          <w:bCs/>
        </w:rPr>
        <w:t xml:space="preserve">. </w:t>
      </w:r>
      <w:proofErr w:type="gramStart"/>
      <w:r w:rsidR="00F41739">
        <w:rPr>
          <w:bCs/>
        </w:rPr>
        <w:t>14.</w:t>
      </w:r>
      <w:proofErr w:type="gramEnd"/>
      <w:r w:rsidR="00F41739">
        <w:rPr>
          <w:bCs/>
        </w:rPr>
        <w:t xml:space="preserve">ed. Rio de Janeiro: </w:t>
      </w:r>
      <w:proofErr w:type="spellStart"/>
      <w:r w:rsidR="00F41739">
        <w:rPr>
          <w:bCs/>
        </w:rPr>
        <w:t>Impetus</w:t>
      </w:r>
      <w:proofErr w:type="spellEnd"/>
      <w:r w:rsidR="00F41739">
        <w:rPr>
          <w:bCs/>
        </w:rPr>
        <w:t>, 2012</w:t>
      </w:r>
      <w:r w:rsidRPr="00D41228">
        <w:rPr>
          <w:bCs/>
        </w:rPr>
        <w:t>.</w:t>
      </w:r>
    </w:p>
    <w:p w:rsidR="005B3BDC" w:rsidRDefault="005B3BDC" w:rsidP="003F1C14">
      <w:pPr>
        <w:ind w:right="-710"/>
        <w:jc w:val="both"/>
        <w:rPr>
          <w:bCs/>
        </w:rPr>
      </w:pPr>
    </w:p>
    <w:p w:rsidR="005B3BDC" w:rsidRPr="005B3BDC" w:rsidRDefault="005B3BDC" w:rsidP="005B3BDC">
      <w:pPr>
        <w:ind w:right="-710"/>
        <w:jc w:val="both"/>
        <w:rPr>
          <w:bCs/>
        </w:rPr>
      </w:pPr>
      <w:r w:rsidRPr="005B3BDC">
        <w:t xml:space="preserve">GOMES, Luiz Flávio. </w:t>
      </w:r>
      <w:r w:rsidRPr="005B3BDC">
        <w:rPr>
          <w:i/>
        </w:rPr>
        <w:t>Medidas de segurança e seus limites</w:t>
      </w:r>
      <w:r w:rsidRPr="005B3BDC">
        <w:t xml:space="preserve">. Revista Brasileira de Ciências Criminais, nº 2, p. 66 </w:t>
      </w:r>
      <w:proofErr w:type="spellStart"/>
      <w:proofErr w:type="gramStart"/>
      <w:r w:rsidRPr="005B3BDC">
        <w:t>et</w:t>
      </w:r>
      <w:proofErr w:type="spellEnd"/>
      <w:proofErr w:type="gramEnd"/>
      <w:r w:rsidRPr="005B3BDC">
        <w:t xml:space="preserve"> seq., 1993 apud </w:t>
      </w:r>
      <w:r w:rsidRPr="005B3BDC">
        <w:rPr>
          <w:bCs/>
        </w:rPr>
        <w:t xml:space="preserve">GRECO, Rogério. Curso de direito penal: parte geral. </w:t>
      </w:r>
      <w:proofErr w:type="gramStart"/>
      <w:r w:rsidRPr="005B3BDC">
        <w:rPr>
          <w:bCs/>
        </w:rPr>
        <w:t>14.</w:t>
      </w:r>
      <w:proofErr w:type="gramEnd"/>
      <w:r w:rsidRPr="005B3BDC">
        <w:rPr>
          <w:bCs/>
        </w:rPr>
        <w:t xml:space="preserve">ed. Rio de Janeiro: </w:t>
      </w:r>
      <w:proofErr w:type="spellStart"/>
      <w:r w:rsidRPr="005B3BDC">
        <w:rPr>
          <w:bCs/>
        </w:rPr>
        <w:t>Impetus</w:t>
      </w:r>
      <w:proofErr w:type="spellEnd"/>
      <w:r w:rsidRPr="005B3BDC">
        <w:rPr>
          <w:bCs/>
        </w:rPr>
        <w:t>, 2012</w:t>
      </w:r>
      <w:r>
        <w:rPr>
          <w:bCs/>
        </w:rPr>
        <w:t>.</w:t>
      </w:r>
    </w:p>
    <w:p w:rsidR="003F1C14" w:rsidRDefault="003F1C14" w:rsidP="003F1C14">
      <w:pPr>
        <w:ind w:right="-710"/>
        <w:jc w:val="both"/>
        <w:rPr>
          <w:bCs/>
        </w:rPr>
      </w:pPr>
    </w:p>
    <w:p w:rsidR="003F1C14" w:rsidRDefault="003F1C14" w:rsidP="003F1C14">
      <w:pPr>
        <w:ind w:right="-710"/>
        <w:jc w:val="both"/>
        <w:rPr>
          <w:bCs/>
        </w:rPr>
      </w:pPr>
      <w:r>
        <w:rPr>
          <w:bCs/>
        </w:rPr>
        <w:t>GONÇ</w:t>
      </w:r>
      <w:r w:rsidRPr="00D41228">
        <w:rPr>
          <w:bCs/>
        </w:rPr>
        <w:t xml:space="preserve">ALVES, Victor Eduardo Rios. </w:t>
      </w:r>
      <w:r w:rsidRPr="00B17F05">
        <w:rPr>
          <w:bCs/>
          <w:i/>
        </w:rPr>
        <w:t>Direito Penal: parte geral.</w:t>
      </w:r>
      <w:r w:rsidRPr="00D41228">
        <w:rPr>
          <w:bCs/>
        </w:rPr>
        <w:t xml:space="preserve"> - 7. Ed.rev. – São Paulo: </w:t>
      </w:r>
      <w:proofErr w:type="gramStart"/>
      <w:r w:rsidRPr="00D41228">
        <w:rPr>
          <w:bCs/>
        </w:rPr>
        <w:t>Saraiva,</w:t>
      </w:r>
      <w:proofErr w:type="gramEnd"/>
      <w:r w:rsidRPr="00D41228">
        <w:rPr>
          <w:bCs/>
        </w:rPr>
        <w:t xml:space="preserve"> 2002. – (Coleção sinopses jurídicas</w:t>
      </w:r>
      <w:r>
        <w:rPr>
          <w:bCs/>
        </w:rPr>
        <w:t>).</w:t>
      </w:r>
    </w:p>
    <w:p w:rsidR="003F1C14" w:rsidRDefault="003F1C14" w:rsidP="003F1C14">
      <w:pPr>
        <w:ind w:right="-710"/>
        <w:jc w:val="both"/>
        <w:rPr>
          <w:bCs/>
        </w:rPr>
      </w:pPr>
    </w:p>
    <w:p w:rsidR="003F1C14" w:rsidRPr="00295023" w:rsidRDefault="003F1C14" w:rsidP="003F1C14">
      <w:pPr>
        <w:ind w:right="-710"/>
        <w:jc w:val="both"/>
        <w:rPr>
          <w:shd w:val="clear" w:color="auto" w:fill="FFFFFF"/>
        </w:rPr>
      </w:pPr>
      <w:r w:rsidRPr="00295023">
        <w:rPr>
          <w:shd w:val="clear" w:color="auto" w:fill="FFFFFF"/>
        </w:rPr>
        <w:t xml:space="preserve">JESUS, Damásio E. </w:t>
      </w:r>
      <w:proofErr w:type="gramStart"/>
      <w:r w:rsidRPr="00295023">
        <w:rPr>
          <w:shd w:val="clear" w:color="auto" w:fill="FFFFFF"/>
        </w:rPr>
        <w:t>de</w:t>
      </w:r>
      <w:proofErr w:type="gramEnd"/>
      <w:r w:rsidRPr="00295023">
        <w:rPr>
          <w:shd w:val="clear" w:color="auto" w:fill="FFFFFF"/>
        </w:rPr>
        <w:t xml:space="preserve">. </w:t>
      </w:r>
      <w:r w:rsidRPr="00295023">
        <w:rPr>
          <w:i/>
          <w:shd w:val="clear" w:color="auto" w:fill="FFFFFF"/>
        </w:rPr>
        <w:t xml:space="preserve">Direito Penal, Volume </w:t>
      </w:r>
      <w:proofErr w:type="gramStart"/>
      <w:r w:rsidRPr="00295023">
        <w:rPr>
          <w:i/>
          <w:shd w:val="clear" w:color="auto" w:fill="FFFFFF"/>
        </w:rPr>
        <w:t>1</w:t>
      </w:r>
      <w:proofErr w:type="gramEnd"/>
      <w:r w:rsidRPr="00295023">
        <w:rPr>
          <w:i/>
          <w:shd w:val="clear" w:color="auto" w:fill="FFFFFF"/>
        </w:rPr>
        <w:t>: Parte geral</w:t>
      </w:r>
      <w:r w:rsidRPr="00295023">
        <w:rPr>
          <w:shd w:val="clear" w:color="auto" w:fill="FFFFFF"/>
        </w:rPr>
        <w:t xml:space="preserve">. 28 ed. rev. São Paulo: </w:t>
      </w:r>
      <w:proofErr w:type="gramStart"/>
      <w:r w:rsidRPr="00295023">
        <w:rPr>
          <w:shd w:val="clear" w:color="auto" w:fill="FFFFFF"/>
        </w:rPr>
        <w:t>Saraiva,</w:t>
      </w:r>
      <w:proofErr w:type="gramEnd"/>
      <w:r w:rsidRPr="00295023">
        <w:rPr>
          <w:shd w:val="clear" w:color="auto" w:fill="FFFFFF"/>
        </w:rPr>
        <w:t xml:space="preserve"> 2005.</w:t>
      </w:r>
    </w:p>
    <w:p w:rsidR="003F1C14" w:rsidRDefault="003F1C14" w:rsidP="003F1C14">
      <w:pPr>
        <w:ind w:right="-710"/>
        <w:jc w:val="both"/>
        <w:rPr>
          <w:bCs/>
        </w:rPr>
      </w:pPr>
    </w:p>
    <w:p w:rsidR="003F1C14" w:rsidRDefault="003F1C14" w:rsidP="003F1C14">
      <w:pPr>
        <w:ind w:right="-710"/>
        <w:jc w:val="both"/>
        <w:rPr>
          <w:bCs/>
        </w:rPr>
      </w:pPr>
      <w:r>
        <w:rPr>
          <w:bCs/>
        </w:rPr>
        <w:t xml:space="preserve">MARQUES, José Frederico. </w:t>
      </w:r>
      <w:r>
        <w:rPr>
          <w:bCs/>
          <w:i/>
        </w:rPr>
        <w:t xml:space="preserve">Tratado de direito penal. 2. </w:t>
      </w:r>
      <w:proofErr w:type="gramStart"/>
      <w:r>
        <w:rPr>
          <w:bCs/>
          <w:i/>
        </w:rPr>
        <w:t>ed.</w:t>
      </w:r>
      <w:proofErr w:type="gramEnd"/>
      <w:r>
        <w:rPr>
          <w:bCs/>
          <w:i/>
        </w:rPr>
        <w:t xml:space="preserve"> </w:t>
      </w:r>
      <w:r w:rsidR="00573136">
        <w:rPr>
          <w:bCs/>
        </w:rPr>
        <w:t>apud</w:t>
      </w:r>
      <w:r>
        <w:rPr>
          <w:bCs/>
        </w:rPr>
        <w:t xml:space="preserve">: MIRABETE, Júlio </w:t>
      </w:r>
      <w:proofErr w:type="spellStart"/>
      <w:r>
        <w:rPr>
          <w:bCs/>
        </w:rPr>
        <w:t>Fabbrini</w:t>
      </w:r>
      <w:proofErr w:type="spellEnd"/>
      <w:r>
        <w:rPr>
          <w:bCs/>
        </w:rPr>
        <w:t xml:space="preserve">. </w:t>
      </w:r>
      <w:r>
        <w:rPr>
          <w:bCs/>
          <w:i/>
        </w:rPr>
        <w:t>Manual de Direito Penal</w:t>
      </w:r>
      <w:r>
        <w:rPr>
          <w:bCs/>
        </w:rPr>
        <w:t xml:space="preserve">. 21. </w:t>
      </w:r>
      <w:proofErr w:type="gramStart"/>
      <w:r>
        <w:rPr>
          <w:bCs/>
        </w:rPr>
        <w:t>ed.</w:t>
      </w:r>
      <w:proofErr w:type="gramEnd"/>
      <w:r>
        <w:rPr>
          <w:bCs/>
        </w:rPr>
        <w:t xml:space="preserve"> São Paulo: Atlas, 2004.</w:t>
      </w:r>
    </w:p>
    <w:p w:rsidR="003F1C14" w:rsidRPr="003D4EA1" w:rsidRDefault="003F1C14" w:rsidP="003F1C14">
      <w:pPr>
        <w:ind w:right="-710"/>
        <w:jc w:val="both"/>
        <w:rPr>
          <w:bCs/>
        </w:rPr>
      </w:pPr>
    </w:p>
    <w:p w:rsidR="003F1C14" w:rsidRDefault="003F1C14" w:rsidP="003F1C14">
      <w:pPr>
        <w:spacing w:line="360" w:lineRule="auto"/>
        <w:ind w:right="-710"/>
        <w:jc w:val="both"/>
        <w:rPr>
          <w:shd w:val="clear" w:color="auto" w:fill="FFFFFF"/>
        </w:rPr>
      </w:pPr>
      <w:r w:rsidRPr="00295023">
        <w:rPr>
          <w:shd w:val="clear" w:color="auto" w:fill="FFFFFF"/>
        </w:rPr>
        <w:t xml:space="preserve">MIRABETE, Julio </w:t>
      </w:r>
      <w:proofErr w:type="spellStart"/>
      <w:r w:rsidRPr="00295023">
        <w:rPr>
          <w:shd w:val="clear" w:color="auto" w:fill="FFFFFF"/>
        </w:rPr>
        <w:t>Fabbrini</w:t>
      </w:r>
      <w:proofErr w:type="spellEnd"/>
      <w:r w:rsidRPr="00295023">
        <w:rPr>
          <w:shd w:val="clear" w:color="auto" w:fill="FFFFFF"/>
        </w:rPr>
        <w:t xml:space="preserve">. </w:t>
      </w:r>
      <w:r w:rsidRPr="00295023">
        <w:rPr>
          <w:i/>
          <w:shd w:val="clear" w:color="auto" w:fill="FFFFFF"/>
        </w:rPr>
        <w:t xml:space="preserve">Manual de Direito Penal. </w:t>
      </w:r>
      <w:r w:rsidRPr="00295023">
        <w:rPr>
          <w:shd w:val="clear" w:color="auto" w:fill="FFFFFF"/>
        </w:rPr>
        <w:t xml:space="preserve">21. </w:t>
      </w:r>
      <w:proofErr w:type="gramStart"/>
      <w:r w:rsidRPr="00295023">
        <w:rPr>
          <w:shd w:val="clear" w:color="auto" w:fill="FFFFFF"/>
        </w:rPr>
        <w:t>ed.</w:t>
      </w:r>
      <w:proofErr w:type="gramEnd"/>
      <w:r w:rsidRPr="00295023">
        <w:rPr>
          <w:shd w:val="clear" w:color="auto" w:fill="FFFFFF"/>
        </w:rPr>
        <w:t xml:space="preserve"> São Paulo: Atlas, 2004</w:t>
      </w:r>
      <w:r>
        <w:rPr>
          <w:shd w:val="clear" w:color="auto" w:fill="FFFFFF"/>
        </w:rPr>
        <w:t>.</w:t>
      </w:r>
    </w:p>
    <w:p w:rsidR="003F1C14" w:rsidRDefault="003F1C14" w:rsidP="003F1C14">
      <w:pPr>
        <w:ind w:right="-710"/>
        <w:jc w:val="both"/>
        <w:rPr>
          <w:shd w:val="clear" w:color="auto" w:fill="FFFFFF"/>
        </w:rPr>
      </w:pPr>
      <w:r w:rsidRPr="00295023">
        <w:rPr>
          <w:shd w:val="clear" w:color="auto" w:fill="FFFFFF"/>
        </w:rPr>
        <w:t xml:space="preserve">PERES, Maria Fernanda. Tourinho; NERY FILHO, Antônio. </w:t>
      </w:r>
      <w:r w:rsidRPr="00295023">
        <w:rPr>
          <w:i/>
          <w:shd w:val="clear" w:color="auto" w:fill="FFFFFF"/>
        </w:rPr>
        <w:t xml:space="preserve">A doença mental no direito penal brasileiro: inimputabilidade, irresponsabilidade, periculosidade e medida de segurança. </w:t>
      </w:r>
      <w:r w:rsidRPr="00295023">
        <w:rPr>
          <w:shd w:val="clear" w:color="auto" w:fill="FFFFFF"/>
        </w:rPr>
        <w:t xml:space="preserve">In História, Ciências, Saúde – </w:t>
      </w:r>
      <w:proofErr w:type="spellStart"/>
      <w:r w:rsidRPr="00295023">
        <w:rPr>
          <w:shd w:val="clear" w:color="auto" w:fill="FFFFFF"/>
        </w:rPr>
        <w:t>Manguinhos</w:t>
      </w:r>
      <w:proofErr w:type="spellEnd"/>
      <w:r w:rsidRPr="00295023">
        <w:rPr>
          <w:shd w:val="clear" w:color="auto" w:fill="FFFFFF"/>
        </w:rPr>
        <w:t>. Rio de Janeiro: vol. 9, n.2, p.335-355, 2002. ISSN 0104-5970.</w:t>
      </w:r>
    </w:p>
    <w:p w:rsidR="003F1C14" w:rsidRPr="00295023" w:rsidRDefault="003F1C14" w:rsidP="003F1C14">
      <w:pPr>
        <w:ind w:right="-710"/>
        <w:jc w:val="both"/>
        <w:rPr>
          <w:shd w:val="clear" w:color="auto" w:fill="FFFFFF"/>
        </w:rPr>
      </w:pPr>
    </w:p>
    <w:p w:rsidR="003F1C14" w:rsidRPr="00956014" w:rsidRDefault="003F1C14" w:rsidP="003F1C14">
      <w:pPr>
        <w:ind w:right="-710"/>
        <w:jc w:val="both"/>
        <w:rPr>
          <w:shd w:val="clear" w:color="auto" w:fill="FFFFFF"/>
        </w:rPr>
      </w:pPr>
      <w:r w:rsidRPr="00295023">
        <w:rPr>
          <w:shd w:val="clear" w:color="auto" w:fill="FFFFFF"/>
        </w:rPr>
        <w:t xml:space="preserve">SANTANA, </w:t>
      </w:r>
      <w:r w:rsidRPr="00956014">
        <w:rPr>
          <w:shd w:val="clear" w:color="auto" w:fill="FFFFFF"/>
        </w:rPr>
        <w:t>Ana Flávia Ferreira</w:t>
      </w:r>
      <w:r w:rsidRPr="00956014">
        <w:rPr>
          <w:rStyle w:val="apple-converted-space"/>
          <w:shd w:val="clear" w:color="auto" w:fill="FFFFFF"/>
        </w:rPr>
        <w:t> </w:t>
      </w:r>
      <w:r w:rsidRPr="00956014">
        <w:rPr>
          <w:rStyle w:val="Forte"/>
          <w:b w:val="0"/>
          <w:shd w:val="clear" w:color="auto" w:fill="FFFFFF"/>
        </w:rPr>
        <w:t>de</w:t>
      </w:r>
      <w:r w:rsidRPr="00956014">
        <w:rPr>
          <w:rStyle w:val="apple-converted-space"/>
          <w:shd w:val="clear" w:color="auto" w:fill="FFFFFF"/>
        </w:rPr>
        <w:t> </w:t>
      </w:r>
      <w:r w:rsidRPr="00956014">
        <w:rPr>
          <w:shd w:val="clear" w:color="auto" w:fill="FFFFFF"/>
        </w:rPr>
        <w:t xml:space="preserve">Almeida; CHIANCA, Tânia Couto Machado; CARDOSO, </w:t>
      </w:r>
      <w:proofErr w:type="spellStart"/>
      <w:r w:rsidRPr="00956014">
        <w:rPr>
          <w:shd w:val="clear" w:color="auto" w:fill="FFFFFF"/>
        </w:rPr>
        <w:t>Clareci</w:t>
      </w:r>
      <w:proofErr w:type="spellEnd"/>
      <w:r w:rsidRPr="00956014">
        <w:rPr>
          <w:shd w:val="clear" w:color="auto" w:fill="FFFFFF"/>
        </w:rPr>
        <w:t xml:space="preserve"> Silva. </w:t>
      </w:r>
      <w:r w:rsidRPr="00956014">
        <w:rPr>
          <w:i/>
          <w:shd w:val="clear" w:color="auto" w:fill="FFFFFF"/>
        </w:rPr>
        <w:t>Qualidade</w:t>
      </w:r>
      <w:r w:rsidRPr="00956014">
        <w:rPr>
          <w:rStyle w:val="apple-converted-space"/>
          <w:i/>
          <w:shd w:val="clear" w:color="auto" w:fill="FFFFFF"/>
        </w:rPr>
        <w:t> </w:t>
      </w:r>
      <w:r w:rsidRPr="00956014">
        <w:rPr>
          <w:rStyle w:val="Forte"/>
          <w:b w:val="0"/>
          <w:i/>
          <w:shd w:val="clear" w:color="auto" w:fill="FFFFFF"/>
        </w:rPr>
        <w:t>de</w:t>
      </w:r>
      <w:r w:rsidRPr="00956014">
        <w:rPr>
          <w:rStyle w:val="apple-converted-space"/>
          <w:i/>
          <w:shd w:val="clear" w:color="auto" w:fill="FFFFFF"/>
        </w:rPr>
        <w:t> </w:t>
      </w:r>
      <w:r w:rsidRPr="00956014">
        <w:rPr>
          <w:i/>
          <w:shd w:val="clear" w:color="auto" w:fill="FFFFFF"/>
        </w:rPr>
        <w:t>vida</w:t>
      </w:r>
      <w:r w:rsidRPr="00956014">
        <w:rPr>
          <w:rStyle w:val="apple-converted-space"/>
          <w:i/>
          <w:shd w:val="clear" w:color="auto" w:fill="FFFFFF"/>
        </w:rPr>
        <w:t> </w:t>
      </w:r>
      <w:r w:rsidRPr="00956014">
        <w:rPr>
          <w:rStyle w:val="Forte"/>
          <w:b w:val="0"/>
          <w:i/>
          <w:shd w:val="clear" w:color="auto" w:fill="FFFFFF"/>
        </w:rPr>
        <w:t>de</w:t>
      </w:r>
      <w:r w:rsidRPr="00956014">
        <w:rPr>
          <w:rStyle w:val="apple-converted-space"/>
          <w:i/>
          <w:shd w:val="clear" w:color="auto" w:fill="FFFFFF"/>
        </w:rPr>
        <w:t> </w:t>
      </w:r>
      <w:r w:rsidRPr="00956014">
        <w:rPr>
          <w:i/>
          <w:shd w:val="clear" w:color="auto" w:fill="FFFFFF"/>
        </w:rPr>
        <w:t xml:space="preserve">pacientes com </w:t>
      </w:r>
      <w:proofErr w:type="gramStart"/>
      <w:r w:rsidRPr="00956014">
        <w:rPr>
          <w:i/>
          <w:shd w:val="clear" w:color="auto" w:fill="FFFFFF"/>
        </w:rPr>
        <w:t>esquizofrenia internados em hospital</w:t>
      </w:r>
      <w:r w:rsidRPr="00956014">
        <w:rPr>
          <w:rStyle w:val="apple-converted-space"/>
          <w:i/>
          <w:shd w:val="clear" w:color="auto" w:fill="FFFFFF"/>
        </w:rPr>
        <w:t> </w:t>
      </w:r>
      <w:r w:rsidRPr="00956014">
        <w:rPr>
          <w:rStyle w:val="Forte"/>
          <w:b w:val="0"/>
          <w:i/>
          <w:shd w:val="clear" w:color="auto" w:fill="FFFFFF"/>
        </w:rPr>
        <w:t>de</w:t>
      </w:r>
      <w:r w:rsidRPr="00956014">
        <w:rPr>
          <w:rStyle w:val="apple-converted-space"/>
          <w:i/>
          <w:shd w:val="clear" w:color="auto" w:fill="FFFFFF"/>
        </w:rPr>
        <w:t> </w:t>
      </w:r>
      <w:r w:rsidRPr="00956014">
        <w:rPr>
          <w:i/>
          <w:shd w:val="clear" w:color="auto" w:fill="FFFFFF"/>
        </w:rPr>
        <w:t>custódia</w:t>
      </w:r>
      <w:proofErr w:type="gramEnd"/>
      <w:r w:rsidRPr="00956014">
        <w:rPr>
          <w:i/>
          <w:shd w:val="clear" w:color="auto" w:fill="FFFFFF"/>
        </w:rPr>
        <w:t xml:space="preserve">. </w:t>
      </w:r>
      <w:r w:rsidRPr="00956014">
        <w:rPr>
          <w:shd w:val="clear" w:color="auto" w:fill="FFFFFF"/>
        </w:rPr>
        <w:t xml:space="preserve">J. </w:t>
      </w:r>
      <w:proofErr w:type="gramStart"/>
      <w:r w:rsidRPr="00956014">
        <w:rPr>
          <w:shd w:val="clear" w:color="auto" w:fill="FFFFFF"/>
        </w:rPr>
        <w:t>bras.</w:t>
      </w:r>
      <w:proofErr w:type="gramEnd"/>
      <w:r w:rsidRPr="00956014">
        <w:rPr>
          <w:shd w:val="clear" w:color="auto" w:fill="FFFFFF"/>
        </w:rPr>
        <w:t xml:space="preserve"> </w:t>
      </w:r>
      <w:proofErr w:type="spellStart"/>
      <w:r w:rsidRPr="00956014">
        <w:rPr>
          <w:shd w:val="clear" w:color="auto" w:fill="FFFFFF"/>
        </w:rPr>
        <w:t>psiquiatr</w:t>
      </w:r>
      <w:proofErr w:type="spellEnd"/>
      <w:r w:rsidRPr="00956014">
        <w:rPr>
          <w:shd w:val="clear" w:color="auto" w:fill="FFFFFF"/>
        </w:rPr>
        <w:t xml:space="preserve">. </w:t>
      </w:r>
      <w:proofErr w:type="gramStart"/>
      <w:r w:rsidRPr="00956014">
        <w:rPr>
          <w:shd w:val="clear" w:color="auto" w:fill="FFFFFF"/>
        </w:rPr>
        <w:t>vol.</w:t>
      </w:r>
      <w:proofErr w:type="gramEnd"/>
      <w:r w:rsidRPr="00956014">
        <w:rPr>
          <w:shd w:val="clear" w:color="auto" w:fill="FFFFFF"/>
        </w:rPr>
        <w:t>58, no.3, p.187-194, 2009. ISSN 0047-2085.</w:t>
      </w:r>
    </w:p>
    <w:p w:rsidR="003F1C14" w:rsidRPr="00956014" w:rsidRDefault="003F1C14" w:rsidP="003F1C14">
      <w:pPr>
        <w:ind w:right="-710"/>
        <w:jc w:val="both"/>
        <w:rPr>
          <w:shd w:val="clear" w:color="auto" w:fill="FFFFFF"/>
        </w:rPr>
      </w:pPr>
    </w:p>
    <w:p w:rsidR="003F1C14" w:rsidRPr="00956014" w:rsidRDefault="00956014" w:rsidP="003F1C14">
      <w:pPr>
        <w:ind w:right="-710"/>
        <w:jc w:val="both"/>
      </w:pPr>
      <w:r w:rsidRPr="00956014">
        <w:t xml:space="preserve">SANZO BRODT, Luís Augusto. </w:t>
      </w:r>
      <w:r w:rsidRPr="00956014">
        <w:rPr>
          <w:i/>
        </w:rPr>
        <w:t>Da consciência da ilicitude no direito penal brasileiro</w:t>
      </w:r>
      <w:r w:rsidRPr="00956014">
        <w:t xml:space="preserve">. In: </w:t>
      </w:r>
      <w:r w:rsidRPr="00956014">
        <w:rPr>
          <w:bCs/>
        </w:rPr>
        <w:t xml:space="preserve">GRECO, Rogério. Curso de direito penal: parte geral. </w:t>
      </w:r>
      <w:proofErr w:type="gramStart"/>
      <w:r w:rsidRPr="00956014">
        <w:rPr>
          <w:bCs/>
        </w:rPr>
        <w:t>14.</w:t>
      </w:r>
      <w:proofErr w:type="gramEnd"/>
      <w:r w:rsidRPr="00956014">
        <w:rPr>
          <w:bCs/>
        </w:rPr>
        <w:t xml:space="preserve">ed. Rio de Janeiro: </w:t>
      </w:r>
      <w:proofErr w:type="spellStart"/>
      <w:r w:rsidRPr="00956014">
        <w:rPr>
          <w:bCs/>
        </w:rPr>
        <w:t>Impetus</w:t>
      </w:r>
      <w:proofErr w:type="spellEnd"/>
      <w:r w:rsidRPr="00956014">
        <w:rPr>
          <w:bCs/>
        </w:rPr>
        <w:t>, 2012, p. 385.</w:t>
      </w:r>
    </w:p>
    <w:p w:rsidR="003F1C14" w:rsidRDefault="003F1C14" w:rsidP="003F1C14">
      <w:pPr>
        <w:ind w:right="-710"/>
        <w:jc w:val="both"/>
        <w:rPr>
          <w:color w:val="1F497D" w:themeColor="text2"/>
        </w:rPr>
      </w:pPr>
    </w:p>
    <w:p w:rsidR="003F1C14" w:rsidRPr="00295023" w:rsidRDefault="003F1C14" w:rsidP="003F1C14">
      <w:pPr>
        <w:ind w:right="-710"/>
        <w:jc w:val="both"/>
        <w:rPr>
          <w:i/>
          <w:shd w:val="clear" w:color="auto" w:fill="FFFFFF"/>
        </w:rPr>
      </w:pPr>
    </w:p>
    <w:p w:rsidR="003F1C14" w:rsidRDefault="003F1C14" w:rsidP="003F1C14">
      <w:pPr>
        <w:spacing w:line="360" w:lineRule="auto"/>
        <w:ind w:right="-710"/>
        <w:jc w:val="both"/>
        <w:rPr>
          <w:shd w:val="clear" w:color="auto" w:fill="FFFFFF"/>
        </w:rPr>
      </w:pP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</w:p>
    <w:p w:rsidR="003F1C14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</w:p>
    <w:p w:rsidR="003F1C14" w:rsidRPr="006252C3" w:rsidRDefault="003F1C14" w:rsidP="003F1C14">
      <w:pPr>
        <w:spacing w:line="360" w:lineRule="auto"/>
        <w:ind w:right="-710" w:firstLine="851"/>
        <w:jc w:val="both"/>
        <w:rPr>
          <w:shd w:val="clear" w:color="auto" w:fill="FFFFFF"/>
        </w:rPr>
      </w:pPr>
    </w:p>
    <w:p w:rsidR="00771CC5" w:rsidRDefault="00771CC5"/>
    <w:sectPr w:rsidR="00771CC5" w:rsidSect="00AD01A8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E7" w:rsidRDefault="00E508E7" w:rsidP="003F1C14">
      <w:r>
        <w:separator/>
      </w:r>
    </w:p>
  </w:endnote>
  <w:endnote w:type="continuationSeparator" w:id="0">
    <w:p w:rsidR="00E508E7" w:rsidRDefault="00E508E7" w:rsidP="003F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E7" w:rsidRDefault="00E508E7" w:rsidP="003F1C14">
      <w:r>
        <w:separator/>
      </w:r>
    </w:p>
  </w:footnote>
  <w:footnote w:type="continuationSeparator" w:id="0">
    <w:p w:rsidR="00E508E7" w:rsidRDefault="00E508E7" w:rsidP="003F1C14">
      <w:r>
        <w:continuationSeparator/>
      </w:r>
    </w:p>
  </w:footnote>
  <w:footnote w:id="1">
    <w:p w:rsidR="003F1C14" w:rsidRPr="00E61626" w:rsidRDefault="003F1C14" w:rsidP="003F1C14">
      <w:pPr>
        <w:pStyle w:val="Textodenotaderodap"/>
        <w:ind w:right="-285"/>
        <w:rPr>
          <w:rFonts w:ascii="Times New Roman" w:hAnsi="Times New Roman" w:cs="Times New Roman"/>
        </w:rPr>
      </w:pPr>
      <w:r w:rsidRPr="00E61626">
        <w:rPr>
          <w:rStyle w:val="Refdenotaderodap"/>
          <w:rFonts w:ascii="Times New Roman" w:hAnsi="Times New Roman" w:cs="Times New Roman"/>
        </w:rPr>
        <w:footnoteRef/>
      </w:r>
      <w:r w:rsidRPr="00E61626">
        <w:rPr>
          <w:rFonts w:ascii="Times New Roman" w:hAnsi="Times New Roman" w:cs="Times New Roman"/>
        </w:rPr>
        <w:t xml:space="preserve"> Paper apresentado à disciplina</w:t>
      </w:r>
      <w:r>
        <w:rPr>
          <w:rFonts w:ascii="Times New Roman" w:hAnsi="Times New Roman" w:cs="Times New Roman"/>
        </w:rPr>
        <w:t xml:space="preserve"> de Direito Penal,</w:t>
      </w:r>
      <w:r w:rsidRPr="00E61626">
        <w:rPr>
          <w:rFonts w:ascii="Times New Roman" w:hAnsi="Times New Roman" w:cs="Times New Roman"/>
        </w:rPr>
        <w:t xml:space="preserve"> da Unidade de Ensino Superior Dom Bosco - UNDB.</w:t>
      </w:r>
    </w:p>
  </w:footnote>
  <w:footnote w:id="2">
    <w:p w:rsidR="003F1C14" w:rsidRPr="00E61626" w:rsidRDefault="003F1C14" w:rsidP="003F1C14">
      <w:pPr>
        <w:pStyle w:val="Textodenotaderodap"/>
        <w:ind w:right="-285"/>
        <w:rPr>
          <w:rFonts w:ascii="Times New Roman" w:hAnsi="Times New Roman" w:cs="Times New Roman"/>
        </w:rPr>
      </w:pPr>
      <w:r w:rsidRPr="00E61626">
        <w:rPr>
          <w:rStyle w:val="Refdenotaderodap"/>
          <w:rFonts w:ascii="Times New Roman" w:hAnsi="Times New Roman" w:cs="Times New Roman"/>
        </w:rPr>
        <w:footnoteRef/>
      </w:r>
      <w:r w:rsidRPr="00E61626">
        <w:rPr>
          <w:rFonts w:ascii="Times New Roman" w:hAnsi="Times New Roman" w:cs="Times New Roman"/>
        </w:rPr>
        <w:t xml:space="preserve"> Aluna do 3º período do Curso de Direito, da UNDB/ isabela_pessoa@hotmail.com</w:t>
      </w:r>
      <w:r>
        <w:rPr>
          <w:rFonts w:ascii="Times New Roman" w:hAnsi="Times New Roman" w:cs="Times New Roman"/>
        </w:rPr>
        <w:t>.</w:t>
      </w:r>
    </w:p>
  </w:footnote>
  <w:footnote w:id="3">
    <w:p w:rsidR="003F1C14" w:rsidRDefault="003F1C14" w:rsidP="003F1C14">
      <w:pPr>
        <w:pStyle w:val="Textodenotaderodap"/>
        <w:ind w:right="-285"/>
      </w:pPr>
      <w:r>
        <w:rPr>
          <w:rStyle w:val="Refdenotaderodap"/>
        </w:rPr>
        <w:footnoteRef/>
      </w:r>
      <w:r>
        <w:t xml:space="preserve"> </w:t>
      </w:r>
      <w:r w:rsidRPr="00E61626">
        <w:rPr>
          <w:rFonts w:ascii="Times New Roman" w:hAnsi="Times New Roman" w:cs="Times New Roman"/>
        </w:rPr>
        <w:t xml:space="preserve">Aluna do 3º período do Curso de Direito, da </w:t>
      </w:r>
      <w:r>
        <w:rPr>
          <w:rFonts w:ascii="Times New Roman" w:hAnsi="Times New Roman" w:cs="Times New Roman"/>
        </w:rPr>
        <w:t>UNDB/ larissa.saraiva.garrido@hotmail.com.</w:t>
      </w:r>
    </w:p>
  </w:footnote>
  <w:footnote w:id="4">
    <w:p w:rsidR="003F1C14" w:rsidRPr="00B64670" w:rsidRDefault="003F1C14" w:rsidP="003F1C14">
      <w:pPr>
        <w:pStyle w:val="Textodenotaderodap"/>
        <w:ind w:right="-710"/>
        <w:jc w:val="both"/>
        <w:rPr>
          <w:rFonts w:ascii="Times New Roman" w:hAnsi="Times New Roman" w:cs="Times New Roman"/>
        </w:rPr>
      </w:pPr>
      <w:r w:rsidRPr="00B64670">
        <w:rPr>
          <w:rStyle w:val="Refdenotaderodap"/>
          <w:rFonts w:ascii="Times New Roman" w:hAnsi="Times New Roman" w:cs="Times New Roman"/>
        </w:rPr>
        <w:footnoteRef/>
      </w:r>
      <w:r w:rsidRPr="00B646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CAPEZ</w:t>
      </w:r>
      <w:r w:rsidRPr="00B64670">
        <w:rPr>
          <w:rFonts w:ascii="Times New Roman" w:hAnsi="Times New Roman" w:cs="Times New Roman"/>
        </w:rPr>
        <w:t xml:space="preserve">, Fernando. </w:t>
      </w:r>
      <w:r w:rsidRPr="0027700F">
        <w:rPr>
          <w:rFonts w:ascii="Times New Roman" w:hAnsi="Times New Roman" w:cs="Times New Roman"/>
          <w:i/>
        </w:rPr>
        <w:t>Curso de Direito Penal: parte geral</w:t>
      </w:r>
      <w:r w:rsidRPr="00B646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Volume</w:t>
      </w:r>
      <w:r w:rsidRPr="00B64670">
        <w:rPr>
          <w:rFonts w:ascii="Times New Roman" w:hAnsi="Times New Roman" w:cs="Times New Roman"/>
        </w:rPr>
        <w:t xml:space="preserve"> </w:t>
      </w:r>
      <w:proofErr w:type="gramStart"/>
      <w:r w:rsidRPr="00B64670">
        <w:rPr>
          <w:rFonts w:ascii="Times New Roman" w:hAnsi="Times New Roman" w:cs="Times New Roman"/>
        </w:rPr>
        <w:t>1</w:t>
      </w:r>
      <w:proofErr w:type="gramEnd"/>
      <w:r w:rsidRPr="00B64670">
        <w:rPr>
          <w:rFonts w:ascii="Times New Roman" w:hAnsi="Times New Roman" w:cs="Times New Roman"/>
        </w:rPr>
        <w:t xml:space="preserve">. 9ª </w:t>
      </w:r>
      <w:r>
        <w:rPr>
          <w:rFonts w:ascii="Times New Roman" w:hAnsi="Times New Roman" w:cs="Times New Roman"/>
        </w:rPr>
        <w:t>e</w:t>
      </w:r>
      <w:r w:rsidRPr="00B64670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rev. e</w:t>
      </w:r>
      <w:r w:rsidRPr="00B64670">
        <w:rPr>
          <w:rFonts w:ascii="Times New Roman" w:hAnsi="Times New Roman" w:cs="Times New Roman"/>
        </w:rPr>
        <w:t xml:space="preserve"> atual. – São Paulo: </w:t>
      </w:r>
      <w:proofErr w:type="gramStart"/>
      <w:r w:rsidRPr="00B64670">
        <w:rPr>
          <w:rFonts w:ascii="Times New Roman" w:hAnsi="Times New Roman" w:cs="Times New Roman"/>
        </w:rPr>
        <w:t>Saraiva,</w:t>
      </w:r>
      <w:proofErr w:type="gramEnd"/>
      <w:r>
        <w:rPr>
          <w:rFonts w:ascii="Times New Roman" w:hAnsi="Times New Roman" w:cs="Times New Roman"/>
        </w:rPr>
        <w:t xml:space="preserve"> </w:t>
      </w:r>
      <w:r w:rsidRPr="00B64670">
        <w:rPr>
          <w:rFonts w:ascii="Times New Roman" w:hAnsi="Times New Roman" w:cs="Times New Roman"/>
        </w:rPr>
        <w:t>2005, p. 425.</w:t>
      </w:r>
    </w:p>
  </w:footnote>
  <w:footnote w:id="5">
    <w:p w:rsidR="00487536" w:rsidRPr="00487536" w:rsidRDefault="00F41739" w:rsidP="00487536">
      <w:pPr>
        <w:ind w:right="-710"/>
        <w:jc w:val="both"/>
        <w:rPr>
          <w:bCs/>
          <w:sz w:val="20"/>
          <w:szCs w:val="20"/>
        </w:rPr>
      </w:pPr>
      <w:r w:rsidRPr="00487536">
        <w:rPr>
          <w:rStyle w:val="Refdenotaderodap"/>
          <w:sz w:val="20"/>
          <w:szCs w:val="20"/>
        </w:rPr>
        <w:footnoteRef/>
      </w:r>
      <w:r w:rsidRPr="00487536">
        <w:rPr>
          <w:sz w:val="20"/>
          <w:szCs w:val="20"/>
        </w:rPr>
        <w:t xml:space="preserve">  </w:t>
      </w:r>
      <w:r w:rsidR="00487536" w:rsidRPr="00487536">
        <w:rPr>
          <w:bCs/>
          <w:sz w:val="20"/>
          <w:szCs w:val="20"/>
        </w:rPr>
        <w:t xml:space="preserve">GRECO, Rogério. </w:t>
      </w:r>
      <w:r w:rsidR="00487536" w:rsidRPr="00487536">
        <w:rPr>
          <w:bCs/>
          <w:i/>
          <w:sz w:val="20"/>
          <w:szCs w:val="20"/>
        </w:rPr>
        <w:t>Curso de direito penal: parte geral</w:t>
      </w:r>
      <w:r w:rsidR="00487536" w:rsidRPr="00487536">
        <w:rPr>
          <w:bCs/>
          <w:sz w:val="20"/>
          <w:szCs w:val="20"/>
        </w:rPr>
        <w:t xml:space="preserve">. </w:t>
      </w:r>
      <w:proofErr w:type="gramStart"/>
      <w:r w:rsidR="00487536" w:rsidRPr="00487536">
        <w:rPr>
          <w:bCs/>
          <w:sz w:val="20"/>
          <w:szCs w:val="20"/>
        </w:rPr>
        <w:t>14.</w:t>
      </w:r>
      <w:proofErr w:type="gramEnd"/>
      <w:r w:rsidR="00487536" w:rsidRPr="00487536">
        <w:rPr>
          <w:bCs/>
          <w:sz w:val="20"/>
          <w:szCs w:val="20"/>
        </w:rPr>
        <w:t xml:space="preserve">ed. Rio de Janeiro: </w:t>
      </w:r>
      <w:proofErr w:type="spellStart"/>
      <w:r w:rsidR="00487536" w:rsidRPr="00487536">
        <w:rPr>
          <w:bCs/>
          <w:sz w:val="20"/>
          <w:szCs w:val="20"/>
        </w:rPr>
        <w:t>Impetus</w:t>
      </w:r>
      <w:proofErr w:type="spellEnd"/>
      <w:r w:rsidR="00487536" w:rsidRPr="00487536">
        <w:rPr>
          <w:bCs/>
          <w:sz w:val="20"/>
          <w:szCs w:val="20"/>
        </w:rPr>
        <w:t>, 2012</w:t>
      </w:r>
      <w:r w:rsidR="00487536">
        <w:rPr>
          <w:bCs/>
          <w:sz w:val="20"/>
          <w:szCs w:val="20"/>
        </w:rPr>
        <w:t>, p. 385.</w:t>
      </w:r>
    </w:p>
    <w:p w:rsidR="00F41739" w:rsidRDefault="00F41739">
      <w:pPr>
        <w:pStyle w:val="Textodenotaderodap"/>
      </w:pPr>
    </w:p>
  </w:footnote>
  <w:footnote w:id="6">
    <w:p w:rsidR="00487536" w:rsidRPr="00487536" w:rsidRDefault="00487536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 </w:t>
      </w:r>
      <w:r w:rsidRPr="00487536">
        <w:rPr>
          <w:rFonts w:ascii="Times New Roman" w:hAnsi="Times New Roman" w:cs="Times New Roman"/>
        </w:rPr>
        <w:t xml:space="preserve">SANZO BRODT, Luís Augusto. </w:t>
      </w:r>
      <w:r w:rsidRPr="00487536">
        <w:rPr>
          <w:rFonts w:ascii="Times New Roman" w:hAnsi="Times New Roman" w:cs="Times New Roman"/>
          <w:i/>
        </w:rPr>
        <w:t>Da consciência da ilicitude no direito penal brasileiro</w:t>
      </w:r>
      <w:r w:rsidRPr="00487536">
        <w:rPr>
          <w:rFonts w:ascii="Times New Roman" w:hAnsi="Times New Roman" w:cs="Times New Roman"/>
        </w:rPr>
        <w:t xml:space="preserve">. In: </w:t>
      </w:r>
      <w:r w:rsidRPr="00487536">
        <w:rPr>
          <w:rFonts w:ascii="Times New Roman" w:hAnsi="Times New Roman" w:cs="Times New Roman"/>
          <w:bCs/>
        </w:rPr>
        <w:t xml:space="preserve">GRECO, Rogério. Curso de direito penal: parte geral. </w:t>
      </w:r>
      <w:proofErr w:type="gramStart"/>
      <w:r w:rsidRPr="00487536">
        <w:rPr>
          <w:rFonts w:ascii="Times New Roman" w:hAnsi="Times New Roman" w:cs="Times New Roman"/>
          <w:bCs/>
        </w:rPr>
        <w:t>14.</w:t>
      </w:r>
      <w:proofErr w:type="gramEnd"/>
      <w:r w:rsidRPr="00487536">
        <w:rPr>
          <w:rFonts w:ascii="Times New Roman" w:hAnsi="Times New Roman" w:cs="Times New Roman"/>
          <w:bCs/>
        </w:rPr>
        <w:t xml:space="preserve">ed. Rio de Janeiro: </w:t>
      </w:r>
      <w:proofErr w:type="spellStart"/>
      <w:r w:rsidRPr="00487536">
        <w:rPr>
          <w:rFonts w:ascii="Times New Roman" w:hAnsi="Times New Roman" w:cs="Times New Roman"/>
          <w:bCs/>
        </w:rPr>
        <w:t>Impetus</w:t>
      </w:r>
      <w:proofErr w:type="spellEnd"/>
      <w:r w:rsidRPr="00487536">
        <w:rPr>
          <w:rFonts w:ascii="Times New Roman" w:hAnsi="Times New Roman" w:cs="Times New Roman"/>
          <w:bCs/>
        </w:rPr>
        <w:t>, 2012, p. 385.</w:t>
      </w:r>
    </w:p>
  </w:footnote>
  <w:footnote w:id="7">
    <w:p w:rsidR="00AE1F9F" w:rsidRPr="00487536" w:rsidRDefault="00AE1F9F" w:rsidP="00AE1F9F">
      <w:pPr>
        <w:ind w:right="-710"/>
        <w:jc w:val="both"/>
        <w:rPr>
          <w:bCs/>
          <w:sz w:val="20"/>
          <w:szCs w:val="20"/>
        </w:rPr>
      </w:pPr>
      <w:r>
        <w:rPr>
          <w:rStyle w:val="Refdenotaderodap"/>
        </w:rPr>
        <w:footnoteRef/>
      </w:r>
      <w:r>
        <w:t xml:space="preserve">  </w:t>
      </w:r>
      <w:r w:rsidRPr="00487536">
        <w:rPr>
          <w:bCs/>
          <w:sz w:val="20"/>
          <w:szCs w:val="20"/>
        </w:rPr>
        <w:t xml:space="preserve">GRECO, Rogério. </w:t>
      </w:r>
      <w:r w:rsidRPr="00487536">
        <w:rPr>
          <w:bCs/>
          <w:i/>
          <w:sz w:val="20"/>
          <w:szCs w:val="20"/>
        </w:rPr>
        <w:t>Curso de direito penal: parte geral</w:t>
      </w:r>
      <w:r w:rsidRPr="00487536">
        <w:rPr>
          <w:bCs/>
          <w:sz w:val="20"/>
          <w:szCs w:val="20"/>
        </w:rPr>
        <w:t xml:space="preserve">. </w:t>
      </w:r>
      <w:proofErr w:type="gramStart"/>
      <w:r w:rsidRPr="00487536">
        <w:rPr>
          <w:bCs/>
          <w:sz w:val="20"/>
          <w:szCs w:val="20"/>
        </w:rPr>
        <w:t>14.</w:t>
      </w:r>
      <w:proofErr w:type="gramEnd"/>
      <w:r w:rsidRPr="00487536">
        <w:rPr>
          <w:bCs/>
          <w:sz w:val="20"/>
          <w:szCs w:val="20"/>
        </w:rPr>
        <w:t xml:space="preserve">ed. Rio de Janeiro: </w:t>
      </w:r>
      <w:proofErr w:type="spellStart"/>
      <w:r w:rsidRPr="00487536">
        <w:rPr>
          <w:bCs/>
          <w:sz w:val="20"/>
          <w:szCs w:val="20"/>
        </w:rPr>
        <w:t>Impetus</w:t>
      </w:r>
      <w:proofErr w:type="spellEnd"/>
      <w:r w:rsidRPr="00487536">
        <w:rPr>
          <w:bCs/>
          <w:sz w:val="20"/>
          <w:szCs w:val="20"/>
        </w:rPr>
        <w:t>, 2012</w:t>
      </w:r>
      <w:r>
        <w:rPr>
          <w:bCs/>
          <w:sz w:val="20"/>
          <w:szCs w:val="20"/>
        </w:rPr>
        <w:t>, p. 384.</w:t>
      </w:r>
    </w:p>
    <w:p w:rsidR="00AE1F9F" w:rsidRDefault="00AE1F9F" w:rsidP="00AE1F9F">
      <w:pPr>
        <w:pStyle w:val="Textodenotaderodap"/>
      </w:pPr>
    </w:p>
    <w:p w:rsidR="00AE1F9F" w:rsidRDefault="00AE1F9F">
      <w:pPr>
        <w:pStyle w:val="Textodenotaderodap"/>
      </w:pPr>
    </w:p>
  </w:footnote>
  <w:footnote w:id="8">
    <w:p w:rsidR="001F70AF" w:rsidRPr="004222C7" w:rsidRDefault="001F70AF" w:rsidP="002D2059">
      <w:pPr>
        <w:ind w:right="-710"/>
        <w:jc w:val="both"/>
        <w:rPr>
          <w:sz w:val="20"/>
          <w:szCs w:val="20"/>
          <w:shd w:val="clear" w:color="auto" w:fill="FFFFFF"/>
        </w:rPr>
      </w:pPr>
      <w:r w:rsidRPr="001F70AF">
        <w:rPr>
          <w:rStyle w:val="Refdenotaderodap"/>
          <w:sz w:val="20"/>
          <w:szCs w:val="20"/>
        </w:rPr>
        <w:footnoteRef/>
      </w:r>
      <w:r w:rsidR="002D2059">
        <w:rPr>
          <w:sz w:val="20"/>
          <w:szCs w:val="20"/>
        </w:rPr>
        <w:t xml:space="preserve"> </w:t>
      </w:r>
      <w:r w:rsidRPr="004222C7">
        <w:rPr>
          <w:sz w:val="20"/>
          <w:szCs w:val="20"/>
          <w:shd w:val="clear" w:color="auto" w:fill="FFFFFF"/>
        </w:rPr>
        <w:t xml:space="preserve">MIRABETE, Julio </w:t>
      </w:r>
      <w:proofErr w:type="spellStart"/>
      <w:r w:rsidRPr="004222C7">
        <w:rPr>
          <w:sz w:val="20"/>
          <w:szCs w:val="20"/>
          <w:shd w:val="clear" w:color="auto" w:fill="FFFFFF"/>
        </w:rPr>
        <w:t>Fabbrini</w:t>
      </w:r>
      <w:proofErr w:type="spellEnd"/>
      <w:r w:rsidRPr="004222C7">
        <w:rPr>
          <w:sz w:val="20"/>
          <w:szCs w:val="20"/>
          <w:shd w:val="clear" w:color="auto" w:fill="FFFFFF"/>
        </w:rPr>
        <w:t xml:space="preserve">. </w:t>
      </w:r>
      <w:r w:rsidRPr="004222C7">
        <w:rPr>
          <w:i/>
          <w:sz w:val="20"/>
          <w:szCs w:val="20"/>
          <w:shd w:val="clear" w:color="auto" w:fill="FFFFFF"/>
        </w:rPr>
        <w:t xml:space="preserve">Manual de Direito Penal. </w:t>
      </w:r>
      <w:r w:rsidRPr="004222C7">
        <w:rPr>
          <w:sz w:val="20"/>
          <w:szCs w:val="20"/>
          <w:shd w:val="clear" w:color="auto" w:fill="FFFFFF"/>
        </w:rPr>
        <w:t xml:space="preserve">21. </w:t>
      </w:r>
      <w:proofErr w:type="gramStart"/>
      <w:r w:rsidRPr="004222C7">
        <w:rPr>
          <w:sz w:val="20"/>
          <w:szCs w:val="20"/>
          <w:shd w:val="clear" w:color="auto" w:fill="FFFFFF"/>
        </w:rPr>
        <w:t>ed.</w:t>
      </w:r>
      <w:proofErr w:type="gramEnd"/>
      <w:r w:rsidRPr="004222C7">
        <w:rPr>
          <w:sz w:val="20"/>
          <w:szCs w:val="20"/>
          <w:shd w:val="clear" w:color="auto" w:fill="FFFFFF"/>
        </w:rPr>
        <w:t xml:space="preserve"> São Paulo: Atlas, 2004, p.364.</w:t>
      </w:r>
    </w:p>
  </w:footnote>
  <w:footnote w:id="9">
    <w:p w:rsidR="001F70AF" w:rsidRPr="004222C7" w:rsidRDefault="001F70AF" w:rsidP="002D2059">
      <w:pPr>
        <w:ind w:right="-710"/>
        <w:jc w:val="both"/>
        <w:rPr>
          <w:bCs/>
          <w:sz w:val="20"/>
          <w:szCs w:val="20"/>
        </w:rPr>
      </w:pPr>
      <w:r w:rsidRPr="004222C7">
        <w:rPr>
          <w:rStyle w:val="Refdenotaderodap"/>
          <w:sz w:val="20"/>
          <w:szCs w:val="20"/>
        </w:rPr>
        <w:footnoteRef/>
      </w:r>
      <w:r w:rsidR="002D2059">
        <w:rPr>
          <w:sz w:val="20"/>
          <w:szCs w:val="20"/>
        </w:rPr>
        <w:t xml:space="preserve"> </w:t>
      </w:r>
      <w:r w:rsidRPr="004222C7">
        <w:rPr>
          <w:bCs/>
          <w:sz w:val="20"/>
          <w:szCs w:val="20"/>
        </w:rPr>
        <w:t xml:space="preserve">MARQUES, José Frederico. </w:t>
      </w:r>
      <w:r w:rsidRPr="004222C7">
        <w:rPr>
          <w:bCs/>
          <w:i/>
          <w:sz w:val="20"/>
          <w:szCs w:val="20"/>
        </w:rPr>
        <w:t xml:space="preserve">Tratado de direito penal. 2. </w:t>
      </w:r>
      <w:proofErr w:type="gramStart"/>
      <w:r w:rsidRPr="004222C7">
        <w:rPr>
          <w:bCs/>
          <w:i/>
          <w:sz w:val="20"/>
          <w:szCs w:val="20"/>
        </w:rPr>
        <w:t>ed.</w:t>
      </w:r>
      <w:proofErr w:type="gramEnd"/>
      <w:r w:rsidRPr="004222C7">
        <w:rPr>
          <w:bCs/>
          <w:i/>
          <w:sz w:val="20"/>
          <w:szCs w:val="20"/>
        </w:rPr>
        <w:t xml:space="preserve"> </w:t>
      </w:r>
      <w:r w:rsidR="00573136" w:rsidRPr="004222C7">
        <w:rPr>
          <w:bCs/>
          <w:sz w:val="20"/>
          <w:szCs w:val="20"/>
        </w:rPr>
        <w:t>apud</w:t>
      </w:r>
      <w:r w:rsidRPr="004222C7">
        <w:rPr>
          <w:bCs/>
          <w:sz w:val="20"/>
          <w:szCs w:val="20"/>
        </w:rPr>
        <w:t xml:space="preserve"> MIRABETE, Júlio </w:t>
      </w:r>
      <w:proofErr w:type="spellStart"/>
      <w:r w:rsidRPr="004222C7">
        <w:rPr>
          <w:bCs/>
          <w:sz w:val="20"/>
          <w:szCs w:val="20"/>
        </w:rPr>
        <w:t>Fabbrini</w:t>
      </w:r>
      <w:proofErr w:type="spellEnd"/>
      <w:r w:rsidRPr="004222C7">
        <w:rPr>
          <w:bCs/>
          <w:sz w:val="20"/>
          <w:szCs w:val="20"/>
        </w:rPr>
        <w:t xml:space="preserve">. </w:t>
      </w:r>
      <w:r w:rsidRPr="004222C7">
        <w:rPr>
          <w:bCs/>
          <w:i/>
          <w:sz w:val="20"/>
          <w:szCs w:val="20"/>
        </w:rPr>
        <w:t>Manual de Direito Penal</w:t>
      </w:r>
      <w:r w:rsidRPr="004222C7">
        <w:rPr>
          <w:bCs/>
          <w:sz w:val="20"/>
          <w:szCs w:val="20"/>
        </w:rPr>
        <w:t xml:space="preserve">. 21. </w:t>
      </w:r>
      <w:proofErr w:type="gramStart"/>
      <w:r w:rsidRPr="004222C7">
        <w:rPr>
          <w:bCs/>
          <w:sz w:val="20"/>
          <w:szCs w:val="20"/>
        </w:rPr>
        <w:t>ed.</w:t>
      </w:r>
      <w:proofErr w:type="gramEnd"/>
      <w:r w:rsidRPr="004222C7">
        <w:rPr>
          <w:bCs/>
          <w:sz w:val="20"/>
          <w:szCs w:val="20"/>
        </w:rPr>
        <w:t xml:space="preserve"> São Paulo: Atlas, 2004, p. 364.</w:t>
      </w:r>
    </w:p>
  </w:footnote>
  <w:footnote w:id="10">
    <w:p w:rsidR="00573136" w:rsidRPr="004222C7" w:rsidRDefault="00573136" w:rsidP="002D2059">
      <w:pPr>
        <w:ind w:right="-710"/>
        <w:jc w:val="both"/>
        <w:rPr>
          <w:bCs/>
          <w:sz w:val="20"/>
          <w:szCs w:val="20"/>
        </w:rPr>
      </w:pPr>
      <w:r w:rsidRPr="004222C7">
        <w:rPr>
          <w:rStyle w:val="Refdenotaderodap"/>
          <w:sz w:val="20"/>
          <w:szCs w:val="20"/>
        </w:rPr>
        <w:footnoteRef/>
      </w:r>
      <w:r w:rsidR="00050802" w:rsidRPr="004222C7">
        <w:rPr>
          <w:sz w:val="20"/>
          <w:szCs w:val="20"/>
        </w:rPr>
        <w:t xml:space="preserve"> </w:t>
      </w:r>
      <w:r w:rsidRPr="004222C7">
        <w:rPr>
          <w:sz w:val="20"/>
          <w:szCs w:val="20"/>
        </w:rPr>
        <w:t xml:space="preserve">GOMES, Luiz Flávio. </w:t>
      </w:r>
      <w:r w:rsidRPr="004222C7">
        <w:rPr>
          <w:i/>
          <w:sz w:val="20"/>
          <w:szCs w:val="20"/>
        </w:rPr>
        <w:t>Medidas de segurança e seus limites</w:t>
      </w:r>
      <w:r w:rsidRPr="004222C7">
        <w:rPr>
          <w:sz w:val="20"/>
          <w:szCs w:val="20"/>
        </w:rPr>
        <w:t>. Revista Brasileira de Ciências Criminais, nº 2</w:t>
      </w:r>
      <w:r w:rsidR="00050802" w:rsidRPr="004222C7">
        <w:rPr>
          <w:sz w:val="20"/>
          <w:szCs w:val="20"/>
        </w:rPr>
        <w:t xml:space="preserve">, p. 66 </w:t>
      </w:r>
      <w:proofErr w:type="spellStart"/>
      <w:proofErr w:type="gramStart"/>
      <w:r w:rsidR="00050802" w:rsidRPr="004222C7">
        <w:rPr>
          <w:sz w:val="20"/>
          <w:szCs w:val="20"/>
        </w:rPr>
        <w:t>et</w:t>
      </w:r>
      <w:proofErr w:type="spellEnd"/>
      <w:proofErr w:type="gramEnd"/>
      <w:r w:rsidR="00050802" w:rsidRPr="004222C7">
        <w:rPr>
          <w:sz w:val="20"/>
          <w:szCs w:val="20"/>
        </w:rPr>
        <w:t xml:space="preserve"> seq., 1993 apud </w:t>
      </w:r>
      <w:r w:rsidR="00050802" w:rsidRPr="004222C7">
        <w:rPr>
          <w:bCs/>
          <w:sz w:val="20"/>
          <w:szCs w:val="20"/>
        </w:rPr>
        <w:t xml:space="preserve">GRECO, Rogério. Curso de direito penal: parte geral. </w:t>
      </w:r>
      <w:proofErr w:type="gramStart"/>
      <w:r w:rsidR="00050802" w:rsidRPr="004222C7">
        <w:rPr>
          <w:bCs/>
          <w:sz w:val="20"/>
          <w:szCs w:val="20"/>
        </w:rPr>
        <w:t>14.</w:t>
      </w:r>
      <w:proofErr w:type="gramEnd"/>
      <w:r w:rsidR="00050802" w:rsidRPr="004222C7">
        <w:rPr>
          <w:bCs/>
          <w:sz w:val="20"/>
          <w:szCs w:val="20"/>
        </w:rPr>
        <w:t xml:space="preserve">ed. Rio de Janeiro: </w:t>
      </w:r>
      <w:proofErr w:type="spellStart"/>
      <w:r w:rsidR="00050802" w:rsidRPr="004222C7">
        <w:rPr>
          <w:bCs/>
          <w:sz w:val="20"/>
          <w:szCs w:val="20"/>
        </w:rPr>
        <w:t>Impetus</w:t>
      </w:r>
      <w:proofErr w:type="spellEnd"/>
      <w:r w:rsidR="00050802" w:rsidRPr="004222C7">
        <w:rPr>
          <w:bCs/>
          <w:sz w:val="20"/>
          <w:szCs w:val="20"/>
        </w:rPr>
        <w:t>, 2012, p. 667.</w:t>
      </w:r>
    </w:p>
  </w:footnote>
  <w:footnote w:id="11">
    <w:p w:rsidR="005B3BDC" w:rsidRPr="004222C7" w:rsidRDefault="005B3BDC" w:rsidP="002D2059">
      <w:pPr>
        <w:ind w:right="-710"/>
        <w:jc w:val="both"/>
        <w:rPr>
          <w:bCs/>
          <w:sz w:val="20"/>
          <w:szCs w:val="20"/>
        </w:rPr>
      </w:pPr>
      <w:r w:rsidRPr="004222C7">
        <w:rPr>
          <w:rStyle w:val="Refdenotaderodap"/>
          <w:sz w:val="20"/>
          <w:szCs w:val="20"/>
        </w:rPr>
        <w:footnoteRef/>
      </w:r>
      <w:r w:rsidRPr="004222C7">
        <w:rPr>
          <w:sz w:val="20"/>
          <w:szCs w:val="20"/>
        </w:rPr>
        <w:t xml:space="preserve"> BITENCOURT, Cezar Roberto. </w:t>
      </w:r>
      <w:r w:rsidRPr="004222C7">
        <w:rPr>
          <w:i/>
          <w:sz w:val="20"/>
          <w:szCs w:val="20"/>
        </w:rPr>
        <w:t>Manual de direito penal – Parte geral</w:t>
      </w:r>
      <w:r w:rsidRPr="004222C7">
        <w:rPr>
          <w:sz w:val="20"/>
          <w:szCs w:val="20"/>
        </w:rPr>
        <w:t xml:space="preserve">. </w:t>
      </w:r>
      <w:proofErr w:type="gramStart"/>
      <w:r w:rsidRPr="004222C7">
        <w:rPr>
          <w:sz w:val="20"/>
          <w:szCs w:val="20"/>
        </w:rPr>
        <w:t>v.</w:t>
      </w:r>
      <w:proofErr w:type="gramEnd"/>
      <w:r w:rsidRPr="004222C7">
        <w:rPr>
          <w:sz w:val="20"/>
          <w:szCs w:val="20"/>
        </w:rPr>
        <w:t xml:space="preserve">1, p.645, apud </w:t>
      </w:r>
      <w:r w:rsidRPr="004222C7">
        <w:rPr>
          <w:bCs/>
          <w:sz w:val="20"/>
          <w:szCs w:val="20"/>
        </w:rPr>
        <w:t xml:space="preserve">GRECO, Rogério. Curso de direito penal: parte geral. </w:t>
      </w:r>
      <w:proofErr w:type="gramStart"/>
      <w:r w:rsidRPr="004222C7">
        <w:rPr>
          <w:bCs/>
          <w:sz w:val="20"/>
          <w:szCs w:val="20"/>
        </w:rPr>
        <w:t>14.</w:t>
      </w:r>
      <w:proofErr w:type="gramEnd"/>
      <w:r w:rsidRPr="004222C7">
        <w:rPr>
          <w:bCs/>
          <w:sz w:val="20"/>
          <w:szCs w:val="20"/>
        </w:rPr>
        <w:t xml:space="preserve">ed. Rio de Janeiro: </w:t>
      </w:r>
      <w:proofErr w:type="spellStart"/>
      <w:r w:rsidRPr="004222C7">
        <w:rPr>
          <w:bCs/>
          <w:sz w:val="20"/>
          <w:szCs w:val="20"/>
        </w:rPr>
        <w:t>Impetus</w:t>
      </w:r>
      <w:proofErr w:type="spellEnd"/>
      <w:r w:rsidRPr="004222C7">
        <w:rPr>
          <w:bCs/>
          <w:sz w:val="20"/>
          <w:szCs w:val="20"/>
        </w:rPr>
        <w:t>, 2012, p. 667.</w:t>
      </w:r>
    </w:p>
  </w:footnote>
  <w:footnote w:id="12">
    <w:p w:rsidR="004222C7" w:rsidRPr="009E796D" w:rsidRDefault="004222C7" w:rsidP="002D2059">
      <w:pPr>
        <w:ind w:right="-710"/>
        <w:jc w:val="both"/>
        <w:rPr>
          <w:bCs/>
          <w:sz w:val="20"/>
          <w:szCs w:val="20"/>
        </w:rPr>
      </w:pPr>
      <w:r w:rsidRPr="004222C7">
        <w:rPr>
          <w:rStyle w:val="Refdenotaderodap"/>
          <w:sz w:val="20"/>
          <w:szCs w:val="20"/>
        </w:rPr>
        <w:footnoteRef/>
      </w:r>
      <w:r w:rsidR="009E796D">
        <w:rPr>
          <w:sz w:val="20"/>
          <w:szCs w:val="20"/>
        </w:rPr>
        <w:t xml:space="preserve"> </w:t>
      </w:r>
      <w:r w:rsidRPr="004222C7">
        <w:rPr>
          <w:sz w:val="20"/>
          <w:szCs w:val="20"/>
        </w:rPr>
        <w:t xml:space="preserve">COPETTI, André. </w:t>
      </w:r>
      <w:r w:rsidRPr="004222C7">
        <w:rPr>
          <w:i/>
          <w:sz w:val="20"/>
          <w:szCs w:val="20"/>
        </w:rPr>
        <w:t>Direito penal e estado democrático de direito</w:t>
      </w:r>
      <w:r w:rsidRPr="004222C7">
        <w:rPr>
          <w:sz w:val="20"/>
          <w:szCs w:val="20"/>
        </w:rPr>
        <w:t xml:space="preserve">, p. 185, apud </w:t>
      </w:r>
      <w:r w:rsidRPr="004222C7">
        <w:rPr>
          <w:bCs/>
          <w:sz w:val="20"/>
          <w:szCs w:val="20"/>
        </w:rPr>
        <w:t xml:space="preserve">GRECO, Rogério. Curso de direito penal: parte geral. </w:t>
      </w:r>
      <w:proofErr w:type="gramStart"/>
      <w:r w:rsidRPr="004222C7">
        <w:rPr>
          <w:bCs/>
          <w:sz w:val="20"/>
          <w:szCs w:val="20"/>
        </w:rPr>
        <w:t>14.</w:t>
      </w:r>
      <w:proofErr w:type="gramEnd"/>
      <w:r w:rsidRPr="004222C7">
        <w:rPr>
          <w:bCs/>
          <w:sz w:val="20"/>
          <w:szCs w:val="20"/>
        </w:rPr>
        <w:t xml:space="preserve">ed. Rio de Janeiro: </w:t>
      </w:r>
      <w:proofErr w:type="spellStart"/>
      <w:r w:rsidRPr="004222C7">
        <w:rPr>
          <w:bCs/>
          <w:sz w:val="20"/>
          <w:szCs w:val="20"/>
        </w:rPr>
        <w:t>Impetus</w:t>
      </w:r>
      <w:proofErr w:type="spellEnd"/>
      <w:r w:rsidRPr="004222C7">
        <w:rPr>
          <w:bCs/>
          <w:sz w:val="20"/>
          <w:szCs w:val="20"/>
        </w:rPr>
        <w:t>, 2012, p. 667.</w:t>
      </w:r>
    </w:p>
  </w:footnote>
  <w:footnote w:id="13">
    <w:p w:rsidR="009E796D" w:rsidRPr="002D2059" w:rsidRDefault="009E796D" w:rsidP="002D2059">
      <w:pPr>
        <w:ind w:right="-710"/>
        <w:jc w:val="both"/>
        <w:rPr>
          <w:bCs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4222C7">
        <w:rPr>
          <w:bCs/>
          <w:sz w:val="20"/>
          <w:szCs w:val="20"/>
        </w:rPr>
        <w:t xml:space="preserve">GRECO, Rogério. </w:t>
      </w:r>
      <w:r w:rsidRPr="009E796D">
        <w:rPr>
          <w:bCs/>
          <w:i/>
          <w:sz w:val="20"/>
          <w:szCs w:val="20"/>
        </w:rPr>
        <w:t>Curso de direito penal: parte geral</w:t>
      </w:r>
      <w:r w:rsidRPr="004222C7">
        <w:rPr>
          <w:bCs/>
          <w:sz w:val="20"/>
          <w:szCs w:val="20"/>
        </w:rPr>
        <w:t xml:space="preserve">. </w:t>
      </w:r>
      <w:proofErr w:type="gramStart"/>
      <w:r w:rsidRPr="004222C7">
        <w:rPr>
          <w:bCs/>
          <w:sz w:val="20"/>
          <w:szCs w:val="20"/>
        </w:rPr>
        <w:t>14.</w:t>
      </w:r>
      <w:proofErr w:type="gramEnd"/>
      <w:r w:rsidRPr="004222C7">
        <w:rPr>
          <w:bCs/>
          <w:sz w:val="20"/>
          <w:szCs w:val="20"/>
        </w:rPr>
        <w:t xml:space="preserve">ed. Rio de Janeiro: </w:t>
      </w:r>
      <w:proofErr w:type="spellStart"/>
      <w:r w:rsidRPr="004222C7">
        <w:rPr>
          <w:bCs/>
          <w:sz w:val="20"/>
          <w:szCs w:val="20"/>
        </w:rPr>
        <w:t>Impetus</w:t>
      </w:r>
      <w:proofErr w:type="spellEnd"/>
      <w:r w:rsidRPr="004222C7">
        <w:rPr>
          <w:bCs/>
          <w:sz w:val="20"/>
          <w:szCs w:val="20"/>
        </w:rPr>
        <w:t>, 2012, p. 667.</w:t>
      </w:r>
    </w:p>
  </w:footnote>
  <w:footnote w:id="14">
    <w:p w:rsidR="002D2059" w:rsidRDefault="002D2059" w:rsidP="002D205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 </w:t>
      </w:r>
      <w:r w:rsidRPr="002D2059">
        <w:rPr>
          <w:rFonts w:ascii="Times New Roman" w:hAnsi="Times New Roman" w:cs="Times New Roman"/>
        </w:rPr>
        <w:t xml:space="preserve">HC 97621/ RS, Rel. Min. Cezar </w:t>
      </w:r>
      <w:proofErr w:type="spellStart"/>
      <w:r w:rsidRPr="002D2059">
        <w:rPr>
          <w:rFonts w:ascii="Times New Roman" w:hAnsi="Times New Roman" w:cs="Times New Roman"/>
        </w:rPr>
        <w:t>Peluso</w:t>
      </w:r>
      <w:proofErr w:type="spellEnd"/>
      <w:r w:rsidRPr="002D2059">
        <w:rPr>
          <w:rFonts w:ascii="Times New Roman" w:hAnsi="Times New Roman" w:cs="Times New Roman"/>
        </w:rPr>
        <w:t>, 2ª T., j. 2/6/2009.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C14"/>
    <w:rsid w:val="00050802"/>
    <w:rsid w:val="000C73E0"/>
    <w:rsid w:val="00106B98"/>
    <w:rsid w:val="001A66EE"/>
    <w:rsid w:val="001D61D8"/>
    <w:rsid w:val="001F70AF"/>
    <w:rsid w:val="002D2059"/>
    <w:rsid w:val="003A325A"/>
    <w:rsid w:val="003F1C14"/>
    <w:rsid w:val="004222C7"/>
    <w:rsid w:val="00480754"/>
    <w:rsid w:val="00487536"/>
    <w:rsid w:val="00573136"/>
    <w:rsid w:val="005B3BDC"/>
    <w:rsid w:val="006D69BE"/>
    <w:rsid w:val="00702E31"/>
    <w:rsid w:val="00771CC5"/>
    <w:rsid w:val="00780509"/>
    <w:rsid w:val="00793578"/>
    <w:rsid w:val="00832A53"/>
    <w:rsid w:val="008877E9"/>
    <w:rsid w:val="008F0064"/>
    <w:rsid w:val="00956014"/>
    <w:rsid w:val="009E796D"/>
    <w:rsid w:val="00A06A75"/>
    <w:rsid w:val="00AE1F9F"/>
    <w:rsid w:val="00D650C8"/>
    <w:rsid w:val="00E508E7"/>
    <w:rsid w:val="00E50FB4"/>
    <w:rsid w:val="00EB1664"/>
    <w:rsid w:val="00F41739"/>
    <w:rsid w:val="00F66ED1"/>
    <w:rsid w:val="00FE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C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C14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3F1C14"/>
    <w:rPr>
      <w:vertAlign w:val="superscript"/>
    </w:rPr>
  </w:style>
  <w:style w:type="character" w:customStyle="1" w:styleId="apple-converted-space">
    <w:name w:val="apple-converted-space"/>
    <w:basedOn w:val="Fontepargpadro"/>
    <w:rsid w:val="003F1C14"/>
  </w:style>
  <w:style w:type="character" w:styleId="Forte">
    <w:name w:val="Strong"/>
    <w:basedOn w:val="Fontepargpadro"/>
    <w:uiPriority w:val="22"/>
    <w:qFormat/>
    <w:rsid w:val="003F1C14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422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22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22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22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BF8D-3474-4AA9-85FC-5ED40AC2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2905</Words>
  <Characters>15693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Ianna e Isabela</dc:creator>
  <cp:lastModifiedBy>user</cp:lastModifiedBy>
  <cp:revision>5</cp:revision>
  <dcterms:created xsi:type="dcterms:W3CDTF">2012-05-20T23:07:00Z</dcterms:created>
  <dcterms:modified xsi:type="dcterms:W3CDTF">2012-05-21T06:40:00Z</dcterms:modified>
</cp:coreProperties>
</file>