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B23" w:rsidRDefault="001A5B23" w:rsidP="002E4716">
      <w:pPr>
        <w:jc w:val="center"/>
        <w:rPr>
          <w:rFonts w:ascii="Times New Roman" w:hAnsi="Times New Roman" w:cs="Times New Roman"/>
          <w:b/>
          <w:sz w:val="24"/>
          <w:szCs w:val="24"/>
        </w:rPr>
      </w:pPr>
      <w:r>
        <w:rPr>
          <w:rFonts w:ascii="Times New Roman" w:hAnsi="Times New Roman" w:cs="Times New Roman"/>
          <w:b/>
          <w:sz w:val="24"/>
          <w:szCs w:val="24"/>
        </w:rPr>
        <w:t xml:space="preserve">CONDOMÍNIO EDILÍCIO – </w:t>
      </w:r>
      <w:r w:rsidR="002E4716">
        <w:rPr>
          <w:rFonts w:ascii="Times New Roman" w:hAnsi="Times New Roman" w:cs="Times New Roman"/>
          <w:b/>
          <w:sz w:val="24"/>
          <w:szCs w:val="24"/>
        </w:rPr>
        <w:t xml:space="preserve">NATUREZA JURÍDICA: </w:t>
      </w:r>
      <w:r>
        <w:rPr>
          <w:rFonts w:ascii="Times New Roman" w:hAnsi="Times New Roman" w:cs="Times New Roman"/>
          <w:b/>
          <w:sz w:val="24"/>
          <w:szCs w:val="24"/>
        </w:rPr>
        <w:t>EVOLUÇÃO DA PERSONALIDADE JURÍDICA</w:t>
      </w:r>
    </w:p>
    <w:p w:rsidR="002E4716" w:rsidRDefault="002E4716" w:rsidP="002E4716">
      <w:pPr>
        <w:jc w:val="center"/>
        <w:rPr>
          <w:rFonts w:ascii="Times New Roman" w:hAnsi="Times New Roman" w:cs="Times New Roman"/>
          <w:b/>
          <w:sz w:val="24"/>
          <w:szCs w:val="24"/>
        </w:rPr>
      </w:pPr>
    </w:p>
    <w:p w:rsidR="0077406C" w:rsidRDefault="0077406C" w:rsidP="002E4716">
      <w:pPr>
        <w:jc w:val="center"/>
        <w:rPr>
          <w:rFonts w:ascii="Times New Roman" w:hAnsi="Times New Roman" w:cs="Times New Roman"/>
          <w:b/>
          <w:sz w:val="24"/>
          <w:szCs w:val="24"/>
        </w:rPr>
      </w:pPr>
      <w:bookmarkStart w:id="0" w:name="_GoBack"/>
      <w:bookmarkEnd w:id="0"/>
    </w:p>
    <w:p w:rsidR="0077406C" w:rsidRDefault="0077406C" w:rsidP="002E4716">
      <w:pPr>
        <w:jc w:val="center"/>
        <w:rPr>
          <w:rFonts w:ascii="Times New Roman" w:hAnsi="Times New Roman" w:cs="Times New Roman"/>
          <w:b/>
          <w:sz w:val="24"/>
          <w:szCs w:val="24"/>
        </w:rPr>
      </w:pPr>
    </w:p>
    <w:p w:rsidR="002E4716" w:rsidRDefault="002E4716" w:rsidP="002E4716">
      <w:pPr>
        <w:jc w:val="center"/>
        <w:rPr>
          <w:rFonts w:ascii="Times New Roman" w:hAnsi="Times New Roman" w:cs="Times New Roman"/>
          <w:b/>
          <w:sz w:val="24"/>
          <w:szCs w:val="24"/>
        </w:rPr>
      </w:pPr>
    </w:p>
    <w:p w:rsidR="002E4716" w:rsidRDefault="004746F0" w:rsidP="002E4716">
      <w:pPr>
        <w:pStyle w:val="SemEspaamento"/>
        <w:jc w:val="right"/>
        <w:rPr>
          <w:rFonts w:ascii="Times New Roman" w:hAnsi="Times New Roman" w:cs="Times New Roman"/>
          <w:sz w:val="24"/>
          <w:szCs w:val="24"/>
        </w:rPr>
      </w:pPr>
      <w:r>
        <w:rPr>
          <w:rFonts w:ascii="Times New Roman" w:hAnsi="Times New Roman" w:cs="Times New Roman"/>
          <w:sz w:val="24"/>
          <w:szCs w:val="24"/>
        </w:rPr>
        <w:t>Geraldo Lucas do Amaral Júnior</w:t>
      </w:r>
      <w:r w:rsidR="002E4716" w:rsidRPr="002E4716">
        <w:rPr>
          <w:rStyle w:val="Refdenotaderodap"/>
          <w:rFonts w:ascii="Times New Roman" w:hAnsi="Times New Roman" w:cs="Times New Roman"/>
          <w:sz w:val="24"/>
          <w:szCs w:val="24"/>
        </w:rPr>
        <w:footnoteReference w:id="1"/>
      </w:r>
    </w:p>
    <w:p w:rsidR="002E4716" w:rsidRDefault="002E4716" w:rsidP="002E4716">
      <w:pPr>
        <w:pStyle w:val="SemEspaamento"/>
        <w:spacing w:line="360" w:lineRule="auto"/>
        <w:jc w:val="right"/>
        <w:rPr>
          <w:rFonts w:ascii="Times New Roman" w:hAnsi="Times New Roman" w:cs="Times New Roman"/>
          <w:sz w:val="24"/>
          <w:szCs w:val="24"/>
        </w:rPr>
      </w:pPr>
    </w:p>
    <w:p w:rsidR="0077406C" w:rsidRDefault="0077406C" w:rsidP="002E4716">
      <w:pPr>
        <w:pStyle w:val="SemEspaamento"/>
        <w:spacing w:line="360" w:lineRule="auto"/>
        <w:jc w:val="right"/>
        <w:rPr>
          <w:rFonts w:ascii="Times New Roman" w:hAnsi="Times New Roman" w:cs="Times New Roman"/>
          <w:sz w:val="24"/>
          <w:szCs w:val="24"/>
        </w:rPr>
      </w:pPr>
    </w:p>
    <w:p w:rsidR="0077406C" w:rsidRDefault="0077406C" w:rsidP="002E4716">
      <w:pPr>
        <w:pStyle w:val="SemEspaamento"/>
        <w:spacing w:line="360" w:lineRule="auto"/>
        <w:jc w:val="right"/>
        <w:rPr>
          <w:rFonts w:ascii="Times New Roman" w:hAnsi="Times New Roman" w:cs="Times New Roman"/>
          <w:sz w:val="24"/>
          <w:szCs w:val="24"/>
        </w:rPr>
      </w:pPr>
    </w:p>
    <w:p w:rsidR="002E4716" w:rsidRDefault="002E4716" w:rsidP="002E4716">
      <w:pPr>
        <w:pStyle w:val="SemEspaamento"/>
        <w:spacing w:line="360" w:lineRule="auto"/>
        <w:jc w:val="right"/>
        <w:rPr>
          <w:rFonts w:ascii="Times New Roman" w:hAnsi="Times New Roman" w:cs="Times New Roman"/>
          <w:sz w:val="24"/>
          <w:szCs w:val="24"/>
        </w:rPr>
      </w:pPr>
    </w:p>
    <w:p w:rsidR="002E4716" w:rsidRDefault="002E4716" w:rsidP="004444CB">
      <w:pPr>
        <w:pStyle w:val="SemEspaamento"/>
        <w:jc w:val="both"/>
        <w:rPr>
          <w:rFonts w:ascii="Times New Roman" w:hAnsi="Times New Roman" w:cs="Times New Roman"/>
          <w:sz w:val="24"/>
          <w:szCs w:val="24"/>
        </w:rPr>
      </w:pPr>
      <w:r w:rsidRPr="002E4716">
        <w:rPr>
          <w:rFonts w:ascii="Times New Roman" w:hAnsi="Times New Roman" w:cs="Times New Roman"/>
          <w:b/>
          <w:sz w:val="24"/>
          <w:szCs w:val="24"/>
        </w:rPr>
        <w:t>Resumo</w:t>
      </w:r>
      <w:r>
        <w:rPr>
          <w:rFonts w:ascii="Times New Roman" w:hAnsi="Times New Roman" w:cs="Times New Roman"/>
          <w:sz w:val="24"/>
          <w:szCs w:val="24"/>
        </w:rPr>
        <w:t xml:space="preserve">: O artigo analisa a controvertida natureza jurídica do condomínio edilício regulado pelo Código Civil de 2002. Busca-se demonstrar a importância do condomínio em geral, seus conceitos e divisões, bem como da importância para o desenvolvimento social. A adaptação da sociedade à evolução dos tempos, bem como vem doutrinadores e tribunais se manifestando sobre </w:t>
      </w:r>
      <w:r w:rsidR="004444CB">
        <w:rPr>
          <w:rFonts w:ascii="Times New Roman" w:hAnsi="Times New Roman" w:cs="Times New Roman"/>
          <w:sz w:val="24"/>
          <w:szCs w:val="24"/>
        </w:rPr>
        <w:t>as incidências desse dispositivo. Tratado como modalidade especial de condomínio busca-se demonstrar as peculiaridades de seu desenvolvimento, bem como na mutação do direito após o advento do Código Civil de 2002. Por fim, são abordadas as teorias e posicionamentos doutrinários e dos Tribunais. Conclui-se pela mutação do direito</w:t>
      </w:r>
      <w:r w:rsidR="00942B5F">
        <w:rPr>
          <w:rFonts w:ascii="Times New Roman" w:hAnsi="Times New Roman" w:cs="Times New Roman"/>
          <w:sz w:val="24"/>
          <w:szCs w:val="24"/>
        </w:rPr>
        <w:t xml:space="preserve"> de acordo com a evolução da sociedade.</w:t>
      </w:r>
    </w:p>
    <w:p w:rsidR="00942B5F" w:rsidRDefault="00942B5F" w:rsidP="004444CB">
      <w:pPr>
        <w:pStyle w:val="SemEspaamento"/>
        <w:jc w:val="both"/>
        <w:rPr>
          <w:rFonts w:ascii="Times New Roman" w:hAnsi="Times New Roman" w:cs="Times New Roman"/>
          <w:sz w:val="24"/>
          <w:szCs w:val="24"/>
        </w:rPr>
      </w:pPr>
    </w:p>
    <w:p w:rsidR="0077406C" w:rsidRDefault="0077406C" w:rsidP="004444CB">
      <w:pPr>
        <w:pStyle w:val="SemEspaamento"/>
        <w:jc w:val="both"/>
        <w:rPr>
          <w:rFonts w:ascii="Times New Roman" w:hAnsi="Times New Roman" w:cs="Times New Roman"/>
          <w:sz w:val="24"/>
          <w:szCs w:val="24"/>
        </w:rPr>
      </w:pPr>
    </w:p>
    <w:p w:rsidR="0077406C" w:rsidRDefault="0077406C" w:rsidP="004444CB">
      <w:pPr>
        <w:pStyle w:val="SemEspaamento"/>
        <w:jc w:val="both"/>
        <w:rPr>
          <w:rFonts w:ascii="Times New Roman" w:hAnsi="Times New Roman" w:cs="Times New Roman"/>
          <w:sz w:val="24"/>
          <w:szCs w:val="24"/>
        </w:rPr>
      </w:pPr>
    </w:p>
    <w:p w:rsidR="00942B5F" w:rsidRDefault="00942B5F" w:rsidP="0077406C">
      <w:pPr>
        <w:pStyle w:val="SemEspaamento"/>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Palavras-chave: </w:t>
      </w:r>
      <w:r>
        <w:rPr>
          <w:rFonts w:ascii="Times New Roman" w:hAnsi="Times New Roman" w:cs="Times New Roman"/>
          <w:sz w:val="24"/>
          <w:szCs w:val="24"/>
        </w:rPr>
        <w:t>Condomínio edilício. Natureza Jurídica. Personalidade Jurídica. Possibilidade.</w:t>
      </w:r>
    </w:p>
    <w:p w:rsidR="00942B5F" w:rsidRDefault="00942B5F" w:rsidP="0077406C">
      <w:pPr>
        <w:pStyle w:val="SemEspaamento"/>
        <w:spacing w:line="360" w:lineRule="auto"/>
        <w:jc w:val="both"/>
        <w:rPr>
          <w:rFonts w:ascii="Times New Roman" w:hAnsi="Times New Roman" w:cs="Times New Roman"/>
          <w:sz w:val="24"/>
          <w:szCs w:val="24"/>
        </w:rPr>
      </w:pPr>
    </w:p>
    <w:p w:rsidR="0077406C" w:rsidRDefault="0077406C" w:rsidP="0077406C">
      <w:pPr>
        <w:pStyle w:val="SemEspaamento"/>
        <w:spacing w:line="360" w:lineRule="auto"/>
        <w:jc w:val="both"/>
        <w:rPr>
          <w:rFonts w:ascii="Times New Roman" w:hAnsi="Times New Roman" w:cs="Times New Roman"/>
          <w:sz w:val="24"/>
          <w:szCs w:val="24"/>
        </w:rPr>
      </w:pPr>
    </w:p>
    <w:p w:rsidR="00942B5F" w:rsidRPr="00942B5F" w:rsidRDefault="00942B5F" w:rsidP="0077406C">
      <w:pPr>
        <w:pStyle w:val="SemEspaamento"/>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Sumário: 1 </w:t>
      </w:r>
      <w:r>
        <w:rPr>
          <w:rFonts w:ascii="Times New Roman" w:hAnsi="Times New Roman" w:cs="Times New Roman"/>
          <w:sz w:val="24"/>
          <w:szCs w:val="24"/>
        </w:rPr>
        <w:t xml:space="preserve">Introdução – </w:t>
      </w:r>
      <w:r w:rsidRPr="0077406C">
        <w:rPr>
          <w:rFonts w:ascii="Times New Roman" w:hAnsi="Times New Roman" w:cs="Times New Roman"/>
          <w:b/>
          <w:sz w:val="24"/>
          <w:szCs w:val="24"/>
        </w:rPr>
        <w:t>2</w:t>
      </w:r>
      <w:r>
        <w:rPr>
          <w:rFonts w:ascii="Times New Roman" w:hAnsi="Times New Roman" w:cs="Times New Roman"/>
          <w:sz w:val="24"/>
          <w:szCs w:val="24"/>
        </w:rPr>
        <w:t xml:space="preserve"> Condomínio e seus </w:t>
      </w:r>
      <w:r w:rsidR="0077406C">
        <w:rPr>
          <w:rFonts w:ascii="Times New Roman" w:hAnsi="Times New Roman" w:cs="Times New Roman"/>
          <w:sz w:val="24"/>
          <w:szCs w:val="24"/>
        </w:rPr>
        <w:t>A</w:t>
      </w:r>
      <w:r>
        <w:rPr>
          <w:rFonts w:ascii="Times New Roman" w:hAnsi="Times New Roman" w:cs="Times New Roman"/>
          <w:sz w:val="24"/>
          <w:szCs w:val="24"/>
        </w:rPr>
        <w:t xml:space="preserve">spectos </w:t>
      </w:r>
      <w:r w:rsidR="0077406C">
        <w:rPr>
          <w:rFonts w:ascii="Times New Roman" w:hAnsi="Times New Roman" w:cs="Times New Roman"/>
          <w:sz w:val="24"/>
          <w:szCs w:val="24"/>
        </w:rPr>
        <w:t>G</w:t>
      </w:r>
      <w:r>
        <w:rPr>
          <w:rFonts w:ascii="Times New Roman" w:hAnsi="Times New Roman" w:cs="Times New Roman"/>
          <w:sz w:val="24"/>
          <w:szCs w:val="24"/>
        </w:rPr>
        <w:t>erais</w:t>
      </w:r>
      <w:r w:rsidR="0077406C">
        <w:rPr>
          <w:rFonts w:ascii="Times New Roman" w:hAnsi="Times New Roman" w:cs="Times New Roman"/>
          <w:sz w:val="24"/>
          <w:szCs w:val="24"/>
        </w:rPr>
        <w:t xml:space="preserve"> – </w:t>
      </w:r>
      <w:r w:rsidR="0077406C" w:rsidRPr="0077406C">
        <w:rPr>
          <w:rFonts w:ascii="Times New Roman" w:hAnsi="Times New Roman" w:cs="Times New Roman"/>
          <w:b/>
          <w:sz w:val="24"/>
          <w:szCs w:val="24"/>
        </w:rPr>
        <w:t>2.1</w:t>
      </w:r>
      <w:r w:rsidR="0077406C">
        <w:rPr>
          <w:rFonts w:ascii="Times New Roman" w:hAnsi="Times New Roman" w:cs="Times New Roman"/>
          <w:sz w:val="24"/>
          <w:szCs w:val="24"/>
        </w:rPr>
        <w:t xml:space="preserve"> Condomínio Geral – </w:t>
      </w:r>
      <w:r w:rsidR="0077406C" w:rsidRPr="0077406C">
        <w:rPr>
          <w:rFonts w:ascii="Times New Roman" w:hAnsi="Times New Roman" w:cs="Times New Roman"/>
          <w:b/>
          <w:sz w:val="24"/>
          <w:szCs w:val="24"/>
        </w:rPr>
        <w:t>2.1.1</w:t>
      </w:r>
      <w:r w:rsidR="0077406C">
        <w:rPr>
          <w:rFonts w:ascii="Times New Roman" w:hAnsi="Times New Roman" w:cs="Times New Roman"/>
          <w:sz w:val="24"/>
          <w:szCs w:val="24"/>
        </w:rPr>
        <w:t xml:space="preserve"> Condomínio Voluntário – </w:t>
      </w:r>
      <w:r w:rsidR="0077406C" w:rsidRPr="0077406C">
        <w:rPr>
          <w:rFonts w:ascii="Times New Roman" w:hAnsi="Times New Roman" w:cs="Times New Roman"/>
          <w:b/>
          <w:sz w:val="24"/>
          <w:szCs w:val="24"/>
        </w:rPr>
        <w:t>2.1.2</w:t>
      </w:r>
      <w:r w:rsidR="0077406C">
        <w:rPr>
          <w:rFonts w:ascii="Times New Roman" w:hAnsi="Times New Roman" w:cs="Times New Roman"/>
          <w:sz w:val="24"/>
          <w:szCs w:val="24"/>
        </w:rPr>
        <w:t xml:space="preserve"> Condomínio Necessário – </w:t>
      </w:r>
      <w:r w:rsidR="0077406C" w:rsidRPr="0077406C">
        <w:rPr>
          <w:rFonts w:ascii="Times New Roman" w:hAnsi="Times New Roman" w:cs="Times New Roman"/>
          <w:b/>
          <w:sz w:val="24"/>
          <w:szCs w:val="24"/>
        </w:rPr>
        <w:t>3</w:t>
      </w:r>
      <w:r w:rsidR="0077406C">
        <w:rPr>
          <w:rFonts w:ascii="Times New Roman" w:hAnsi="Times New Roman" w:cs="Times New Roman"/>
          <w:sz w:val="24"/>
          <w:szCs w:val="24"/>
        </w:rPr>
        <w:t xml:space="preserve"> Condomínio Edilício – </w:t>
      </w:r>
      <w:r w:rsidR="0077406C" w:rsidRPr="0077406C">
        <w:rPr>
          <w:rFonts w:ascii="Times New Roman" w:hAnsi="Times New Roman" w:cs="Times New Roman"/>
          <w:b/>
          <w:sz w:val="24"/>
          <w:szCs w:val="24"/>
        </w:rPr>
        <w:t xml:space="preserve">4 </w:t>
      </w:r>
      <w:r w:rsidR="0077406C">
        <w:rPr>
          <w:rFonts w:ascii="Times New Roman" w:hAnsi="Times New Roman" w:cs="Times New Roman"/>
          <w:sz w:val="24"/>
          <w:szCs w:val="24"/>
        </w:rPr>
        <w:t xml:space="preserve">Natureza Jurídica do Condomínio Edilício </w:t>
      </w:r>
      <w:r w:rsidR="0077406C" w:rsidRPr="0077406C">
        <w:rPr>
          <w:rFonts w:ascii="Times New Roman" w:hAnsi="Times New Roman" w:cs="Times New Roman"/>
          <w:b/>
          <w:sz w:val="24"/>
          <w:szCs w:val="24"/>
        </w:rPr>
        <w:t>5</w:t>
      </w:r>
      <w:r w:rsidR="0077406C">
        <w:rPr>
          <w:rFonts w:ascii="Times New Roman" w:hAnsi="Times New Roman" w:cs="Times New Roman"/>
          <w:sz w:val="24"/>
          <w:szCs w:val="24"/>
        </w:rPr>
        <w:t xml:space="preserve"> - Conclusão</w:t>
      </w:r>
    </w:p>
    <w:p w:rsidR="001A5B23" w:rsidRDefault="001A5B23" w:rsidP="00D37530">
      <w:pPr>
        <w:jc w:val="both"/>
        <w:rPr>
          <w:rFonts w:ascii="Times New Roman" w:hAnsi="Times New Roman" w:cs="Times New Roman"/>
          <w:b/>
          <w:sz w:val="24"/>
          <w:szCs w:val="24"/>
        </w:rPr>
      </w:pPr>
    </w:p>
    <w:p w:rsidR="0077406C" w:rsidRDefault="0077406C" w:rsidP="00D37530">
      <w:pPr>
        <w:jc w:val="both"/>
        <w:rPr>
          <w:rFonts w:ascii="Times New Roman" w:hAnsi="Times New Roman" w:cs="Times New Roman"/>
          <w:b/>
          <w:sz w:val="24"/>
          <w:szCs w:val="24"/>
        </w:rPr>
      </w:pPr>
    </w:p>
    <w:p w:rsidR="0077406C" w:rsidRDefault="0077406C" w:rsidP="00D37530">
      <w:pPr>
        <w:jc w:val="both"/>
        <w:rPr>
          <w:rFonts w:ascii="Times New Roman" w:hAnsi="Times New Roman" w:cs="Times New Roman"/>
          <w:b/>
          <w:sz w:val="24"/>
          <w:szCs w:val="24"/>
        </w:rPr>
      </w:pPr>
    </w:p>
    <w:p w:rsidR="0077406C" w:rsidRDefault="0077406C" w:rsidP="00D37530">
      <w:pPr>
        <w:jc w:val="both"/>
        <w:rPr>
          <w:rFonts w:ascii="Times New Roman" w:hAnsi="Times New Roman" w:cs="Times New Roman"/>
          <w:b/>
          <w:sz w:val="24"/>
          <w:szCs w:val="24"/>
        </w:rPr>
      </w:pPr>
    </w:p>
    <w:p w:rsidR="0077406C" w:rsidRDefault="0077406C" w:rsidP="00D37530">
      <w:pPr>
        <w:jc w:val="both"/>
        <w:rPr>
          <w:rFonts w:ascii="Times New Roman" w:hAnsi="Times New Roman" w:cs="Times New Roman"/>
          <w:b/>
          <w:sz w:val="24"/>
          <w:szCs w:val="24"/>
        </w:rPr>
      </w:pPr>
    </w:p>
    <w:p w:rsidR="003F4DAC" w:rsidRDefault="008E09E0" w:rsidP="00D37530">
      <w:pPr>
        <w:jc w:val="both"/>
        <w:rPr>
          <w:rFonts w:ascii="Times New Roman" w:hAnsi="Times New Roman" w:cs="Times New Roman"/>
          <w:b/>
          <w:sz w:val="24"/>
          <w:szCs w:val="24"/>
        </w:rPr>
      </w:pPr>
      <w:r w:rsidRPr="00570810">
        <w:rPr>
          <w:rFonts w:ascii="Times New Roman" w:hAnsi="Times New Roman" w:cs="Times New Roman"/>
          <w:b/>
          <w:sz w:val="24"/>
          <w:szCs w:val="24"/>
        </w:rPr>
        <w:t>1 INTRODUÇÃO</w:t>
      </w:r>
    </w:p>
    <w:p w:rsidR="00570810" w:rsidRPr="00570810" w:rsidRDefault="00570810" w:rsidP="00D37530">
      <w:pPr>
        <w:jc w:val="both"/>
        <w:rPr>
          <w:rFonts w:ascii="Times New Roman" w:hAnsi="Times New Roman" w:cs="Times New Roman"/>
          <w:b/>
          <w:sz w:val="24"/>
          <w:szCs w:val="24"/>
        </w:rPr>
      </w:pPr>
    </w:p>
    <w:p w:rsidR="0095747E" w:rsidRDefault="0095747E" w:rsidP="0095747E">
      <w:pPr>
        <w:pStyle w:val="SemEspaamento"/>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instituição do </w:t>
      </w:r>
      <w:r w:rsidR="009F149D">
        <w:rPr>
          <w:rFonts w:ascii="Times New Roman" w:hAnsi="Times New Roman" w:cs="Times New Roman"/>
          <w:sz w:val="24"/>
          <w:szCs w:val="24"/>
        </w:rPr>
        <w:t>condomínio se trata</w:t>
      </w:r>
      <w:r w:rsidRPr="0095747E">
        <w:rPr>
          <w:rFonts w:ascii="Times New Roman" w:hAnsi="Times New Roman" w:cs="Times New Roman"/>
          <w:sz w:val="24"/>
          <w:szCs w:val="24"/>
        </w:rPr>
        <w:t xml:space="preserve"> de </w:t>
      </w:r>
      <w:r w:rsidR="009F149D">
        <w:rPr>
          <w:rFonts w:ascii="Times New Roman" w:hAnsi="Times New Roman" w:cs="Times New Roman"/>
          <w:sz w:val="24"/>
          <w:szCs w:val="24"/>
        </w:rPr>
        <w:t>matéria</w:t>
      </w:r>
      <w:r w:rsidRPr="0095747E">
        <w:rPr>
          <w:rFonts w:ascii="Times New Roman" w:hAnsi="Times New Roman" w:cs="Times New Roman"/>
          <w:sz w:val="24"/>
          <w:szCs w:val="24"/>
        </w:rPr>
        <w:t xml:space="preserve"> que</w:t>
      </w:r>
      <w:r w:rsidR="009F149D">
        <w:rPr>
          <w:rFonts w:ascii="Times New Roman" w:hAnsi="Times New Roman" w:cs="Times New Roman"/>
          <w:sz w:val="24"/>
          <w:szCs w:val="24"/>
        </w:rPr>
        <w:t xml:space="preserve"> inicialmente </w:t>
      </w:r>
      <w:r w:rsidRPr="0095747E">
        <w:rPr>
          <w:rFonts w:ascii="Times New Roman" w:hAnsi="Times New Roman" w:cs="Times New Roman"/>
          <w:sz w:val="24"/>
          <w:szCs w:val="24"/>
        </w:rPr>
        <w:t>desafia</w:t>
      </w:r>
      <w:r w:rsidR="009F149D">
        <w:rPr>
          <w:rFonts w:ascii="Times New Roman" w:hAnsi="Times New Roman" w:cs="Times New Roman"/>
          <w:sz w:val="24"/>
          <w:szCs w:val="24"/>
        </w:rPr>
        <w:t>va</w:t>
      </w:r>
      <w:r w:rsidRPr="0095747E">
        <w:rPr>
          <w:rFonts w:ascii="Times New Roman" w:hAnsi="Times New Roman" w:cs="Times New Roman"/>
          <w:sz w:val="24"/>
          <w:szCs w:val="24"/>
        </w:rPr>
        <w:t xml:space="preserve"> o entendimento dos estudiosos, uma vez que se contrapõe ao direito de propriedade, onde um dos principais requisitos é a exclusividade,</w:t>
      </w:r>
      <w:r w:rsidR="006637CA">
        <w:rPr>
          <w:rFonts w:ascii="Times New Roman" w:hAnsi="Times New Roman" w:cs="Times New Roman"/>
          <w:sz w:val="24"/>
          <w:szCs w:val="24"/>
        </w:rPr>
        <w:t xml:space="preserve"> conduzindo á ideia de assenhoramento,</w:t>
      </w:r>
      <w:r w:rsidRPr="0095747E">
        <w:rPr>
          <w:rFonts w:ascii="Times New Roman" w:hAnsi="Times New Roman" w:cs="Times New Roman"/>
          <w:sz w:val="24"/>
          <w:szCs w:val="24"/>
        </w:rPr>
        <w:t xml:space="preserve"> enquanto que o condomínio possibilita qu</w:t>
      </w:r>
      <w:r w:rsidR="006637CA">
        <w:rPr>
          <w:rFonts w:ascii="Times New Roman" w:hAnsi="Times New Roman" w:cs="Times New Roman"/>
          <w:sz w:val="24"/>
          <w:szCs w:val="24"/>
        </w:rPr>
        <w:t>e mais de uma pessoa se torne</w:t>
      </w:r>
      <w:r w:rsidRPr="0095747E">
        <w:rPr>
          <w:rFonts w:ascii="Times New Roman" w:hAnsi="Times New Roman" w:cs="Times New Roman"/>
          <w:sz w:val="24"/>
          <w:szCs w:val="24"/>
        </w:rPr>
        <w:t xml:space="preserve"> dona de uma mesma coisa.</w:t>
      </w:r>
    </w:p>
    <w:p w:rsidR="006637CA" w:rsidRDefault="006637CA" w:rsidP="0095747E">
      <w:pPr>
        <w:pStyle w:val="SemEspaamento"/>
        <w:spacing w:line="360" w:lineRule="auto"/>
        <w:ind w:firstLine="851"/>
        <w:jc w:val="both"/>
        <w:rPr>
          <w:rFonts w:ascii="Times New Roman" w:hAnsi="Times New Roman" w:cs="Times New Roman"/>
          <w:sz w:val="24"/>
          <w:szCs w:val="24"/>
        </w:rPr>
      </w:pPr>
    </w:p>
    <w:p w:rsidR="009F149D" w:rsidRPr="0095747E" w:rsidRDefault="0095747E" w:rsidP="009F149D">
      <w:pPr>
        <w:pStyle w:val="SemEspaamento"/>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Inicialmente este instituto não era bem visto, </w:t>
      </w:r>
      <w:r w:rsidR="009F149D">
        <w:rPr>
          <w:rFonts w:ascii="Times New Roman" w:hAnsi="Times New Roman" w:cs="Times New Roman"/>
          <w:sz w:val="24"/>
          <w:szCs w:val="24"/>
        </w:rPr>
        <w:t>no entanto, diante da necessidade a sociedade bem se adaptou e o ordenamento jurídico brasileiro tratou de regular, senão todas, pelo ou menos as mais controvertidas matérias.</w:t>
      </w:r>
    </w:p>
    <w:p w:rsidR="0095747E" w:rsidRPr="0095747E" w:rsidRDefault="0095747E" w:rsidP="0095747E">
      <w:pPr>
        <w:pStyle w:val="SemEspaamento"/>
        <w:spacing w:line="360" w:lineRule="auto"/>
        <w:ind w:firstLine="851"/>
        <w:jc w:val="both"/>
        <w:rPr>
          <w:rFonts w:ascii="Times New Roman" w:hAnsi="Times New Roman" w:cs="Times New Roman"/>
          <w:sz w:val="24"/>
          <w:szCs w:val="24"/>
        </w:rPr>
      </w:pPr>
      <w:r w:rsidRPr="0095747E">
        <w:rPr>
          <w:rFonts w:ascii="Times New Roman" w:hAnsi="Times New Roman" w:cs="Times New Roman"/>
          <w:sz w:val="24"/>
          <w:szCs w:val="24"/>
        </w:rPr>
        <w:t xml:space="preserve">O Código Civil brasileiro de 2002, </w:t>
      </w:r>
      <w:r w:rsidR="009F149D">
        <w:rPr>
          <w:rFonts w:ascii="Times New Roman" w:hAnsi="Times New Roman" w:cs="Times New Roman"/>
          <w:sz w:val="24"/>
          <w:szCs w:val="24"/>
        </w:rPr>
        <w:t>veio expressamente disciplinar a matéria,</w:t>
      </w:r>
      <w:r w:rsidRPr="0095747E">
        <w:rPr>
          <w:rFonts w:ascii="Times New Roman" w:hAnsi="Times New Roman" w:cs="Times New Roman"/>
          <w:sz w:val="24"/>
          <w:szCs w:val="24"/>
        </w:rPr>
        <w:t xml:space="preserve"> dividindo</w:t>
      </w:r>
      <w:r w:rsidR="009F149D">
        <w:rPr>
          <w:rFonts w:ascii="Times New Roman" w:hAnsi="Times New Roman" w:cs="Times New Roman"/>
          <w:sz w:val="24"/>
          <w:szCs w:val="24"/>
        </w:rPr>
        <w:t>-a</w:t>
      </w:r>
      <w:r w:rsidRPr="0095747E">
        <w:rPr>
          <w:rFonts w:ascii="Times New Roman" w:hAnsi="Times New Roman" w:cs="Times New Roman"/>
          <w:sz w:val="24"/>
          <w:szCs w:val="24"/>
        </w:rPr>
        <w:t xml:space="preserve"> em duas espécies de condomínio: a) condomínio geral, que se subdivide em voluntário (artigos 1.314 a 1.326), e necessário (artigos 1.327 a 1.330); b) condomínio edilício  ou em edificações (artigos 1.331 a 1.358).</w:t>
      </w:r>
    </w:p>
    <w:p w:rsidR="0095747E" w:rsidRPr="0095747E" w:rsidRDefault="0095747E" w:rsidP="0095747E">
      <w:pPr>
        <w:pStyle w:val="SemEspaamento"/>
        <w:spacing w:line="360" w:lineRule="auto"/>
        <w:ind w:firstLine="851"/>
        <w:jc w:val="both"/>
        <w:rPr>
          <w:rFonts w:ascii="Times New Roman" w:hAnsi="Times New Roman" w:cs="Times New Roman"/>
          <w:sz w:val="24"/>
          <w:szCs w:val="24"/>
        </w:rPr>
      </w:pPr>
      <w:r w:rsidRPr="0095747E">
        <w:rPr>
          <w:rFonts w:ascii="Times New Roman" w:hAnsi="Times New Roman" w:cs="Times New Roman"/>
          <w:sz w:val="24"/>
          <w:szCs w:val="24"/>
        </w:rPr>
        <w:t>O condomínio voluntário deriva de um acordo de vontade das partes e já tem presença marcada desde o direito romano. Em contrapartida, o condomínio necessário</w:t>
      </w:r>
      <w:r w:rsidR="006637CA">
        <w:rPr>
          <w:rFonts w:ascii="Times New Roman" w:hAnsi="Times New Roman" w:cs="Times New Roman"/>
          <w:sz w:val="24"/>
          <w:szCs w:val="24"/>
        </w:rPr>
        <w:t xml:space="preserve"> ou forçado é aquele imposto por lei, diante de coisa indivisa,</w:t>
      </w:r>
      <w:r w:rsidRPr="0095747E">
        <w:rPr>
          <w:rFonts w:ascii="Times New Roman" w:hAnsi="Times New Roman" w:cs="Times New Roman"/>
          <w:sz w:val="24"/>
          <w:szCs w:val="24"/>
        </w:rPr>
        <w:t xml:space="preserve"> como em casos de paredes, cercas, muros e valas.</w:t>
      </w:r>
    </w:p>
    <w:p w:rsidR="00497220" w:rsidRPr="0095747E" w:rsidRDefault="00497220" w:rsidP="0095747E">
      <w:pPr>
        <w:pStyle w:val="SemEspaamento"/>
        <w:spacing w:line="360" w:lineRule="auto"/>
        <w:ind w:firstLine="851"/>
        <w:jc w:val="both"/>
        <w:rPr>
          <w:rFonts w:ascii="Times New Roman" w:hAnsi="Times New Roman" w:cs="Times New Roman"/>
          <w:sz w:val="24"/>
          <w:szCs w:val="24"/>
        </w:rPr>
      </w:pPr>
      <w:r w:rsidRPr="0095747E">
        <w:rPr>
          <w:rFonts w:ascii="Times New Roman" w:hAnsi="Times New Roman" w:cs="Times New Roman"/>
          <w:sz w:val="24"/>
          <w:szCs w:val="24"/>
        </w:rPr>
        <w:t>Considerado como fenômeno jurídico econômico e moderno</w:t>
      </w:r>
      <w:r w:rsidR="00BE494E" w:rsidRPr="0095747E">
        <w:rPr>
          <w:rStyle w:val="Refdenotaderodap"/>
          <w:rFonts w:ascii="Times New Roman" w:hAnsi="Times New Roman" w:cs="Times New Roman"/>
          <w:sz w:val="24"/>
          <w:szCs w:val="24"/>
        </w:rPr>
        <w:footnoteReference w:id="2"/>
      </w:r>
      <w:r w:rsidRPr="0095747E">
        <w:rPr>
          <w:rFonts w:ascii="Times New Roman" w:hAnsi="Times New Roman" w:cs="Times New Roman"/>
          <w:sz w:val="24"/>
          <w:szCs w:val="24"/>
        </w:rPr>
        <w:t>, o condomínio edilício traduz na evolução da sociedade quando vem adaptar suas dificuldades de moradia a prédio de apartamentos.</w:t>
      </w:r>
    </w:p>
    <w:p w:rsidR="00497220" w:rsidRPr="0095747E" w:rsidRDefault="00497220" w:rsidP="0095747E">
      <w:pPr>
        <w:pStyle w:val="SemEspaamento"/>
        <w:spacing w:line="360" w:lineRule="auto"/>
        <w:ind w:firstLine="851"/>
        <w:jc w:val="both"/>
        <w:rPr>
          <w:rFonts w:ascii="Times New Roman" w:hAnsi="Times New Roman" w:cs="Times New Roman"/>
          <w:sz w:val="24"/>
          <w:szCs w:val="24"/>
        </w:rPr>
      </w:pPr>
      <w:r w:rsidRPr="0095747E">
        <w:rPr>
          <w:rFonts w:ascii="Times New Roman" w:hAnsi="Times New Roman" w:cs="Times New Roman"/>
          <w:sz w:val="24"/>
          <w:szCs w:val="24"/>
        </w:rPr>
        <w:t>O condomínio edilício caracteriza-se pela apresentação de uma propriedade comum ao lado de uma propriedade privativa</w:t>
      </w:r>
      <w:r w:rsidRPr="0095747E">
        <w:rPr>
          <w:rStyle w:val="Refdenotaderodap"/>
          <w:rFonts w:ascii="Times New Roman" w:hAnsi="Times New Roman" w:cs="Times New Roman"/>
          <w:sz w:val="24"/>
          <w:szCs w:val="24"/>
        </w:rPr>
        <w:footnoteReference w:id="3"/>
      </w:r>
      <w:r w:rsidRPr="0095747E">
        <w:rPr>
          <w:rFonts w:ascii="Times New Roman" w:hAnsi="Times New Roman" w:cs="Times New Roman"/>
          <w:sz w:val="24"/>
          <w:szCs w:val="24"/>
        </w:rPr>
        <w:t>.</w:t>
      </w:r>
      <w:r w:rsidR="002B5164">
        <w:rPr>
          <w:rFonts w:ascii="Times New Roman" w:hAnsi="Times New Roman" w:cs="Times New Roman"/>
          <w:sz w:val="24"/>
          <w:szCs w:val="24"/>
        </w:rPr>
        <w:t xml:space="preserve"> </w:t>
      </w:r>
      <w:r w:rsidRPr="0095747E">
        <w:rPr>
          <w:rFonts w:ascii="Times New Roman" w:hAnsi="Times New Roman" w:cs="Times New Roman"/>
          <w:sz w:val="24"/>
          <w:szCs w:val="24"/>
        </w:rPr>
        <w:t>J</w:t>
      </w:r>
      <w:r w:rsidR="00BE494E" w:rsidRPr="0095747E">
        <w:rPr>
          <w:rFonts w:ascii="Times New Roman" w:hAnsi="Times New Roman" w:cs="Times New Roman"/>
          <w:sz w:val="24"/>
          <w:szCs w:val="24"/>
        </w:rPr>
        <w:t xml:space="preserve">ustamente essa conjugação de direitos que derivou inúmeras teorias que visam explicar a sua natureza jurídica, tratando-se do tema deste artigo que visa </w:t>
      </w:r>
      <w:r w:rsidR="002B5164">
        <w:rPr>
          <w:rFonts w:ascii="Times New Roman" w:hAnsi="Times New Roman" w:cs="Times New Roman"/>
          <w:sz w:val="24"/>
          <w:szCs w:val="24"/>
        </w:rPr>
        <w:t>conceituá-la na atualidade, depois de discorrer sobre os posicionamentos de doutrinadores e julgados dos Tribunais.</w:t>
      </w:r>
    </w:p>
    <w:p w:rsidR="0095747E" w:rsidRPr="00570810" w:rsidRDefault="002B5164" w:rsidP="00570810">
      <w:pPr>
        <w:pStyle w:val="SemEspaamento"/>
        <w:spacing w:line="360" w:lineRule="auto"/>
        <w:ind w:firstLine="851"/>
        <w:jc w:val="both"/>
        <w:rPr>
          <w:rFonts w:ascii="Times New Roman" w:hAnsi="Times New Roman" w:cs="Times New Roman"/>
          <w:sz w:val="24"/>
          <w:szCs w:val="24"/>
        </w:rPr>
      </w:pPr>
      <w:r w:rsidRPr="00570810">
        <w:rPr>
          <w:rFonts w:ascii="Times New Roman" w:hAnsi="Times New Roman" w:cs="Times New Roman"/>
          <w:sz w:val="24"/>
          <w:szCs w:val="24"/>
        </w:rPr>
        <w:t>Pela especialidade desse tipo de condomínio, a matéria ainda não é pacificada, mas evolui de acordo com a própria sociedade e seus eventos sociais.</w:t>
      </w:r>
    </w:p>
    <w:p w:rsidR="00570810" w:rsidRDefault="00570810" w:rsidP="00570810">
      <w:pPr>
        <w:pStyle w:val="SemEspaamento"/>
      </w:pPr>
    </w:p>
    <w:p w:rsidR="002B5164" w:rsidRPr="00570810" w:rsidRDefault="002B5164" w:rsidP="00570810">
      <w:pPr>
        <w:pStyle w:val="SemEspaamento"/>
        <w:ind w:left="2268"/>
        <w:jc w:val="both"/>
        <w:rPr>
          <w:rFonts w:ascii="Times New Roman" w:hAnsi="Times New Roman" w:cs="Times New Roman"/>
          <w:sz w:val="20"/>
          <w:szCs w:val="20"/>
        </w:rPr>
      </w:pPr>
      <w:r w:rsidRPr="00570810">
        <w:rPr>
          <w:rFonts w:ascii="Times New Roman" w:hAnsi="Times New Roman" w:cs="Times New Roman"/>
          <w:sz w:val="20"/>
          <w:szCs w:val="20"/>
        </w:rPr>
        <w:t xml:space="preserve">Especialmente deve ser lembrado que, se fosse uma pessoa, o condomínio, como tal, é que seria o sujeito de todas as relações jurídicas. Não é isso que se verifica. Os </w:t>
      </w:r>
      <w:r w:rsidRPr="00570810">
        <w:rPr>
          <w:rFonts w:ascii="Times New Roman" w:hAnsi="Times New Roman" w:cs="Times New Roman"/>
          <w:sz w:val="20"/>
          <w:szCs w:val="20"/>
        </w:rPr>
        <w:lastRenderedPageBreak/>
        <w:t>titulares dos direitos, quer sobre as unidades autônomas, quer sobre as partes e coisas comuns, são os condôminos e não uma inexistente ou fictícia pessoa jurídica. O condomínio dito edilício explica-se por si mesmo. É uma modalidade nova de condomínio, resultante da conjugação orgânica e indissolúvel da propriedade exclusiva e da co-propriedade.</w:t>
      </w:r>
      <w:r w:rsidR="00570810" w:rsidRPr="00570810">
        <w:rPr>
          <w:rStyle w:val="Refdenotaderodap"/>
          <w:rFonts w:ascii="Times New Roman" w:hAnsi="Times New Roman" w:cs="Times New Roman"/>
          <w:sz w:val="20"/>
          <w:szCs w:val="20"/>
        </w:rPr>
        <w:footnoteReference w:id="4"/>
      </w:r>
    </w:p>
    <w:p w:rsidR="00570810" w:rsidRPr="002B5164" w:rsidRDefault="00570810" w:rsidP="00570810">
      <w:pPr>
        <w:pStyle w:val="SemEspaamento"/>
        <w:rPr>
          <w:sz w:val="20"/>
          <w:szCs w:val="20"/>
        </w:rPr>
      </w:pPr>
    </w:p>
    <w:p w:rsidR="00BE494E" w:rsidRDefault="00570810" w:rsidP="00497220">
      <w:pPr>
        <w:ind w:firstLine="851"/>
        <w:jc w:val="both"/>
        <w:rPr>
          <w:rFonts w:ascii="Times New Roman" w:hAnsi="Times New Roman" w:cs="Times New Roman"/>
          <w:sz w:val="24"/>
          <w:szCs w:val="24"/>
        </w:rPr>
      </w:pPr>
      <w:r>
        <w:rPr>
          <w:rFonts w:ascii="Times New Roman" w:hAnsi="Times New Roman" w:cs="Times New Roman"/>
          <w:sz w:val="24"/>
          <w:szCs w:val="24"/>
        </w:rPr>
        <w:t>Através do presente artigo buscamos demonstrar a real necessidade de dar ao condomínio edilício uma definição de natureza jurídica mais autônoma que acompanhe a evolução dos tempos.</w:t>
      </w:r>
    </w:p>
    <w:p w:rsidR="00BE494E" w:rsidRDefault="00BE494E" w:rsidP="00497220">
      <w:pPr>
        <w:ind w:firstLine="851"/>
        <w:jc w:val="both"/>
        <w:rPr>
          <w:rFonts w:ascii="Times New Roman" w:hAnsi="Times New Roman" w:cs="Times New Roman"/>
          <w:sz w:val="24"/>
          <w:szCs w:val="24"/>
        </w:rPr>
      </w:pPr>
    </w:p>
    <w:p w:rsidR="008E09E0" w:rsidRDefault="008E09E0" w:rsidP="00D37530">
      <w:pPr>
        <w:jc w:val="both"/>
        <w:rPr>
          <w:rFonts w:ascii="Times New Roman" w:hAnsi="Times New Roman" w:cs="Times New Roman"/>
          <w:b/>
          <w:sz w:val="24"/>
          <w:szCs w:val="24"/>
        </w:rPr>
      </w:pPr>
      <w:r w:rsidRPr="00570810">
        <w:rPr>
          <w:rFonts w:ascii="Times New Roman" w:hAnsi="Times New Roman" w:cs="Times New Roman"/>
          <w:b/>
          <w:sz w:val="24"/>
          <w:szCs w:val="24"/>
        </w:rPr>
        <w:t>2 CONDOMÍNIO</w:t>
      </w:r>
      <w:r w:rsidR="002F44C3" w:rsidRPr="00570810">
        <w:rPr>
          <w:rFonts w:ascii="Times New Roman" w:hAnsi="Times New Roman" w:cs="Times New Roman"/>
          <w:b/>
          <w:sz w:val="24"/>
          <w:szCs w:val="24"/>
        </w:rPr>
        <w:t xml:space="preserve"> </w:t>
      </w:r>
      <w:r w:rsidR="00570810">
        <w:rPr>
          <w:rFonts w:ascii="Times New Roman" w:hAnsi="Times New Roman" w:cs="Times New Roman"/>
          <w:b/>
          <w:sz w:val="24"/>
          <w:szCs w:val="24"/>
        </w:rPr>
        <w:t>E SEUS ASPECTOS GERAIS</w:t>
      </w:r>
    </w:p>
    <w:p w:rsidR="00570810" w:rsidRPr="00570810" w:rsidRDefault="00570810" w:rsidP="00D37530">
      <w:pPr>
        <w:jc w:val="both"/>
        <w:rPr>
          <w:rFonts w:ascii="Times New Roman" w:hAnsi="Times New Roman" w:cs="Times New Roman"/>
          <w:b/>
          <w:sz w:val="24"/>
          <w:szCs w:val="24"/>
        </w:rPr>
      </w:pPr>
    </w:p>
    <w:p w:rsidR="00394AF6" w:rsidRDefault="00190F65" w:rsidP="00D37530">
      <w:pPr>
        <w:ind w:firstLine="851"/>
        <w:jc w:val="both"/>
        <w:rPr>
          <w:rFonts w:ascii="Times New Roman" w:hAnsi="Times New Roman" w:cs="Times New Roman"/>
          <w:sz w:val="24"/>
          <w:szCs w:val="24"/>
        </w:rPr>
      </w:pPr>
      <w:r>
        <w:rPr>
          <w:rFonts w:ascii="Times New Roman" w:hAnsi="Times New Roman" w:cs="Times New Roman"/>
          <w:sz w:val="24"/>
          <w:szCs w:val="24"/>
        </w:rPr>
        <w:t>O aumento demográfico da população aliado à valorização dos terrenos urbanos, leva</w:t>
      </w:r>
      <w:r w:rsidR="00394AF6">
        <w:rPr>
          <w:rFonts w:ascii="Times New Roman" w:hAnsi="Times New Roman" w:cs="Times New Roman"/>
          <w:sz w:val="24"/>
          <w:szCs w:val="24"/>
        </w:rPr>
        <w:t>ram</w:t>
      </w:r>
      <w:r>
        <w:rPr>
          <w:rFonts w:ascii="Times New Roman" w:hAnsi="Times New Roman" w:cs="Times New Roman"/>
          <w:sz w:val="24"/>
          <w:szCs w:val="24"/>
        </w:rPr>
        <w:t xml:space="preserve"> </w:t>
      </w:r>
      <w:r w:rsidR="00394AF6">
        <w:rPr>
          <w:rFonts w:ascii="Times New Roman" w:hAnsi="Times New Roman" w:cs="Times New Roman"/>
          <w:sz w:val="24"/>
          <w:szCs w:val="24"/>
        </w:rPr>
        <w:t>à</w:t>
      </w:r>
      <w:r>
        <w:rPr>
          <w:rFonts w:ascii="Times New Roman" w:hAnsi="Times New Roman" w:cs="Times New Roman"/>
          <w:sz w:val="24"/>
          <w:szCs w:val="24"/>
        </w:rPr>
        <w:t xml:space="preserve"> necessidade de aproveitamento do espaço através de construções que possibilitam o acolhimento de várias famílias ou vários estabelecimentos comerciais</w:t>
      </w:r>
      <w:r w:rsidR="00394AF6">
        <w:rPr>
          <w:rFonts w:ascii="Times New Roman" w:hAnsi="Times New Roman" w:cs="Times New Roman"/>
          <w:sz w:val="24"/>
          <w:szCs w:val="24"/>
        </w:rPr>
        <w:t xml:space="preserve"> ou ambos</w:t>
      </w:r>
      <w:r>
        <w:rPr>
          <w:rFonts w:ascii="Times New Roman" w:hAnsi="Times New Roman" w:cs="Times New Roman"/>
          <w:sz w:val="24"/>
          <w:szCs w:val="24"/>
        </w:rPr>
        <w:t xml:space="preserve"> no mesmo espaço</w:t>
      </w:r>
      <w:r w:rsidR="00D37530">
        <w:rPr>
          <w:rFonts w:ascii="Times New Roman" w:hAnsi="Times New Roman" w:cs="Times New Roman"/>
          <w:sz w:val="24"/>
          <w:szCs w:val="24"/>
        </w:rPr>
        <w:t>, onde todos seriam pr</w:t>
      </w:r>
      <w:r w:rsidR="00394AF6">
        <w:rPr>
          <w:rFonts w:ascii="Times New Roman" w:hAnsi="Times New Roman" w:cs="Times New Roman"/>
          <w:sz w:val="24"/>
          <w:szCs w:val="24"/>
        </w:rPr>
        <w:t>oprietários do mesmo bem</w:t>
      </w:r>
      <w:r w:rsidR="00D37530">
        <w:rPr>
          <w:rFonts w:ascii="Times New Roman" w:hAnsi="Times New Roman" w:cs="Times New Roman"/>
          <w:sz w:val="24"/>
          <w:szCs w:val="24"/>
        </w:rPr>
        <w:t>.</w:t>
      </w:r>
    </w:p>
    <w:p w:rsidR="002F44C3" w:rsidRDefault="00D37530" w:rsidP="00D37530">
      <w:pPr>
        <w:ind w:firstLine="851"/>
        <w:jc w:val="both"/>
        <w:rPr>
          <w:rFonts w:ascii="Times New Roman" w:hAnsi="Times New Roman" w:cs="Times New Roman"/>
          <w:sz w:val="24"/>
          <w:szCs w:val="24"/>
        </w:rPr>
      </w:pPr>
      <w:r>
        <w:rPr>
          <w:rFonts w:ascii="Times New Roman" w:hAnsi="Times New Roman" w:cs="Times New Roman"/>
          <w:sz w:val="24"/>
          <w:szCs w:val="24"/>
        </w:rPr>
        <w:t xml:space="preserve">Esse fenômeno social, chamado pelo ordenamento jurídico de condomínio, </w:t>
      </w:r>
      <w:r w:rsidR="002F44C3">
        <w:rPr>
          <w:rFonts w:ascii="Times New Roman" w:hAnsi="Times New Roman" w:cs="Times New Roman"/>
          <w:sz w:val="24"/>
          <w:szCs w:val="24"/>
        </w:rPr>
        <w:t>dá-se quando a mesma coisa pertence a mais de uma pessoa, cabendo a cada uma delas igual direito, idealmente, sobre o todo e cada uma de suas partes.</w:t>
      </w:r>
      <w:r w:rsidR="002F44C3">
        <w:rPr>
          <w:rStyle w:val="Refdenotaderodap"/>
          <w:rFonts w:ascii="Times New Roman" w:hAnsi="Times New Roman" w:cs="Times New Roman"/>
          <w:sz w:val="24"/>
          <w:szCs w:val="24"/>
        </w:rPr>
        <w:footnoteReference w:id="5"/>
      </w:r>
      <w:r w:rsidR="00394AF6">
        <w:rPr>
          <w:rFonts w:ascii="Times New Roman" w:hAnsi="Times New Roman" w:cs="Times New Roman"/>
          <w:sz w:val="24"/>
          <w:szCs w:val="24"/>
        </w:rPr>
        <w:t xml:space="preserve"> </w:t>
      </w:r>
    </w:p>
    <w:p w:rsidR="002F44C3" w:rsidRDefault="002F44C3" w:rsidP="00570810">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Também conhecido como comunhão, o condomínio </w:t>
      </w:r>
      <w:r w:rsidR="00394AF6">
        <w:rPr>
          <w:rFonts w:ascii="Times New Roman" w:hAnsi="Times New Roman" w:cs="Times New Roman"/>
          <w:sz w:val="24"/>
          <w:szCs w:val="24"/>
        </w:rPr>
        <w:t xml:space="preserve">se opõe ao </w:t>
      </w:r>
      <w:r>
        <w:rPr>
          <w:rFonts w:ascii="Times New Roman" w:hAnsi="Times New Roman" w:cs="Times New Roman"/>
          <w:sz w:val="24"/>
          <w:szCs w:val="24"/>
        </w:rPr>
        <w:t>direito de propriedade</w:t>
      </w:r>
      <w:r w:rsidR="00D37530">
        <w:rPr>
          <w:rFonts w:ascii="Times New Roman" w:hAnsi="Times New Roman" w:cs="Times New Roman"/>
          <w:sz w:val="24"/>
          <w:szCs w:val="24"/>
        </w:rPr>
        <w:t xml:space="preserve"> que possui como uma das principais características a exclusividade.</w:t>
      </w:r>
    </w:p>
    <w:p w:rsidR="00D37530" w:rsidRDefault="00D37530" w:rsidP="00570810">
      <w:pPr>
        <w:spacing w:line="240" w:lineRule="auto"/>
        <w:jc w:val="both"/>
        <w:rPr>
          <w:rFonts w:ascii="Times New Roman" w:hAnsi="Times New Roman" w:cs="Times New Roman"/>
          <w:sz w:val="24"/>
          <w:szCs w:val="24"/>
        </w:rPr>
      </w:pPr>
    </w:p>
    <w:p w:rsidR="00D37530" w:rsidRDefault="00D37530" w:rsidP="00D37530">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Em linha de princípio, a mesma coisa não pode ser objeto de domínio exclusivo e simultâneo de duas ou mais pessoas, em idêntico lapso temporal, impedindo-se que terceiros exerçam qualquer senhoria sobre a coisa. À evidência, duas pessoas não ocupam o mesmo espaço jurídico, deferido com pertinência a alguém. Portanto, o proprietário poder excluir terceiros da atuação sobre a coisa mediante a adoção da reivindicatória.</w:t>
      </w:r>
    </w:p>
    <w:p w:rsidR="00D37530" w:rsidRPr="00D37530" w:rsidRDefault="00D37530" w:rsidP="00570810">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A exclusividade é um princípio que se dirige ao domínio, pois não pode haver mais de um domínio sobre o mesmo bem. Só uma pessoa pode usar, fruir e dispor do objeto, na medida em que o domínio é uno e indivisível.</w:t>
      </w:r>
    </w:p>
    <w:p w:rsidR="00190F65" w:rsidRDefault="00190F65" w:rsidP="00570810">
      <w:pPr>
        <w:spacing w:line="240" w:lineRule="auto"/>
        <w:ind w:firstLine="851"/>
        <w:jc w:val="both"/>
        <w:rPr>
          <w:rFonts w:ascii="Times New Roman" w:hAnsi="Times New Roman" w:cs="Times New Roman"/>
          <w:sz w:val="24"/>
          <w:szCs w:val="24"/>
        </w:rPr>
      </w:pPr>
    </w:p>
    <w:p w:rsidR="00190F65" w:rsidRDefault="00D37530" w:rsidP="00D37530">
      <w:pPr>
        <w:ind w:firstLine="851"/>
        <w:jc w:val="both"/>
        <w:rPr>
          <w:rFonts w:ascii="Times New Roman" w:hAnsi="Times New Roman" w:cs="Times New Roman"/>
          <w:sz w:val="24"/>
          <w:szCs w:val="24"/>
        </w:rPr>
      </w:pPr>
      <w:r>
        <w:rPr>
          <w:rFonts w:ascii="Times New Roman" w:hAnsi="Times New Roman" w:cs="Times New Roman"/>
          <w:sz w:val="24"/>
          <w:szCs w:val="24"/>
        </w:rPr>
        <w:t>Assim, diante da controvérsia existente entre o condomínio e o caráter exclusivo da propriedade, surgiram vá</w:t>
      </w:r>
      <w:r w:rsidR="00664855">
        <w:rPr>
          <w:rFonts w:ascii="Times New Roman" w:hAnsi="Times New Roman" w:cs="Times New Roman"/>
          <w:sz w:val="24"/>
          <w:szCs w:val="24"/>
        </w:rPr>
        <w:t>rias teorias que visam conciliar ambas as ideias.</w:t>
      </w:r>
      <w:r w:rsidR="00664855">
        <w:rPr>
          <w:rStyle w:val="Refdenotaderodap"/>
          <w:rFonts w:ascii="Times New Roman" w:hAnsi="Times New Roman" w:cs="Times New Roman"/>
          <w:sz w:val="24"/>
          <w:szCs w:val="24"/>
        </w:rPr>
        <w:footnoteReference w:id="6"/>
      </w:r>
      <w:r w:rsidR="00664855">
        <w:rPr>
          <w:rFonts w:ascii="Times New Roman" w:hAnsi="Times New Roman" w:cs="Times New Roman"/>
          <w:sz w:val="24"/>
          <w:szCs w:val="24"/>
        </w:rPr>
        <w:t xml:space="preserve"> Dentre elas sobressaiu duas teorias, quais sejam: teoria da propriedade integral ou total e, teoria das propriedades plúrimas parciais. </w:t>
      </w:r>
    </w:p>
    <w:p w:rsidR="00664855" w:rsidRDefault="00664855" w:rsidP="00D37530">
      <w:pPr>
        <w:ind w:firstLine="851"/>
        <w:jc w:val="both"/>
        <w:rPr>
          <w:rFonts w:ascii="Times New Roman" w:hAnsi="Times New Roman" w:cs="Times New Roman"/>
          <w:sz w:val="24"/>
          <w:szCs w:val="24"/>
        </w:rPr>
      </w:pPr>
      <w:r>
        <w:rPr>
          <w:rFonts w:ascii="Times New Roman" w:hAnsi="Times New Roman" w:cs="Times New Roman"/>
          <w:sz w:val="24"/>
          <w:szCs w:val="24"/>
        </w:rPr>
        <w:t xml:space="preserve">A teoria da propriedade integral ou total constitui relação de igualdade, onde todos os condôminos tem direito à proprietários sobre toda a coisa, sendo o direito de cada um </w:t>
      </w:r>
      <w:r>
        <w:rPr>
          <w:rFonts w:ascii="Times New Roman" w:hAnsi="Times New Roman" w:cs="Times New Roman"/>
          <w:sz w:val="24"/>
          <w:szCs w:val="24"/>
        </w:rPr>
        <w:lastRenderedPageBreak/>
        <w:t>delimitado pelo direito dos demais condôminos. Diversos doutrinadores citam Scialoja, como um dos adeptos desta doutrina, o qual assevera que o condomínio constitui relação de igualdades, que mutuamente se limitam.</w:t>
      </w:r>
    </w:p>
    <w:p w:rsidR="00664855" w:rsidRDefault="00664855" w:rsidP="00D37530">
      <w:pPr>
        <w:ind w:firstLine="851"/>
        <w:jc w:val="both"/>
        <w:rPr>
          <w:rFonts w:ascii="Times New Roman" w:hAnsi="Times New Roman" w:cs="Times New Roman"/>
          <w:sz w:val="24"/>
          <w:szCs w:val="24"/>
        </w:rPr>
      </w:pPr>
      <w:r>
        <w:rPr>
          <w:rFonts w:ascii="Times New Roman" w:hAnsi="Times New Roman" w:cs="Times New Roman"/>
          <w:sz w:val="24"/>
          <w:szCs w:val="24"/>
        </w:rPr>
        <w:t xml:space="preserve">Por outro lado, para teoria das propriedades plúrimas parciais cada condômino é proprietário de parte ideal da coisa comum, </w:t>
      </w:r>
      <w:r w:rsidR="007A7B1D">
        <w:rPr>
          <w:rFonts w:ascii="Times New Roman" w:hAnsi="Times New Roman" w:cs="Times New Roman"/>
          <w:sz w:val="24"/>
          <w:szCs w:val="24"/>
        </w:rPr>
        <w:t>a reunião dessas partes dá</w:t>
      </w:r>
      <w:r>
        <w:rPr>
          <w:rFonts w:ascii="Times New Roman" w:hAnsi="Times New Roman" w:cs="Times New Roman"/>
          <w:sz w:val="24"/>
          <w:szCs w:val="24"/>
        </w:rPr>
        <w:t xml:space="preserve"> origem ao condomínio.</w:t>
      </w:r>
    </w:p>
    <w:p w:rsidR="007A7B1D" w:rsidRDefault="007A7B1D" w:rsidP="00570810">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O Código Civil brasileiro de 2012 adotou a primeira teoria admitindo que cada consorte é proprietário da coisa toda, onde seus direitos são delimitados pelos dos demais, nos termos do artigo 1.314.</w:t>
      </w:r>
      <w:r>
        <w:rPr>
          <w:rStyle w:val="Refdenotaderodap"/>
          <w:rFonts w:ascii="Times New Roman" w:hAnsi="Times New Roman" w:cs="Times New Roman"/>
          <w:sz w:val="24"/>
          <w:szCs w:val="24"/>
        </w:rPr>
        <w:footnoteReference w:id="7"/>
      </w:r>
    </w:p>
    <w:p w:rsidR="00570810" w:rsidRDefault="00570810" w:rsidP="00570810">
      <w:pPr>
        <w:spacing w:line="240" w:lineRule="auto"/>
        <w:ind w:firstLine="851"/>
        <w:jc w:val="both"/>
        <w:rPr>
          <w:rFonts w:ascii="Times New Roman" w:hAnsi="Times New Roman" w:cs="Times New Roman"/>
          <w:sz w:val="24"/>
          <w:szCs w:val="24"/>
        </w:rPr>
      </w:pPr>
    </w:p>
    <w:p w:rsidR="007A7B1D" w:rsidRDefault="004E05A2" w:rsidP="004E05A2">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O Código Civil brasileiro, tomando partido entre correntes tão diversas e tão embaraçosas, aceitou a teoria da subsistência, em cada condômino, da propriedade sobre toda a coisa, delimitada naturalmente pelos iguais direitos dos demais consortes; entre todos se distribui a utilidade econômica da coisa; o direito de casa condômino, em face de terceiros, abrange a totalidade dos poderes imanentes ao direito de propriedade; mas, entre os próprios condôminos, o direito de cada um é autolimitado pelo de outro, na medida de suas quotas, para que </w:t>
      </w:r>
      <w:r w:rsidR="002E6AC7">
        <w:rPr>
          <w:rFonts w:ascii="Times New Roman" w:hAnsi="Times New Roman" w:cs="Times New Roman"/>
          <w:sz w:val="20"/>
          <w:szCs w:val="20"/>
        </w:rPr>
        <w:t xml:space="preserve">possível se torne sua coexistência. A parte ideal não representa uma entidade objetiva. </w:t>
      </w:r>
    </w:p>
    <w:p w:rsidR="00570810" w:rsidRDefault="00570810" w:rsidP="004E05A2">
      <w:pPr>
        <w:spacing w:line="240" w:lineRule="auto"/>
        <w:ind w:left="2268"/>
        <w:jc w:val="both"/>
        <w:rPr>
          <w:rFonts w:ascii="Times New Roman" w:hAnsi="Times New Roman" w:cs="Times New Roman"/>
          <w:sz w:val="20"/>
          <w:szCs w:val="20"/>
        </w:rPr>
      </w:pPr>
    </w:p>
    <w:p w:rsidR="00A37F11" w:rsidRDefault="00A37F11" w:rsidP="00570810">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Condomínio justifica a coexistência de direitos sobre uma dada coisa, exercidos comunitariamente e sem conflito por uma pluralidade de donos, e com exclusão de todos quantos sejam estranhos à comunhão.</w:t>
      </w:r>
      <w:r>
        <w:rPr>
          <w:rStyle w:val="Refdenotaderodap"/>
          <w:rFonts w:ascii="Times New Roman" w:hAnsi="Times New Roman" w:cs="Times New Roman"/>
          <w:sz w:val="24"/>
          <w:szCs w:val="24"/>
        </w:rPr>
        <w:footnoteReference w:id="8"/>
      </w:r>
    </w:p>
    <w:p w:rsidR="00570810" w:rsidRDefault="00570810" w:rsidP="00570810">
      <w:pPr>
        <w:spacing w:line="240" w:lineRule="auto"/>
        <w:ind w:firstLine="851"/>
        <w:jc w:val="both"/>
        <w:rPr>
          <w:rFonts w:ascii="Times New Roman" w:hAnsi="Times New Roman" w:cs="Times New Roman"/>
          <w:sz w:val="24"/>
          <w:szCs w:val="24"/>
        </w:rPr>
      </w:pPr>
    </w:p>
    <w:p w:rsidR="00A37F11" w:rsidRDefault="00A37F11" w:rsidP="00570810">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A cada condômino é assegurada uma quota ou fração ideal da coisa, e não uma parcela material desta. Cada quota ou fração não significa que a cada um dos comproprietários se reconhece a plenitude dominial sobre um fragmento físico do bem, mas que todos os comunheiros têm direito qualitativamente iguais sobre a totalidade dele, limitados, contudo na proporção quantitativa em que concorre com os outros comproprietários na titularidade sobre o conjunto. (PEREIRA, 2011, p. 151).</w:t>
      </w:r>
    </w:p>
    <w:p w:rsidR="00570810" w:rsidRDefault="00570810" w:rsidP="00570810">
      <w:pPr>
        <w:spacing w:line="240" w:lineRule="auto"/>
        <w:ind w:left="2268"/>
        <w:jc w:val="both"/>
        <w:rPr>
          <w:rFonts w:ascii="Times New Roman" w:hAnsi="Times New Roman" w:cs="Times New Roman"/>
          <w:sz w:val="20"/>
          <w:szCs w:val="20"/>
        </w:rPr>
      </w:pPr>
    </w:p>
    <w:p w:rsidR="00AA0B43" w:rsidRDefault="00A37F11" w:rsidP="00AA0B43">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Assim, quando os direitos elementares do proprietário </w:t>
      </w:r>
      <w:r w:rsidR="00570810">
        <w:rPr>
          <w:rFonts w:ascii="Times New Roman" w:hAnsi="Times New Roman" w:cs="Times New Roman"/>
          <w:sz w:val="24"/>
          <w:szCs w:val="24"/>
        </w:rPr>
        <w:t>pertencer</w:t>
      </w:r>
      <w:r>
        <w:rPr>
          <w:rFonts w:ascii="Times New Roman" w:hAnsi="Times New Roman" w:cs="Times New Roman"/>
          <w:sz w:val="24"/>
          <w:szCs w:val="24"/>
        </w:rPr>
        <w:t xml:space="preserve"> a mais de um titular, existirá o condomínio ou domínio comum de um bem.</w:t>
      </w:r>
      <w:r w:rsidR="00AA0B43">
        <w:rPr>
          <w:rStyle w:val="Refdenotaderodap"/>
          <w:rFonts w:ascii="Times New Roman" w:hAnsi="Times New Roman" w:cs="Times New Roman"/>
          <w:sz w:val="24"/>
          <w:szCs w:val="24"/>
        </w:rPr>
        <w:footnoteReference w:id="9"/>
      </w:r>
    </w:p>
    <w:p w:rsidR="00AA0B43" w:rsidRDefault="00AA0B43" w:rsidP="00AA0B43">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O Código Civil brasileiro de 2002 disciplina duas espécies de condomínio: a) condomínio geral, que se subdivide em voluntário (artigos 1.314 a 1.326), e necessário (artigos 1.327 a 1.330); b) condomínio edilício  ou em edificações (artigos 1.331 a 1.358).</w:t>
      </w:r>
    </w:p>
    <w:p w:rsidR="00AA0B43" w:rsidRDefault="00AA0B43" w:rsidP="00AA0B43">
      <w:pPr>
        <w:spacing w:line="360" w:lineRule="auto"/>
        <w:jc w:val="both"/>
        <w:rPr>
          <w:rFonts w:ascii="Times New Roman" w:hAnsi="Times New Roman" w:cs="Times New Roman"/>
          <w:sz w:val="24"/>
          <w:szCs w:val="24"/>
        </w:rPr>
      </w:pPr>
    </w:p>
    <w:p w:rsidR="00AA0B43" w:rsidRDefault="00AA0B43" w:rsidP="00AA0B43">
      <w:pPr>
        <w:pStyle w:val="PargrafodaLista"/>
        <w:numPr>
          <w:ilvl w:val="1"/>
          <w:numId w:val="2"/>
        </w:numPr>
        <w:spacing w:line="360" w:lineRule="auto"/>
        <w:jc w:val="both"/>
        <w:rPr>
          <w:rFonts w:ascii="Times New Roman" w:hAnsi="Times New Roman" w:cs="Times New Roman"/>
          <w:b/>
          <w:sz w:val="24"/>
          <w:szCs w:val="24"/>
        </w:rPr>
      </w:pPr>
      <w:r w:rsidRPr="00AA0B43">
        <w:rPr>
          <w:rFonts w:ascii="Times New Roman" w:hAnsi="Times New Roman" w:cs="Times New Roman"/>
          <w:b/>
          <w:sz w:val="24"/>
          <w:szCs w:val="24"/>
        </w:rPr>
        <w:t>Condomínio geral</w:t>
      </w:r>
    </w:p>
    <w:p w:rsidR="0094245D" w:rsidRDefault="0094245D" w:rsidP="0094245D">
      <w:pPr>
        <w:pStyle w:val="PargrafodaLista"/>
        <w:spacing w:line="360" w:lineRule="auto"/>
        <w:ind w:left="360"/>
        <w:jc w:val="both"/>
        <w:rPr>
          <w:rFonts w:ascii="Times New Roman" w:hAnsi="Times New Roman" w:cs="Times New Roman"/>
          <w:b/>
          <w:sz w:val="24"/>
          <w:szCs w:val="24"/>
        </w:rPr>
      </w:pPr>
    </w:p>
    <w:p w:rsidR="004D49D2" w:rsidRDefault="0094245D" w:rsidP="004D49D2">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 legislador do Código Civil de 2002 entendeu por bem subdividi em condomínio voluntário e condomínio necessário.</w:t>
      </w:r>
    </w:p>
    <w:p w:rsidR="0094245D" w:rsidRPr="0094245D" w:rsidRDefault="0094245D" w:rsidP="004D49D2">
      <w:pPr>
        <w:spacing w:line="360" w:lineRule="auto"/>
        <w:ind w:firstLine="851"/>
        <w:jc w:val="both"/>
        <w:rPr>
          <w:rFonts w:ascii="Times New Roman" w:hAnsi="Times New Roman" w:cs="Times New Roman"/>
          <w:sz w:val="24"/>
          <w:szCs w:val="24"/>
        </w:rPr>
      </w:pPr>
    </w:p>
    <w:p w:rsidR="00AA0B43" w:rsidRDefault="00C31FFE" w:rsidP="00AA0B43">
      <w:pPr>
        <w:spacing w:line="360" w:lineRule="auto"/>
        <w:jc w:val="both"/>
        <w:rPr>
          <w:rFonts w:ascii="Times New Roman" w:hAnsi="Times New Roman" w:cs="Times New Roman"/>
          <w:sz w:val="24"/>
          <w:szCs w:val="24"/>
        </w:rPr>
      </w:pPr>
      <w:r>
        <w:rPr>
          <w:rFonts w:ascii="Times New Roman" w:hAnsi="Times New Roman" w:cs="Times New Roman"/>
          <w:sz w:val="24"/>
          <w:szCs w:val="24"/>
        </w:rPr>
        <w:t>2.1.1</w:t>
      </w:r>
      <w:r w:rsidR="00AA0B43">
        <w:rPr>
          <w:rFonts w:ascii="Times New Roman" w:hAnsi="Times New Roman" w:cs="Times New Roman"/>
          <w:sz w:val="24"/>
          <w:szCs w:val="24"/>
        </w:rPr>
        <w:t xml:space="preserve"> Condomínio voluntário</w:t>
      </w:r>
    </w:p>
    <w:p w:rsidR="00570810" w:rsidRDefault="00570810" w:rsidP="00AA0B43">
      <w:pPr>
        <w:spacing w:line="360" w:lineRule="auto"/>
        <w:jc w:val="both"/>
        <w:rPr>
          <w:rFonts w:ascii="Times New Roman" w:hAnsi="Times New Roman" w:cs="Times New Roman"/>
          <w:sz w:val="24"/>
          <w:szCs w:val="24"/>
        </w:rPr>
      </w:pPr>
    </w:p>
    <w:p w:rsidR="00AA0B43" w:rsidRDefault="00AA0B43" w:rsidP="00FD3E0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Também tratado como convencional se resulta do acordo de vontade dos consortes, nascendo de um negocio jurídico pelo qual duas ou mais pessoas adquirem ou colocam um bem em comum para de</w:t>
      </w:r>
      <w:r w:rsidR="005E193C">
        <w:rPr>
          <w:rFonts w:ascii="Times New Roman" w:hAnsi="Times New Roman" w:cs="Times New Roman"/>
          <w:sz w:val="24"/>
          <w:szCs w:val="24"/>
        </w:rPr>
        <w:t>le</w:t>
      </w:r>
      <w:r>
        <w:rPr>
          <w:rFonts w:ascii="Times New Roman" w:hAnsi="Times New Roman" w:cs="Times New Roman"/>
          <w:sz w:val="24"/>
          <w:szCs w:val="24"/>
        </w:rPr>
        <w:t xml:space="preserve"> usar e gozar.</w:t>
      </w:r>
      <w:r>
        <w:rPr>
          <w:rStyle w:val="Refdenotaderodap"/>
          <w:rFonts w:ascii="Times New Roman" w:hAnsi="Times New Roman" w:cs="Times New Roman"/>
          <w:sz w:val="24"/>
          <w:szCs w:val="24"/>
        </w:rPr>
        <w:footnoteReference w:id="10"/>
      </w:r>
    </w:p>
    <w:p w:rsidR="00FD3E0D" w:rsidRDefault="00426E27" w:rsidP="00FD3E0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 Código Civil dispõe no artigo 1.314</w:t>
      </w:r>
      <w:r>
        <w:rPr>
          <w:rStyle w:val="Refdenotaderodap"/>
          <w:rFonts w:ascii="Times New Roman" w:hAnsi="Times New Roman" w:cs="Times New Roman"/>
          <w:sz w:val="24"/>
          <w:szCs w:val="24"/>
        </w:rPr>
        <w:footnoteReference w:id="11"/>
      </w:r>
      <w:r>
        <w:rPr>
          <w:rFonts w:ascii="Times New Roman" w:hAnsi="Times New Roman" w:cs="Times New Roman"/>
          <w:sz w:val="24"/>
          <w:szCs w:val="24"/>
        </w:rPr>
        <w:t xml:space="preserve"> sobre os direitos e deveres dos condôminos, o que deixa claro a inexistência de conflito do condominio voluntaria com o principio da exclusividade, pois se entende que o direito de propriedade é um só e incide sobre as partes ideais de cada condômino. Para terceiros, cada comunheiro atua como proprietário exclusivo do todo. </w:t>
      </w:r>
      <w:r>
        <w:rPr>
          <w:rStyle w:val="Refdenotaderodap"/>
          <w:rFonts w:ascii="Times New Roman" w:hAnsi="Times New Roman" w:cs="Times New Roman"/>
          <w:sz w:val="24"/>
          <w:szCs w:val="24"/>
        </w:rPr>
        <w:footnoteReference w:id="12"/>
      </w:r>
    </w:p>
    <w:p w:rsidR="00A72774" w:rsidRDefault="00B90B01" w:rsidP="00A72774">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Os doutrinadores acabaram por classificar o condomínio voluntário em vários aspectos, visando dar melhor ao tema. Nesse sentido, q</w:t>
      </w:r>
      <w:r w:rsidR="00A72774">
        <w:rPr>
          <w:rFonts w:ascii="Times New Roman" w:hAnsi="Times New Roman" w:cs="Times New Roman"/>
          <w:sz w:val="24"/>
          <w:szCs w:val="24"/>
        </w:rPr>
        <w:t xml:space="preserve">uanto à origem, classifica-se em convencional, aquele que </w:t>
      </w:r>
      <w:r w:rsidR="0094245D">
        <w:rPr>
          <w:rFonts w:ascii="Times New Roman" w:hAnsi="Times New Roman" w:cs="Times New Roman"/>
          <w:sz w:val="24"/>
          <w:szCs w:val="24"/>
        </w:rPr>
        <w:t>se origina</w:t>
      </w:r>
      <w:r w:rsidR="00A72774">
        <w:rPr>
          <w:rFonts w:ascii="Times New Roman" w:hAnsi="Times New Roman" w:cs="Times New Roman"/>
          <w:sz w:val="24"/>
          <w:szCs w:val="24"/>
        </w:rPr>
        <w:t xml:space="preserve"> da vontade das partes; eventual que resulta da vontade de terceiros e, legal ou necessário aquele que é imposto pela lei. </w:t>
      </w:r>
    </w:p>
    <w:p w:rsidR="00A72774" w:rsidRDefault="00A72774" w:rsidP="0094245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No que tange à forma, classifica em transitório aparente no condomínio convencional e eventual, que podem ser extintos a todo tempo pela vontade de qualquer condômino e, permanente, presente no condomínio legal ou necessário, que perdura enquanto persistir a situação que o determinou. Ainda, quanto à forma, em </w:t>
      </w:r>
      <w:r>
        <w:rPr>
          <w:rFonts w:ascii="Times New Roman" w:hAnsi="Times New Roman" w:cs="Times New Roman"/>
          <w:i/>
          <w:sz w:val="24"/>
          <w:szCs w:val="24"/>
        </w:rPr>
        <w:t xml:space="preserve">pro diviso </w:t>
      </w:r>
      <w:r>
        <w:rPr>
          <w:rFonts w:ascii="Times New Roman" w:hAnsi="Times New Roman" w:cs="Times New Roman"/>
          <w:sz w:val="24"/>
          <w:szCs w:val="24"/>
        </w:rPr>
        <w:t xml:space="preserve">ou </w:t>
      </w:r>
      <w:r>
        <w:rPr>
          <w:rFonts w:ascii="Times New Roman" w:hAnsi="Times New Roman" w:cs="Times New Roman"/>
          <w:i/>
          <w:sz w:val="24"/>
          <w:szCs w:val="24"/>
        </w:rPr>
        <w:t xml:space="preserve">pro indiviso, </w:t>
      </w:r>
      <w:r>
        <w:rPr>
          <w:rFonts w:ascii="Times New Roman" w:hAnsi="Times New Roman" w:cs="Times New Roman"/>
          <w:sz w:val="24"/>
          <w:szCs w:val="24"/>
        </w:rPr>
        <w:t>conforme os condôminos estejam utilizando parte certa e determinada da coisa, ou não.</w:t>
      </w:r>
    </w:p>
    <w:p w:rsidR="0094245D" w:rsidRDefault="0094245D" w:rsidP="0094245D">
      <w:pPr>
        <w:spacing w:line="240" w:lineRule="auto"/>
        <w:ind w:firstLine="851"/>
        <w:jc w:val="both"/>
        <w:rPr>
          <w:rFonts w:ascii="Times New Roman" w:hAnsi="Times New Roman" w:cs="Times New Roman"/>
          <w:sz w:val="24"/>
          <w:szCs w:val="24"/>
        </w:rPr>
      </w:pPr>
    </w:p>
    <w:p w:rsidR="00A72774" w:rsidRDefault="00A72774" w:rsidP="00A72774">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No </w:t>
      </w:r>
      <w:r>
        <w:rPr>
          <w:rFonts w:ascii="Times New Roman" w:hAnsi="Times New Roman" w:cs="Times New Roman"/>
          <w:i/>
          <w:sz w:val="20"/>
          <w:szCs w:val="20"/>
        </w:rPr>
        <w:t xml:space="preserve">pro diviso, </w:t>
      </w:r>
      <w:r>
        <w:rPr>
          <w:rFonts w:ascii="Times New Roman" w:hAnsi="Times New Roman" w:cs="Times New Roman"/>
          <w:sz w:val="20"/>
          <w:szCs w:val="20"/>
        </w:rPr>
        <w:t>a comunhão existe juridicamente, mas não de fato, já que cada comproprietário tem uma parte certa e determinada do bem, como ocorre no condomínio em edifícios de apartamentos. Logo</w:t>
      </w:r>
      <w:r w:rsidR="00FC2523">
        <w:rPr>
          <w:rFonts w:ascii="Times New Roman" w:hAnsi="Times New Roman" w:cs="Times New Roman"/>
          <w:sz w:val="20"/>
          <w:szCs w:val="20"/>
        </w:rPr>
        <w:t xml:space="preserve">, por outras palavras, esse condomínio </w:t>
      </w:r>
      <w:r w:rsidR="00FC2523">
        <w:rPr>
          <w:rFonts w:ascii="Times New Roman" w:hAnsi="Times New Roman" w:cs="Times New Roman"/>
          <w:i/>
          <w:sz w:val="20"/>
          <w:szCs w:val="20"/>
        </w:rPr>
        <w:t>pro diviso</w:t>
      </w:r>
      <w:r w:rsidR="00FC2523">
        <w:rPr>
          <w:rFonts w:ascii="Times New Roman" w:hAnsi="Times New Roman" w:cs="Times New Roman"/>
          <w:sz w:val="20"/>
          <w:szCs w:val="20"/>
        </w:rPr>
        <w:t xml:space="preserve"> ocorre quando os consortes, com aprovação tácita recíproca, se instalam em parte da área comum, exercendo sobre ela todos os atos de proprietário singular e com exclusão de seus condôminos como se a gleba já tivesse sido partilha. No </w:t>
      </w:r>
      <w:r w:rsidR="00FC2523">
        <w:rPr>
          <w:rFonts w:ascii="Times New Roman" w:hAnsi="Times New Roman" w:cs="Times New Roman"/>
          <w:i/>
          <w:sz w:val="20"/>
          <w:szCs w:val="20"/>
        </w:rPr>
        <w:t xml:space="preserve">pro indiviso, </w:t>
      </w:r>
      <w:r w:rsidR="00FC2523">
        <w:rPr>
          <w:rFonts w:ascii="Times New Roman" w:hAnsi="Times New Roman" w:cs="Times New Roman"/>
          <w:sz w:val="20"/>
          <w:szCs w:val="20"/>
        </w:rPr>
        <w:t>a comunhão perdura de fato e de direito; todos os comunheiros permanecem na indivisão, não se localizando no bem, que se mantém indiviso.</w:t>
      </w:r>
    </w:p>
    <w:p w:rsidR="0094245D" w:rsidRPr="00FC2523" w:rsidRDefault="0094245D" w:rsidP="00A72774">
      <w:pPr>
        <w:spacing w:line="240" w:lineRule="auto"/>
        <w:ind w:left="2268"/>
        <w:jc w:val="both"/>
        <w:rPr>
          <w:rFonts w:ascii="Times New Roman" w:hAnsi="Times New Roman" w:cs="Times New Roman"/>
          <w:sz w:val="20"/>
          <w:szCs w:val="20"/>
        </w:rPr>
      </w:pPr>
    </w:p>
    <w:p w:rsidR="00A72774" w:rsidRDefault="00FC2523" w:rsidP="00FD3E0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Quanto ao objeto, universal e singular, o primeiro quando abrange todos os bens, como na comunhão hereditária e, o segundo, é o que incide sobre coisa determinada.</w:t>
      </w:r>
    </w:p>
    <w:p w:rsidR="005E193C" w:rsidRDefault="005E193C" w:rsidP="00FD3E0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Dentre</w:t>
      </w:r>
      <w:r w:rsidR="00FC2523">
        <w:rPr>
          <w:rFonts w:ascii="Times New Roman" w:hAnsi="Times New Roman" w:cs="Times New Roman"/>
          <w:sz w:val="24"/>
          <w:szCs w:val="24"/>
        </w:rPr>
        <w:t xml:space="preserve"> os direitos cada condômino tem-se:</w:t>
      </w:r>
      <w:r>
        <w:rPr>
          <w:rFonts w:ascii="Times New Roman" w:hAnsi="Times New Roman" w:cs="Times New Roman"/>
          <w:sz w:val="24"/>
          <w:szCs w:val="24"/>
        </w:rPr>
        <w:t xml:space="preserve"> a) usar da coisa conforme sua destinação, e sobre ela exercer todos os direitos compatíveis com a indivisão; b) reivindicá-la de terceiro; c) defender a sua posse; d) alhear a respectiva parte indivisa ou gravá-la.</w:t>
      </w:r>
    </w:p>
    <w:p w:rsidR="00FC2523" w:rsidRDefault="00FC2523" w:rsidP="00FD3E0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Cada condômino tem o dever de concorrer para as despesas de conservação ou divisão da coisa, na proporção de sua parte</w:t>
      </w:r>
      <w:r>
        <w:rPr>
          <w:rStyle w:val="Refdenotaderodap"/>
          <w:rFonts w:ascii="Times New Roman" w:hAnsi="Times New Roman" w:cs="Times New Roman"/>
          <w:sz w:val="24"/>
          <w:szCs w:val="24"/>
        </w:rPr>
        <w:footnoteReference w:id="13"/>
      </w:r>
      <w:r>
        <w:rPr>
          <w:rFonts w:ascii="Times New Roman" w:hAnsi="Times New Roman" w:cs="Times New Roman"/>
          <w:sz w:val="24"/>
          <w:szCs w:val="24"/>
        </w:rPr>
        <w:t>, bem como a responsabilidade pelas dívidas contraídas em proveito da comunhão</w:t>
      </w:r>
      <w:r>
        <w:rPr>
          <w:rStyle w:val="Refdenotaderodap"/>
          <w:rFonts w:ascii="Times New Roman" w:hAnsi="Times New Roman" w:cs="Times New Roman"/>
          <w:sz w:val="24"/>
          <w:szCs w:val="24"/>
        </w:rPr>
        <w:footnoteReference w:id="14"/>
      </w:r>
      <w:r>
        <w:rPr>
          <w:rFonts w:ascii="Times New Roman" w:hAnsi="Times New Roman" w:cs="Times New Roman"/>
          <w:sz w:val="24"/>
          <w:szCs w:val="24"/>
        </w:rPr>
        <w:t>.</w:t>
      </w:r>
    </w:p>
    <w:p w:rsidR="008C3F9C" w:rsidRDefault="008C3F9C" w:rsidP="00FD3E0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 tocante à administração da coisa, tem-se que poderá ser administrada por todos, vez que a todos pertence, que poderão usar a coisa comum pessoalmente. No entanto, não </w:t>
      </w:r>
      <w:r>
        <w:rPr>
          <w:rFonts w:ascii="Times New Roman" w:hAnsi="Times New Roman" w:cs="Times New Roman"/>
          <w:sz w:val="24"/>
          <w:szCs w:val="24"/>
        </w:rPr>
        <w:lastRenderedPageBreak/>
        <w:t>havendo acordo, poderão decidir se ela deve ser administrada, vendida ou alugada. Ressaltando que para a venda, basta a vontade de um dos condôminos</w:t>
      </w:r>
      <w:r>
        <w:rPr>
          <w:rStyle w:val="Refdenotaderodap"/>
          <w:rFonts w:ascii="Times New Roman" w:hAnsi="Times New Roman" w:cs="Times New Roman"/>
          <w:sz w:val="24"/>
          <w:szCs w:val="24"/>
        </w:rPr>
        <w:footnoteReference w:id="15"/>
      </w:r>
      <w:r>
        <w:rPr>
          <w:rFonts w:ascii="Times New Roman" w:hAnsi="Times New Roman" w:cs="Times New Roman"/>
          <w:sz w:val="24"/>
          <w:szCs w:val="24"/>
        </w:rPr>
        <w:t>.</w:t>
      </w:r>
    </w:p>
    <w:p w:rsidR="005E193C" w:rsidRDefault="008C3F9C" w:rsidP="00FD3E0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 tratar de bem divisível, a extinção poderá ocorrer de forma amigável, se todos os condôminos forem maiores e capazes; ou de forma judicial se </w:t>
      </w:r>
      <w:r w:rsidR="00B90B01">
        <w:rPr>
          <w:rFonts w:ascii="Times New Roman" w:hAnsi="Times New Roman" w:cs="Times New Roman"/>
          <w:sz w:val="24"/>
          <w:szCs w:val="24"/>
        </w:rPr>
        <w:t>divergir</w:t>
      </w:r>
      <w:r>
        <w:rPr>
          <w:rFonts w:ascii="Times New Roman" w:hAnsi="Times New Roman" w:cs="Times New Roman"/>
          <w:sz w:val="24"/>
          <w:szCs w:val="24"/>
        </w:rPr>
        <w:t xml:space="preserve"> ou se um deles for incapaz</w:t>
      </w:r>
      <w:r>
        <w:rPr>
          <w:rStyle w:val="Refdenotaderodap"/>
          <w:rFonts w:ascii="Times New Roman" w:hAnsi="Times New Roman" w:cs="Times New Roman"/>
          <w:sz w:val="24"/>
          <w:szCs w:val="24"/>
        </w:rPr>
        <w:footnoteReference w:id="16"/>
      </w:r>
      <w:r>
        <w:rPr>
          <w:rFonts w:ascii="Times New Roman" w:hAnsi="Times New Roman" w:cs="Times New Roman"/>
          <w:sz w:val="24"/>
          <w:szCs w:val="24"/>
        </w:rPr>
        <w:t>. Em se tratando de coisa indivisa a extinção será regida pelo artigo 1.322 do Código Civil</w:t>
      </w:r>
      <w:r w:rsidR="00B90B01">
        <w:rPr>
          <w:rStyle w:val="Refdenotaderodap"/>
          <w:rFonts w:ascii="Times New Roman" w:hAnsi="Times New Roman" w:cs="Times New Roman"/>
          <w:sz w:val="24"/>
          <w:szCs w:val="24"/>
        </w:rPr>
        <w:footnoteReference w:id="17"/>
      </w:r>
      <w:r>
        <w:rPr>
          <w:rFonts w:ascii="Times New Roman" w:hAnsi="Times New Roman" w:cs="Times New Roman"/>
          <w:sz w:val="24"/>
          <w:szCs w:val="24"/>
        </w:rPr>
        <w:t>.</w:t>
      </w:r>
    </w:p>
    <w:p w:rsidR="00C31FFE" w:rsidRDefault="00C31FFE" w:rsidP="00FD3E0D">
      <w:pPr>
        <w:spacing w:line="360" w:lineRule="auto"/>
        <w:ind w:firstLine="851"/>
        <w:jc w:val="both"/>
        <w:rPr>
          <w:rFonts w:ascii="Times New Roman" w:hAnsi="Times New Roman" w:cs="Times New Roman"/>
          <w:sz w:val="24"/>
          <w:szCs w:val="24"/>
        </w:rPr>
      </w:pPr>
    </w:p>
    <w:p w:rsidR="00C31FFE" w:rsidRDefault="00C31FFE" w:rsidP="00C31FFE">
      <w:pPr>
        <w:spacing w:line="360" w:lineRule="auto"/>
        <w:jc w:val="both"/>
        <w:rPr>
          <w:rFonts w:ascii="Times New Roman" w:hAnsi="Times New Roman" w:cs="Times New Roman"/>
          <w:sz w:val="24"/>
          <w:szCs w:val="24"/>
        </w:rPr>
      </w:pPr>
      <w:r>
        <w:rPr>
          <w:rFonts w:ascii="Times New Roman" w:hAnsi="Times New Roman" w:cs="Times New Roman"/>
          <w:sz w:val="24"/>
          <w:szCs w:val="24"/>
        </w:rPr>
        <w:t>2.1.2 Condomínio necessário</w:t>
      </w:r>
    </w:p>
    <w:p w:rsidR="0094245D" w:rsidRDefault="0094245D" w:rsidP="00C31FFE">
      <w:pPr>
        <w:spacing w:line="360" w:lineRule="auto"/>
        <w:jc w:val="both"/>
        <w:rPr>
          <w:rFonts w:ascii="Times New Roman" w:hAnsi="Times New Roman" w:cs="Times New Roman"/>
          <w:sz w:val="24"/>
          <w:szCs w:val="24"/>
        </w:rPr>
      </w:pPr>
    </w:p>
    <w:p w:rsidR="00C31FFE" w:rsidRDefault="00C31FFE" w:rsidP="00C31FF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Trata-se o condomínio necessário ou legal, como também conhecido, daquele que é imposto pela lei, regulando o Código Civil o condomínio por meação de paredes, cercas, muros e valas, os quais segundo o artigo 1.327 regular-se-á pelo disposto nos artigos 1.297 e 1298; 1.304 a 1.307 do citado diploma legal.</w:t>
      </w:r>
    </w:p>
    <w:p w:rsidR="00C31FFE" w:rsidRDefault="00C31FFE" w:rsidP="00C31FF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Assim, aquele que tiver </w:t>
      </w:r>
      <w:r w:rsidRPr="00C31FFE">
        <w:rPr>
          <w:rFonts w:ascii="Times New Roman" w:hAnsi="Times New Roman" w:cs="Times New Roman"/>
          <w:sz w:val="24"/>
          <w:szCs w:val="24"/>
        </w:rPr>
        <w:t>direito a estremar um imóvel com paredes, cercas, muros, valas ou valados, tê-lo-á igualmente a adquirir meação na parede, muro, valado ou cerca do vizinho, embolsando-lhe metade do que atualmente valer a obra e o terreno por ela ocupado</w:t>
      </w:r>
      <w:r>
        <w:rPr>
          <w:rStyle w:val="Refdenotaderodap"/>
          <w:rFonts w:ascii="Times New Roman" w:hAnsi="Times New Roman" w:cs="Times New Roman"/>
          <w:sz w:val="24"/>
          <w:szCs w:val="24"/>
        </w:rPr>
        <w:footnoteReference w:id="18"/>
      </w:r>
      <w:r>
        <w:rPr>
          <w:rFonts w:ascii="Times New Roman" w:hAnsi="Times New Roman" w:cs="Times New Roman"/>
          <w:sz w:val="24"/>
          <w:szCs w:val="24"/>
        </w:rPr>
        <w:t>.</w:t>
      </w:r>
    </w:p>
    <w:p w:rsidR="00C31FFE" w:rsidRDefault="00C31FFE" w:rsidP="00C31FF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Não havendo concordância quanto ao preço, este será apurado através de perícia e, quanto </w:t>
      </w:r>
      <w:r w:rsidRPr="00C31FFE">
        <w:rPr>
          <w:rFonts w:ascii="Times New Roman" w:hAnsi="Times New Roman" w:cs="Times New Roman"/>
          <w:sz w:val="24"/>
          <w:szCs w:val="24"/>
        </w:rPr>
        <w:t>enquanto aquele que pretender a divisão não o pagar ou depositar, nenhum uso poderá fazer na parede, muro, vala, cerca ou qualquer outra obra divisória</w:t>
      </w:r>
      <w:r>
        <w:rPr>
          <w:rStyle w:val="Refdenotaderodap"/>
          <w:rFonts w:ascii="Times New Roman" w:hAnsi="Times New Roman" w:cs="Times New Roman"/>
          <w:sz w:val="24"/>
          <w:szCs w:val="24"/>
        </w:rPr>
        <w:footnoteReference w:id="19"/>
      </w:r>
      <w:r>
        <w:rPr>
          <w:rFonts w:ascii="Times New Roman" w:hAnsi="Times New Roman" w:cs="Times New Roman"/>
          <w:sz w:val="24"/>
          <w:szCs w:val="24"/>
        </w:rPr>
        <w:t>.</w:t>
      </w:r>
    </w:p>
    <w:p w:rsidR="00C31FFE" w:rsidRDefault="00C31FFE" w:rsidP="00C31FFE">
      <w:pPr>
        <w:spacing w:line="360" w:lineRule="auto"/>
        <w:jc w:val="both"/>
        <w:rPr>
          <w:rFonts w:ascii="Times New Roman" w:hAnsi="Times New Roman" w:cs="Times New Roman"/>
          <w:sz w:val="24"/>
          <w:szCs w:val="24"/>
        </w:rPr>
      </w:pPr>
    </w:p>
    <w:p w:rsidR="00C31FFE" w:rsidRDefault="00C31FFE" w:rsidP="00C31FFE">
      <w:pPr>
        <w:spacing w:line="360" w:lineRule="auto"/>
        <w:jc w:val="both"/>
        <w:rPr>
          <w:rFonts w:ascii="Times New Roman" w:hAnsi="Times New Roman" w:cs="Times New Roman"/>
          <w:b/>
          <w:sz w:val="24"/>
          <w:szCs w:val="24"/>
        </w:rPr>
      </w:pPr>
      <w:r w:rsidRPr="00C31FFE">
        <w:rPr>
          <w:rFonts w:ascii="Times New Roman" w:hAnsi="Times New Roman" w:cs="Times New Roman"/>
          <w:b/>
          <w:sz w:val="24"/>
          <w:szCs w:val="24"/>
        </w:rPr>
        <w:lastRenderedPageBreak/>
        <w:t>3. CONDOMÍNIO EDILÍCIO</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773"/>
        <w:gridCol w:w="5388"/>
      </w:tblGrid>
      <w:tr w:rsidR="00F12387" w:rsidTr="00F12387">
        <w:trPr>
          <w:tblCellSpacing w:w="15" w:type="dxa"/>
        </w:trPr>
        <w:tc>
          <w:tcPr>
            <w:tcW w:w="0" w:type="auto"/>
            <w:shd w:val="clear" w:color="auto" w:fill="F7F7F7"/>
            <w:noWrap/>
            <w:vAlign w:val="center"/>
            <w:hideMark/>
          </w:tcPr>
          <w:p w:rsidR="00F12387" w:rsidRDefault="00F12387">
            <w:pPr>
              <w:rPr>
                <w:rFonts w:ascii="Verdana" w:hAnsi="Verdana"/>
                <w:color w:val="000000"/>
                <w:sz w:val="14"/>
                <w:szCs w:val="14"/>
              </w:rPr>
            </w:pPr>
            <w:r>
              <w:rPr>
                <w:rFonts w:ascii="Verdana" w:hAnsi="Verdana"/>
                <w:b/>
                <w:bCs/>
                <w:color w:val="000000"/>
                <w:sz w:val="14"/>
                <w:szCs w:val="14"/>
              </w:rPr>
              <w:t>Numeração Única:</w:t>
            </w:r>
          </w:p>
        </w:tc>
        <w:tc>
          <w:tcPr>
            <w:tcW w:w="0" w:type="auto"/>
            <w:shd w:val="clear" w:color="auto" w:fill="F7F7F7"/>
            <w:noWrap/>
            <w:vAlign w:val="center"/>
            <w:hideMark/>
          </w:tcPr>
          <w:p w:rsidR="00F12387" w:rsidRDefault="00FD10C5">
            <w:pPr>
              <w:rPr>
                <w:rFonts w:ascii="Verdana" w:hAnsi="Verdana"/>
                <w:color w:val="000000"/>
                <w:sz w:val="14"/>
                <w:szCs w:val="14"/>
              </w:rPr>
            </w:pPr>
            <w:hyperlink r:id="rId8" w:history="1">
              <w:r w:rsidR="00F12387">
                <w:rPr>
                  <w:rStyle w:val="Hyperlink"/>
                  <w:rFonts w:ascii="Verdana" w:hAnsi="Verdana"/>
                  <w:b/>
                  <w:bCs/>
                  <w:color w:val="000000"/>
                  <w:sz w:val="14"/>
                  <w:szCs w:val="14"/>
                </w:rPr>
                <w:t>2325735-67.2010.8.13.0024</w:t>
              </w:r>
            </w:hyperlink>
          </w:p>
        </w:tc>
      </w:tr>
      <w:tr w:rsidR="00F12387" w:rsidTr="00F12387">
        <w:trPr>
          <w:tblCellSpacing w:w="15" w:type="dxa"/>
        </w:trPr>
        <w:tc>
          <w:tcPr>
            <w:tcW w:w="1500" w:type="pct"/>
            <w:shd w:val="clear" w:color="auto" w:fill="F7F7F7"/>
            <w:noWrap/>
            <w:vAlign w:val="center"/>
            <w:hideMark/>
          </w:tcPr>
          <w:p w:rsidR="00F12387" w:rsidRDefault="00FD10C5">
            <w:pPr>
              <w:rPr>
                <w:rFonts w:ascii="Verdana" w:hAnsi="Verdana"/>
                <w:color w:val="000000"/>
                <w:sz w:val="14"/>
                <w:szCs w:val="14"/>
              </w:rPr>
            </w:pPr>
            <w:hyperlink r:id="rId9" w:tgtFrame="espelhoAcordao" w:history="1">
              <w:r w:rsidR="00F12387">
                <w:rPr>
                  <w:rStyle w:val="Hyperlink"/>
                  <w:rFonts w:ascii="Verdana" w:hAnsi="Verdana"/>
                  <w:b/>
                  <w:bCs/>
                  <w:color w:val="000000"/>
                  <w:sz w:val="14"/>
                  <w:szCs w:val="14"/>
                </w:rPr>
                <w:t>Acórdão Indexado!</w:t>
              </w:r>
            </w:hyperlink>
          </w:p>
        </w:tc>
        <w:tc>
          <w:tcPr>
            <w:tcW w:w="2150" w:type="pct"/>
            <w:shd w:val="clear" w:color="auto" w:fill="F7F7F7"/>
            <w:noWrap/>
            <w:vAlign w:val="center"/>
            <w:hideMark/>
          </w:tcPr>
          <w:p w:rsidR="00F12387" w:rsidRDefault="00F12387">
            <w:pPr>
              <w:jc w:val="right"/>
              <w:rPr>
                <w:rFonts w:ascii="Verdana" w:hAnsi="Verdana"/>
                <w:color w:val="000000"/>
                <w:sz w:val="14"/>
                <w:szCs w:val="14"/>
              </w:rPr>
            </w:pPr>
            <w:r>
              <w:rPr>
                <w:rStyle w:val="Forte"/>
                <w:rFonts w:ascii="Verdana" w:hAnsi="Verdana"/>
                <w:color w:val="000000"/>
                <w:sz w:val="14"/>
                <w:szCs w:val="14"/>
              </w:rPr>
              <w:t>Precisão:</w:t>
            </w:r>
            <w:r>
              <w:rPr>
                <w:rStyle w:val="apple-converted-space"/>
                <w:rFonts w:ascii="Verdana" w:hAnsi="Verdana"/>
                <w:b/>
                <w:bCs/>
                <w:color w:val="000000"/>
                <w:sz w:val="14"/>
                <w:szCs w:val="14"/>
              </w:rPr>
              <w:t> </w:t>
            </w:r>
            <w:r>
              <w:rPr>
                <w:rFonts w:ascii="Verdana" w:hAnsi="Verdana"/>
                <w:color w:val="000000"/>
                <w:sz w:val="14"/>
                <w:szCs w:val="14"/>
              </w:rPr>
              <w:t>38</w:t>
            </w:r>
          </w:p>
        </w:tc>
      </w:tr>
    </w:tbl>
    <w:p w:rsidR="00F12387" w:rsidRDefault="00F12387" w:rsidP="00F12387">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706"/>
        <w:gridCol w:w="7455"/>
      </w:tblGrid>
      <w:tr w:rsidR="00F12387" w:rsidTr="00F12387">
        <w:trPr>
          <w:tblCellSpacing w:w="15" w:type="dxa"/>
        </w:trPr>
        <w:tc>
          <w:tcPr>
            <w:tcW w:w="750" w:type="pct"/>
            <w:noWrap/>
            <w:vAlign w:val="center"/>
            <w:hideMark/>
          </w:tcPr>
          <w:p w:rsidR="00F12387" w:rsidRDefault="00F12387">
            <w:pPr>
              <w:rPr>
                <w:rFonts w:ascii="Verdana" w:hAnsi="Verdana"/>
                <w:color w:val="000000"/>
                <w:sz w:val="14"/>
                <w:szCs w:val="14"/>
              </w:rPr>
            </w:pPr>
            <w:r>
              <w:rPr>
                <w:rFonts w:ascii="Verdana" w:hAnsi="Verdana"/>
                <w:b/>
                <w:bCs/>
                <w:color w:val="000000"/>
                <w:sz w:val="14"/>
                <w:szCs w:val="14"/>
              </w:rPr>
              <w:t>Relator:</w:t>
            </w:r>
          </w:p>
        </w:tc>
        <w:tc>
          <w:tcPr>
            <w:tcW w:w="4250" w:type="pct"/>
            <w:noWrap/>
            <w:vAlign w:val="center"/>
            <w:hideMark/>
          </w:tcPr>
          <w:p w:rsidR="00F12387" w:rsidRDefault="00F12387">
            <w:pPr>
              <w:rPr>
                <w:rFonts w:ascii="Verdana" w:hAnsi="Verdana"/>
                <w:color w:val="000000"/>
                <w:sz w:val="14"/>
                <w:szCs w:val="14"/>
              </w:rPr>
            </w:pPr>
            <w:r>
              <w:rPr>
                <w:rFonts w:ascii="Verdana" w:hAnsi="Verdana"/>
                <w:color w:val="000000"/>
                <w:sz w:val="14"/>
                <w:szCs w:val="14"/>
              </w:rPr>
              <w:t>Des.(a) EDIVALDO GEORGE DOS SANTOS</w:t>
            </w:r>
          </w:p>
        </w:tc>
      </w:tr>
      <w:tr w:rsidR="00F12387" w:rsidTr="00F12387">
        <w:trPr>
          <w:tblCellSpacing w:w="15" w:type="dxa"/>
        </w:trPr>
        <w:tc>
          <w:tcPr>
            <w:tcW w:w="750" w:type="pct"/>
            <w:noWrap/>
            <w:vAlign w:val="center"/>
            <w:hideMark/>
          </w:tcPr>
          <w:p w:rsidR="00F12387" w:rsidRDefault="00F12387">
            <w:pPr>
              <w:rPr>
                <w:rFonts w:ascii="Verdana" w:hAnsi="Verdana"/>
                <w:color w:val="000000"/>
                <w:sz w:val="14"/>
                <w:szCs w:val="14"/>
              </w:rPr>
            </w:pPr>
            <w:r>
              <w:rPr>
                <w:rFonts w:ascii="Verdana" w:hAnsi="Verdana"/>
                <w:b/>
                <w:bCs/>
                <w:color w:val="000000"/>
                <w:sz w:val="14"/>
                <w:szCs w:val="14"/>
              </w:rPr>
              <w:t>Data do Julgamento:</w:t>
            </w:r>
          </w:p>
        </w:tc>
        <w:tc>
          <w:tcPr>
            <w:tcW w:w="4250" w:type="pct"/>
            <w:noWrap/>
            <w:vAlign w:val="center"/>
            <w:hideMark/>
          </w:tcPr>
          <w:p w:rsidR="00F12387" w:rsidRDefault="00F12387">
            <w:pPr>
              <w:rPr>
                <w:rFonts w:ascii="Verdana" w:hAnsi="Verdana"/>
                <w:color w:val="000000"/>
                <w:sz w:val="14"/>
                <w:szCs w:val="14"/>
              </w:rPr>
            </w:pPr>
            <w:r>
              <w:rPr>
                <w:rFonts w:ascii="Verdana" w:hAnsi="Verdana"/>
                <w:color w:val="000000"/>
                <w:sz w:val="14"/>
                <w:szCs w:val="14"/>
              </w:rPr>
              <w:t>19/04/2011</w:t>
            </w:r>
          </w:p>
        </w:tc>
      </w:tr>
      <w:tr w:rsidR="00F12387" w:rsidTr="00F12387">
        <w:trPr>
          <w:tblCellSpacing w:w="15" w:type="dxa"/>
        </w:trPr>
        <w:tc>
          <w:tcPr>
            <w:tcW w:w="750" w:type="pct"/>
            <w:noWrap/>
            <w:vAlign w:val="center"/>
            <w:hideMark/>
          </w:tcPr>
          <w:p w:rsidR="00F12387" w:rsidRDefault="00F12387">
            <w:pPr>
              <w:rPr>
                <w:rFonts w:ascii="Verdana" w:hAnsi="Verdana"/>
                <w:color w:val="000000"/>
                <w:sz w:val="14"/>
                <w:szCs w:val="14"/>
              </w:rPr>
            </w:pPr>
            <w:r>
              <w:rPr>
                <w:rFonts w:ascii="Verdana" w:hAnsi="Verdana"/>
                <w:b/>
                <w:bCs/>
                <w:color w:val="000000"/>
                <w:sz w:val="14"/>
                <w:szCs w:val="14"/>
              </w:rPr>
              <w:t>Data da Publicação:</w:t>
            </w:r>
          </w:p>
        </w:tc>
        <w:tc>
          <w:tcPr>
            <w:tcW w:w="4250" w:type="pct"/>
            <w:noWrap/>
            <w:vAlign w:val="center"/>
            <w:hideMark/>
          </w:tcPr>
          <w:p w:rsidR="00F12387" w:rsidRDefault="00F12387">
            <w:pPr>
              <w:rPr>
                <w:rFonts w:ascii="Verdana" w:hAnsi="Verdana"/>
                <w:color w:val="000000"/>
                <w:sz w:val="14"/>
                <w:szCs w:val="14"/>
              </w:rPr>
            </w:pPr>
            <w:r>
              <w:rPr>
                <w:rFonts w:ascii="Verdana" w:hAnsi="Verdana"/>
                <w:color w:val="000000"/>
                <w:sz w:val="14"/>
                <w:szCs w:val="14"/>
              </w:rPr>
              <w:t>13/05/2011</w:t>
            </w:r>
          </w:p>
        </w:tc>
      </w:tr>
      <w:tr w:rsidR="00F12387" w:rsidTr="00F12387">
        <w:trPr>
          <w:tblCellSpacing w:w="15" w:type="dxa"/>
        </w:trPr>
        <w:tc>
          <w:tcPr>
            <w:tcW w:w="0" w:type="auto"/>
            <w:gridSpan w:val="2"/>
            <w:noWrap/>
            <w:vAlign w:val="center"/>
            <w:hideMark/>
          </w:tcPr>
          <w:p w:rsidR="00F12387" w:rsidRDefault="00F12387">
            <w:pPr>
              <w:rPr>
                <w:rFonts w:ascii="Verdana" w:hAnsi="Verdana"/>
                <w:color w:val="000000"/>
                <w:sz w:val="14"/>
                <w:szCs w:val="14"/>
              </w:rPr>
            </w:pPr>
            <w:r>
              <w:rPr>
                <w:rFonts w:ascii="Verdana" w:hAnsi="Verdana"/>
                <w:b/>
                <w:bCs/>
                <w:color w:val="000000"/>
                <w:sz w:val="14"/>
                <w:szCs w:val="14"/>
              </w:rPr>
              <w:t>Ementa:</w:t>
            </w:r>
          </w:p>
        </w:tc>
      </w:tr>
      <w:tr w:rsidR="00F12387" w:rsidTr="00F12387">
        <w:trPr>
          <w:tblCellSpacing w:w="15" w:type="dxa"/>
        </w:trPr>
        <w:tc>
          <w:tcPr>
            <w:tcW w:w="0" w:type="auto"/>
            <w:gridSpan w:val="2"/>
            <w:vAlign w:val="center"/>
            <w:hideMark/>
          </w:tcPr>
          <w:p w:rsidR="00F12387" w:rsidRDefault="00F12387" w:rsidP="00F12387">
            <w:pPr>
              <w:rPr>
                <w:rFonts w:ascii="Verdana" w:hAnsi="Verdana"/>
                <w:color w:val="000000"/>
                <w:sz w:val="14"/>
                <w:szCs w:val="14"/>
              </w:rPr>
            </w:pPr>
            <w:r>
              <w:rPr>
                <w:rFonts w:ascii="Verdana" w:hAnsi="Verdana"/>
                <w:color w:val="000000"/>
                <w:sz w:val="14"/>
                <w:szCs w:val="14"/>
              </w:rPr>
              <w:t>Conquanto ostente personalidade judiciária, o condomínio edilício não tem personalidade jurídica, não sendo, portanto, possível que este venha a adquirir bens e patrimônio próprio, sendo, portanto, procedente a dúvida suscitada acerca da viabilidade ou não do registro de escritura de compra e venda de imóvel em que figura como comprador aquele ente abstrato e formal.</w:t>
            </w:r>
          </w:p>
        </w:tc>
      </w:tr>
      <w:tr w:rsidR="00F12387" w:rsidTr="00F12387">
        <w:trPr>
          <w:tblCellSpacing w:w="15" w:type="dxa"/>
        </w:trPr>
        <w:tc>
          <w:tcPr>
            <w:tcW w:w="0" w:type="auto"/>
            <w:noWrap/>
            <w:hideMark/>
          </w:tcPr>
          <w:p w:rsidR="00F12387" w:rsidRDefault="00F12387">
            <w:pPr>
              <w:rPr>
                <w:rFonts w:ascii="Verdana" w:hAnsi="Verdana"/>
                <w:color w:val="000000"/>
                <w:sz w:val="14"/>
                <w:szCs w:val="14"/>
              </w:rPr>
            </w:pPr>
            <w:r>
              <w:rPr>
                <w:rFonts w:ascii="Verdana" w:hAnsi="Verdana"/>
                <w:b/>
                <w:bCs/>
                <w:color w:val="000000"/>
                <w:sz w:val="14"/>
                <w:szCs w:val="14"/>
              </w:rPr>
              <w:t>Súmula:</w:t>
            </w:r>
          </w:p>
        </w:tc>
        <w:tc>
          <w:tcPr>
            <w:tcW w:w="0" w:type="auto"/>
            <w:vAlign w:val="center"/>
            <w:hideMark/>
          </w:tcPr>
          <w:p w:rsidR="00F12387" w:rsidRDefault="00F12387" w:rsidP="00F12387">
            <w:pPr>
              <w:rPr>
                <w:rFonts w:ascii="Verdana" w:hAnsi="Verdana"/>
                <w:color w:val="000000"/>
                <w:sz w:val="14"/>
                <w:szCs w:val="14"/>
              </w:rPr>
            </w:pPr>
            <w:r>
              <w:rPr>
                <w:rFonts w:ascii="Verdana" w:hAnsi="Verdana"/>
                <w:color w:val="000000"/>
                <w:sz w:val="14"/>
                <w:szCs w:val="14"/>
              </w:rPr>
              <w:t>NEGARAM PROVIMENTO AO RECURSO.</w:t>
            </w:r>
          </w:p>
        </w:tc>
      </w:tr>
    </w:tbl>
    <w:p w:rsidR="0094245D" w:rsidRPr="00C31FFE" w:rsidRDefault="0094245D" w:rsidP="00C31FFE">
      <w:pPr>
        <w:spacing w:line="360" w:lineRule="auto"/>
        <w:jc w:val="both"/>
        <w:rPr>
          <w:rFonts w:ascii="Times New Roman" w:hAnsi="Times New Roman" w:cs="Times New Roman"/>
          <w:b/>
          <w:sz w:val="24"/>
          <w:szCs w:val="24"/>
        </w:rPr>
      </w:pPr>
    </w:p>
    <w:p w:rsidR="00C31FFE" w:rsidRDefault="000054E7" w:rsidP="0094245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Tratado como modalidade especial de condomínio, o condomínio edilício também conhecido como condomínio em plano horizontal, propriedade horizontal, propriedade em planos horizontais, condomínio </w:t>
      </w:r>
      <w:r>
        <w:rPr>
          <w:rFonts w:ascii="Times New Roman" w:hAnsi="Times New Roman" w:cs="Times New Roman"/>
          <w:i/>
          <w:sz w:val="24"/>
          <w:szCs w:val="24"/>
        </w:rPr>
        <w:t xml:space="preserve">sui generis, </w:t>
      </w:r>
      <w:r>
        <w:rPr>
          <w:rFonts w:ascii="Times New Roman" w:hAnsi="Times New Roman" w:cs="Times New Roman"/>
          <w:sz w:val="24"/>
          <w:szCs w:val="24"/>
        </w:rPr>
        <w:t>etc., surgiu depois da guerra de 1914-1918.</w:t>
      </w:r>
    </w:p>
    <w:p w:rsidR="0094245D" w:rsidRDefault="0094245D" w:rsidP="0094245D">
      <w:pPr>
        <w:spacing w:line="240" w:lineRule="auto"/>
        <w:ind w:firstLine="851"/>
        <w:jc w:val="both"/>
        <w:rPr>
          <w:rFonts w:ascii="Times New Roman" w:hAnsi="Times New Roman" w:cs="Times New Roman"/>
          <w:sz w:val="24"/>
          <w:szCs w:val="24"/>
        </w:rPr>
      </w:pPr>
    </w:p>
    <w:p w:rsidR="000054E7" w:rsidRPr="000054E7" w:rsidRDefault="000054E7" w:rsidP="000054E7">
      <w:pPr>
        <w:pStyle w:val="SemEspaamento"/>
        <w:ind w:left="2268"/>
        <w:jc w:val="both"/>
        <w:rPr>
          <w:rFonts w:ascii="Times New Roman" w:hAnsi="Times New Roman" w:cs="Times New Roman"/>
          <w:sz w:val="20"/>
          <w:szCs w:val="20"/>
        </w:rPr>
      </w:pPr>
      <w:r w:rsidRPr="000054E7">
        <w:rPr>
          <w:rFonts w:ascii="Times New Roman" w:hAnsi="Times New Roman" w:cs="Times New Roman"/>
          <w:sz w:val="20"/>
          <w:szCs w:val="20"/>
        </w:rPr>
        <w:t>...em consequência da crise de habitações, que fez desaparecer o equilíbrio entre a oferta e a procura e se agravou com a legislação de emergência sobre o inquilinato, indefinidamente prorrogado, restringido-se o número das construções.</w:t>
      </w:r>
    </w:p>
    <w:p w:rsidR="000054E7" w:rsidRPr="000054E7" w:rsidRDefault="000054E7" w:rsidP="000054E7">
      <w:pPr>
        <w:pStyle w:val="SemEspaamento"/>
        <w:ind w:left="2268"/>
        <w:jc w:val="both"/>
        <w:rPr>
          <w:rFonts w:ascii="Times New Roman" w:hAnsi="Times New Roman" w:cs="Times New Roman"/>
          <w:sz w:val="20"/>
          <w:szCs w:val="20"/>
        </w:rPr>
      </w:pPr>
      <w:r w:rsidRPr="000054E7">
        <w:rPr>
          <w:rFonts w:ascii="Times New Roman" w:hAnsi="Times New Roman" w:cs="Times New Roman"/>
          <w:sz w:val="20"/>
          <w:szCs w:val="20"/>
        </w:rPr>
        <w:t>Amenizando a</w:t>
      </w:r>
      <w:r>
        <w:t xml:space="preserve"> </w:t>
      </w:r>
      <w:r w:rsidRPr="000054E7">
        <w:rPr>
          <w:rFonts w:ascii="Times New Roman" w:hAnsi="Times New Roman" w:cs="Times New Roman"/>
          <w:sz w:val="20"/>
          <w:szCs w:val="20"/>
        </w:rPr>
        <w:t>situação, apareceu o condomínio em edifícios de apartamentos...</w:t>
      </w:r>
      <w:r>
        <w:rPr>
          <w:rFonts w:ascii="Times New Roman" w:hAnsi="Times New Roman" w:cs="Times New Roman"/>
          <w:sz w:val="20"/>
          <w:szCs w:val="20"/>
        </w:rPr>
        <w:t xml:space="preserve"> (MONTEIRO, 2011, p. 282)</w:t>
      </w:r>
    </w:p>
    <w:p w:rsidR="00A71C5E" w:rsidRDefault="00A71C5E" w:rsidP="00FD3E0D">
      <w:pPr>
        <w:spacing w:line="360" w:lineRule="auto"/>
        <w:ind w:firstLine="851"/>
        <w:jc w:val="both"/>
        <w:rPr>
          <w:rFonts w:ascii="Times New Roman" w:hAnsi="Times New Roman" w:cs="Times New Roman"/>
          <w:sz w:val="24"/>
          <w:szCs w:val="24"/>
        </w:rPr>
      </w:pPr>
    </w:p>
    <w:p w:rsidR="00B25BF5" w:rsidRDefault="00B25BF5" w:rsidP="00FD3E0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 condomínio edilício é fruto do avanço das relações socioeconômicas em decorrência do fenômeno sociológico da urbanização e concentração da população, surgindo inicialmete nas cidades europeias após a Primeira Guerra Mundial</w:t>
      </w:r>
      <w:r>
        <w:rPr>
          <w:rStyle w:val="Refdenotaderodap"/>
          <w:rFonts w:ascii="Times New Roman" w:hAnsi="Times New Roman" w:cs="Times New Roman"/>
          <w:sz w:val="24"/>
          <w:szCs w:val="24"/>
        </w:rPr>
        <w:footnoteReference w:id="20"/>
      </w:r>
      <w:r>
        <w:rPr>
          <w:rFonts w:ascii="Times New Roman" w:hAnsi="Times New Roman" w:cs="Times New Roman"/>
          <w:sz w:val="24"/>
          <w:szCs w:val="24"/>
        </w:rPr>
        <w:t>.</w:t>
      </w:r>
    </w:p>
    <w:p w:rsidR="00A71C5E" w:rsidRDefault="000054E7" w:rsidP="00FD3E0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aceitação do condomínio edilício teve vários fatores, desde o </w:t>
      </w:r>
      <w:r w:rsidR="00A71C5E">
        <w:rPr>
          <w:rFonts w:ascii="Times New Roman" w:hAnsi="Times New Roman" w:cs="Times New Roman"/>
          <w:sz w:val="24"/>
          <w:szCs w:val="24"/>
        </w:rPr>
        <w:t>aproveitamento do espaço, tornando-o mais barato; maior economia na edificação, até a facilidade de obtenção da casa própria e fixação de seus donos nas imediações dos locais de trabalho</w:t>
      </w:r>
      <w:r w:rsidR="00A71C5E">
        <w:rPr>
          <w:rStyle w:val="Refdenotaderodap"/>
          <w:rFonts w:ascii="Times New Roman" w:hAnsi="Times New Roman" w:cs="Times New Roman"/>
          <w:sz w:val="24"/>
          <w:szCs w:val="24"/>
        </w:rPr>
        <w:footnoteReference w:id="21"/>
      </w:r>
      <w:r w:rsidR="00A71C5E">
        <w:rPr>
          <w:rFonts w:ascii="Times New Roman" w:hAnsi="Times New Roman" w:cs="Times New Roman"/>
          <w:sz w:val="24"/>
          <w:szCs w:val="24"/>
        </w:rPr>
        <w:t>.</w:t>
      </w:r>
    </w:p>
    <w:p w:rsidR="00482767" w:rsidRDefault="00A71C5E" w:rsidP="0094245D">
      <w:pPr>
        <w:spacing w:line="360" w:lineRule="auto"/>
        <w:ind w:firstLine="851"/>
        <w:jc w:val="both"/>
        <w:rPr>
          <w:rFonts w:ascii="Times New Roman" w:hAnsi="Times New Roman" w:cs="Times New Roman"/>
          <w:i/>
          <w:sz w:val="24"/>
          <w:szCs w:val="24"/>
        </w:rPr>
      </w:pPr>
      <w:r>
        <w:rPr>
          <w:rFonts w:ascii="Times New Roman" w:hAnsi="Times New Roman" w:cs="Times New Roman"/>
          <w:sz w:val="24"/>
          <w:szCs w:val="24"/>
        </w:rPr>
        <w:t xml:space="preserve"> Apesar da grande aceitação da propriedade horizontal, o Código Civil de 1.916 regulamentou apenas a propriedade vertical, o originou</w:t>
      </w:r>
      <w:r w:rsidR="00482767">
        <w:rPr>
          <w:rFonts w:ascii="Times New Roman" w:hAnsi="Times New Roman" w:cs="Times New Roman"/>
          <w:sz w:val="24"/>
          <w:szCs w:val="24"/>
        </w:rPr>
        <w:t xml:space="preserve"> Decretos-lei e Lei</w:t>
      </w:r>
      <w:r>
        <w:rPr>
          <w:rFonts w:ascii="Times New Roman" w:hAnsi="Times New Roman" w:cs="Times New Roman"/>
          <w:sz w:val="24"/>
          <w:szCs w:val="24"/>
        </w:rPr>
        <w:t xml:space="preserve">, que visavam a regulamentação desse ordenamento jurídico. Posteriormente, o </w:t>
      </w:r>
      <w:r w:rsidR="00482767">
        <w:rPr>
          <w:rFonts w:ascii="Times New Roman" w:hAnsi="Times New Roman" w:cs="Times New Roman"/>
          <w:sz w:val="24"/>
          <w:szCs w:val="24"/>
        </w:rPr>
        <w:t xml:space="preserve"> Código Civil de 2002</w:t>
      </w:r>
      <w:r>
        <w:rPr>
          <w:rFonts w:ascii="Times New Roman" w:hAnsi="Times New Roman" w:cs="Times New Roman"/>
          <w:sz w:val="24"/>
          <w:szCs w:val="24"/>
        </w:rPr>
        <w:t xml:space="preserve"> vem </w:t>
      </w:r>
      <w:r>
        <w:rPr>
          <w:rFonts w:ascii="Times New Roman" w:hAnsi="Times New Roman" w:cs="Times New Roman"/>
          <w:sz w:val="24"/>
          <w:szCs w:val="24"/>
        </w:rPr>
        <w:lastRenderedPageBreak/>
        <w:t xml:space="preserve">regulamentar expressamente </w:t>
      </w:r>
      <w:r w:rsidR="00482767">
        <w:rPr>
          <w:rFonts w:ascii="Times New Roman" w:hAnsi="Times New Roman" w:cs="Times New Roman"/>
          <w:sz w:val="24"/>
          <w:szCs w:val="24"/>
        </w:rPr>
        <w:t>condomínio edilício nos artigos 1.331 a 1.358</w:t>
      </w:r>
      <w:r>
        <w:rPr>
          <w:rFonts w:ascii="Times New Roman" w:hAnsi="Times New Roman" w:cs="Times New Roman"/>
          <w:sz w:val="24"/>
          <w:szCs w:val="24"/>
        </w:rPr>
        <w:t xml:space="preserve">, traduzindo sua definição no artigo 1.331, </w:t>
      </w:r>
      <w:r>
        <w:rPr>
          <w:rFonts w:ascii="Times New Roman" w:hAnsi="Times New Roman" w:cs="Times New Roman"/>
          <w:i/>
          <w:sz w:val="24"/>
          <w:szCs w:val="24"/>
        </w:rPr>
        <w:t>caput</w:t>
      </w:r>
      <w:r>
        <w:rPr>
          <w:rStyle w:val="Refdenotaderodap"/>
          <w:rFonts w:ascii="Times New Roman" w:hAnsi="Times New Roman" w:cs="Times New Roman"/>
          <w:i/>
          <w:sz w:val="24"/>
          <w:szCs w:val="24"/>
        </w:rPr>
        <w:footnoteReference w:id="22"/>
      </w:r>
      <w:r>
        <w:rPr>
          <w:rFonts w:ascii="Times New Roman" w:hAnsi="Times New Roman" w:cs="Times New Roman"/>
          <w:i/>
          <w:sz w:val="24"/>
          <w:szCs w:val="24"/>
        </w:rPr>
        <w:t>.</w:t>
      </w:r>
    </w:p>
    <w:p w:rsidR="0094245D" w:rsidRPr="00A71C5E" w:rsidRDefault="0094245D" w:rsidP="0094245D">
      <w:pPr>
        <w:spacing w:line="240" w:lineRule="auto"/>
        <w:ind w:firstLine="851"/>
        <w:jc w:val="both"/>
        <w:rPr>
          <w:rFonts w:ascii="Times New Roman" w:hAnsi="Times New Roman" w:cs="Times New Roman"/>
          <w:i/>
          <w:sz w:val="24"/>
          <w:szCs w:val="24"/>
        </w:rPr>
      </w:pPr>
    </w:p>
    <w:p w:rsidR="00FC2523" w:rsidRDefault="002F0D5A" w:rsidP="002F0D5A">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A essência do condomínio nos edifícios coletivos reside em que deve ele ser constituído de partes que são de utilização exclusiva, consistindo no direito de propriedade sobre as mesmas ser subordinada ao conceito condominial, tal como desenvolvido em o nº 314, supra. O proprietário de uma unidade no edifício coletivo somente tem a possibilidade material e jurídica de sua utilização se ao mesmo tempo lhe é assegurada a das partes comuns. (PEREIRA, 2011, p. 160)</w:t>
      </w:r>
    </w:p>
    <w:p w:rsidR="002F0D5A" w:rsidRPr="002F0D5A" w:rsidRDefault="002F0D5A" w:rsidP="002F0D5A">
      <w:pPr>
        <w:spacing w:line="240" w:lineRule="auto"/>
        <w:ind w:left="2268"/>
        <w:jc w:val="both"/>
        <w:rPr>
          <w:rFonts w:ascii="Times New Roman" w:hAnsi="Times New Roman" w:cs="Times New Roman"/>
          <w:sz w:val="20"/>
          <w:szCs w:val="20"/>
        </w:rPr>
      </w:pPr>
    </w:p>
    <w:p w:rsidR="00A71C5E" w:rsidRDefault="002F0D5A" w:rsidP="00FD3E0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Caio Mário da Silva Pereira </w:t>
      </w:r>
      <w:r w:rsidR="00885858">
        <w:rPr>
          <w:rFonts w:ascii="Times New Roman" w:hAnsi="Times New Roman" w:cs="Times New Roman"/>
          <w:sz w:val="24"/>
          <w:szCs w:val="24"/>
        </w:rPr>
        <w:t>foi encarregado de elaborar o Projeto que posteriormente passaria a incorporar o texto do Código Civil de 2002, em sua obra Instituição de Direito Civil, faz várias considerações sobre o início do projeto, bem como as criticas à denominação “Condomínio Edilício” que perduraram durante toda a fase de elaboração do Projeto do Código, mas que foram em vão, o que justifica as diversas variações que essa espécie de condomínio recebeu, como dito alhures. Ainda faz menção aos acertos e aos equívocos trazidos pelo referido diploma legal quando da elaboração e aprovação da redação dos artigos.</w:t>
      </w:r>
      <w:r w:rsidR="00885858">
        <w:rPr>
          <w:rStyle w:val="Refdenotaderodap"/>
          <w:rFonts w:ascii="Times New Roman" w:hAnsi="Times New Roman" w:cs="Times New Roman"/>
          <w:sz w:val="24"/>
          <w:szCs w:val="24"/>
        </w:rPr>
        <w:footnoteReference w:id="23"/>
      </w:r>
      <w:r w:rsidR="00885858">
        <w:rPr>
          <w:rFonts w:ascii="Times New Roman" w:hAnsi="Times New Roman" w:cs="Times New Roman"/>
          <w:sz w:val="24"/>
          <w:szCs w:val="24"/>
        </w:rPr>
        <w:t xml:space="preserve"> </w:t>
      </w:r>
    </w:p>
    <w:p w:rsidR="00A71C5E" w:rsidRDefault="00885858" w:rsidP="00FD3E0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Diante da nova modalidade de condomínio que surgia, também foram surgindo teorias que buscavam explicar a natureza jurídica das relações existentes entre os proprietários dos vários apartamentos, torna a questão controvertida não só entre doutrinadores, mas também divergente nas jurisprudências dos Tribunais.</w:t>
      </w:r>
    </w:p>
    <w:p w:rsidR="00885858" w:rsidRDefault="00885858" w:rsidP="00885858">
      <w:pPr>
        <w:spacing w:line="360" w:lineRule="auto"/>
        <w:jc w:val="both"/>
        <w:rPr>
          <w:rFonts w:ascii="Times New Roman" w:hAnsi="Times New Roman" w:cs="Times New Roman"/>
          <w:sz w:val="24"/>
          <w:szCs w:val="24"/>
        </w:rPr>
      </w:pPr>
    </w:p>
    <w:p w:rsidR="00885858" w:rsidRPr="00885858" w:rsidRDefault="00885858" w:rsidP="00885858">
      <w:pPr>
        <w:spacing w:line="360" w:lineRule="auto"/>
        <w:jc w:val="both"/>
        <w:rPr>
          <w:rFonts w:ascii="Times New Roman" w:hAnsi="Times New Roman" w:cs="Times New Roman"/>
          <w:b/>
          <w:sz w:val="24"/>
          <w:szCs w:val="24"/>
        </w:rPr>
      </w:pPr>
      <w:r w:rsidRPr="00885858">
        <w:rPr>
          <w:rFonts w:ascii="Times New Roman" w:hAnsi="Times New Roman" w:cs="Times New Roman"/>
          <w:b/>
          <w:sz w:val="24"/>
          <w:szCs w:val="24"/>
        </w:rPr>
        <w:t>4 NATUREZA JURÍDICA DO CONDOMÍNIO EDILÍCIO</w:t>
      </w:r>
    </w:p>
    <w:p w:rsidR="00B25BF5" w:rsidRDefault="00B25BF5" w:rsidP="0088585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natureza jurídica do condomínio edilício trata-se de um tema controvertido, que originou diversas teorias, onde todas buscam explicar o </w:t>
      </w:r>
      <w:r w:rsidR="00422E7A">
        <w:rPr>
          <w:rFonts w:ascii="Times New Roman" w:hAnsi="Times New Roman" w:cs="Times New Roman"/>
          <w:sz w:val="24"/>
          <w:szCs w:val="24"/>
        </w:rPr>
        <w:t xml:space="preserve">fenômeno da combinação harmônica entre a propriedade privada e a coletiva. </w:t>
      </w:r>
    </w:p>
    <w:p w:rsidR="00BB719A" w:rsidRDefault="00BB719A" w:rsidP="0088585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Tais teorias acabam por dividir juristas e tribunais, </w:t>
      </w:r>
      <w:r w:rsidR="005F3AA2">
        <w:rPr>
          <w:rFonts w:ascii="Times New Roman" w:hAnsi="Times New Roman" w:cs="Times New Roman"/>
          <w:sz w:val="24"/>
          <w:szCs w:val="24"/>
        </w:rPr>
        <w:t>onde uns se posicionam no sentido</w:t>
      </w:r>
      <w:r>
        <w:rPr>
          <w:rFonts w:ascii="Times New Roman" w:hAnsi="Times New Roman" w:cs="Times New Roman"/>
          <w:sz w:val="24"/>
          <w:szCs w:val="24"/>
        </w:rPr>
        <w:t xml:space="preserve"> de que o condomínio edilício trata de uma nova modalidade de pessoa jurídica, ou </w:t>
      </w:r>
      <w:r>
        <w:rPr>
          <w:rFonts w:ascii="Times New Roman" w:hAnsi="Times New Roman" w:cs="Times New Roman"/>
          <w:sz w:val="24"/>
          <w:szCs w:val="24"/>
        </w:rPr>
        <w:lastRenderedPageBreak/>
        <w:t>cunho societário, ou como universalidade; outros invocam institutos tradicionais para explicar a sua existência: direito superficiário e, outros que o associam à enfiteuse</w:t>
      </w:r>
      <w:r>
        <w:rPr>
          <w:rStyle w:val="Refdenotaderodap"/>
          <w:rFonts w:ascii="Times New Roman" w:hAnsi="Times New Roman" w:cs="Times New Roman"/>
          <w:sz w:val="24"/>
          <w:szCs w:val="24"/>
        </w:rPr>
        <w:footnoteReference w:id="24"/>
      </w:r>
      <w:r>
        <w:rPr>
          <w:rFonts w:ascii="Times New Roman" w:hAnsi="Times New Roman" w:cs="Times New Roman"/>
          <w:sz w:val="24"/>
          <w:szCs w:val="24"/>
        </w:rPr>
        <w:t>.</w:t>
      </w:r>
    </w:p>
    <w:p w:rsidR="00334365" w:rsidRDefault="00334365" w:rsidP="0088585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Aqueles que defendem a natureza de pessoa jurídica dispõem que o condomínio em edilício se distingue da pessoa de cada um dos condôminos, sem que assim, razoável seria a consideração de sua personalidade jurídica autônoma para, uma vez autorizar em assembleia geral, realizarem-se aquisições necessárias à sua manutenção, ou alienação de seu interesse. Tal posicionamento é combatido por Venosa que se posiciona contrariamente a essa ideia, uma vez que falta </w:t>
      </w:r>
      <w:r>
        <w:rPr>
          <w:rFonts w:ascii="Times New Roman" w:hAnsi="Times New Roman" w:cs="Times New Roman"/>
          <w:i/>
          <w:sz w:val="24"/>
          <w:szCs w:val="24"/>
        </w:rPr>
        <w:t xml:space="preserve">affectio societatis, </w:t>
      </w:r>
      <w:r>
        <w:rPr>
          <w:rFonts w:ascii="Times New Roman" w:hAnsi="Times New Roman" w:cs="Times New Roman"/>
          <w:sz w:val="24"/>
          <w:szCs w:val="24"/>
        </w:rPr>
        <w:t>elemento primordial para a caracterização daquelas.</w:t>
      </w:r>
      <w:r>
        <w:rPr>
          <w:rStyle w:val="Refdenotaderodap"/>
          <w:rFonts w:ascii="Times New Roman" w:hAnsi="Times New Roman" w:cs="Times New Roman"/>
          <w:sz w:val="24"/>
          <w:szCs w:val="24"/>
        </w:rPr>
        <w:footnoteReference w:id="25"/>
      </w:r>
    </w:p>
    <w:p w:rsidR="00334365" w:rsidRDefault="00334365" w:rsidP="0088585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Maria Helena Diniz considera como mais acertada</w:t>
      </w:r>
      <w:r w:rsidR="002D48DA">
        <w:rPr>
          <w:rFonts w:ascii="Times New Roman" w:hAnsi="Times New Roman" w:cs="Times New Roman"/>
          <w:sz w:val="24"/>
          <w:szCs w:val="24"/>
        </w:rPr>
        <w:t>, a teoria de Planiol, Ripert, Baudry-Lacantinerie, que veem no condomínio em edifícios de apartamentos uma mistura de propriedade individual e de condomínio</w:t>
      </w:r>
      <w:r w:rsidR="002D48DA">
        <w:rPr>
          <w:rStyle w:val="Refdenotaderodap"/>
          <w:rFonts w:ascii="Times New Roman" w:hAnsi="Times New Roman" w:cs="Times New Roman"/>
          <w:sz w:val="24"/>
          <w:szCs w:val="24"/>
        </w:rPr>
        <w:footnoteReference w:id="26"/>
      </w:r>
      <w:r w:rsidR="002D48DA">
        <w:rPr>
          <w:rFonts w:ascii="Times New Roman" w:hAnsi="Times New Roman" w:cs="Times New Roman"/>
          <w:sz w:val="24"/>
          <w:szCs w:val="24"/>
        </w:rPr>
        <w:t>.</w:t>
      </w:r>
    </w:p>
    <w:p w:rsidR="002D48DA" w:rsidRDefault="002D48DA" w:rsidP="0088585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Ainda têm-se aqueles que o consideram como uma comunidade de direito, de que são titulares várias pessoas, incidindo sobre o mesmo objeto</w:t>
      </w:r>
      <w:r>
        <w:rPr>
          <w:rStyle w:val="Refdenotaderodap"/>
          <w:rFonts w:ascii="Times New Roman" w:hAnsi="Times New Roman" w:cs="Times New Roman"/>
          <w:sz w:val="24"/>
          <w:szCs w:val="24"/>
        </w:rPr>
        <w:footnoteReference w:id="27"/>
      </w:r>
      <w:r>
        <w:rPr>
          <w:rFonts w:ascii="Times New Roman" w:hAnsi="Times New Roman" w:cs="Times New Roman"/>
          <w:sz w:val="24"/>
          <w:szCs w:val="24"/>
        </w:rPr>
        <w:t xml:space="preserve">. </w:t>
      </w:r>
    </w:p>
    <w:p w:rsidR="002D48DA" w:rsidRDefault="002D48DA" w:rsidP="0088585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Washington de Barros Monteira afirma que o condomínio é uma ficção jurídica que existe na órbita do direito. No entender da doutrina é uma quase pessoa, que infelizmente, pela nova lei civil, vai continuar sem personalidade jurídica</w:t>
      </w:r>
      <w:r>
        <w:rPr>
          <w:rStyle w:val="Refdenotaderodap"/>
          <w:rFonts w:ascii="Times New Roman" w:hAnsi="Times New Roman" w:cs="Times New Roman"/>
          <w:sz w:val="24"/>
          <w:szCs w:val="24"/>
        </w:rPr>
        <w:footnoteReference w:id="28"/>
      </w:r>
      <w:r>
        <w:rPr>
          <w:rFonts w:ascii="Times New Roman" w:hAnsi="Times New Roman" w:cs="Times New Roman"/>
          <w:sz w:val="24"/>
          <w:szCs w:val="24"/>
        </w:rPr>
        <w:t>.</w:t>
      </w:r>
    </w:p>
    <w:p w:rsidR="00226A00" w:rsidRDefault="00226A00" w:rsidP="0094245D">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No que tange às teorias, Roberto Carlos Gonçalves faz um apanhado sobre as mais discutidas, mas conclui que o entendimento dominante é de que o condomínio não tem personalidade jurídica.</w:t>
      </w:r>
    </w:p>
    <w:p w:rsidR="0094245D" w:rsidRDefault="0094245D" w:rsidP="0094245D">
      <w:pPr>
        <w:spacing w:line="240" w:lineRule="auto"/>
        <w:ind w:firstLine="851"/>
        <w:jc w:val="both"/>
        <w:rPr>
          <w:rFonts w:ascii="Times New Roman" w:hAnsi="Times New Roman" w:cs="Times New Roman"/>
          <w:sz w:val="24"/>
          <w:szCs w:val="24"/>
        </w:rPr>
      </w:pPr>
    </w:p>
    <w:p w:rsidR="00226A00" w:rsidRDefault="00226A00" w:rsidP="00226A00">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A teoria segundo a qual a propriedade horizontal seria uma comunhão de bens é afastada porque cada condômino é titular de uma unidade autônoma e, ao mesmo tempo, utiliza áreas em comum com outros condôminos. Igualmente se revela inadequada a teoria da sociedade imobiliária, visto que não se encontra, no condomínio, a </w:t>
      </w:r>
      <w:r>
        <w:rPr>
          <w:rFonts w:ascii="Times New Roman" w:hAnsi="Times New Roman" w:cs="Times New Roman"/>
          <w:i/>
          <w:sz w:val="20"/>
          <w:szCs w:val="20"/>
        </w:rPr>
        <w:t xml:space="preserve">affectiio societatis, </w:t>
      </w:r>
      <w:r>
        <w:rPr>
          <w:rFonts w:ascii="Times New Roman" w:hAnsi="Times New Roman" w:cs="Times New Roman"/>
          <w:sz w:val="20"/>
          <w:szCs w:val="20"/>
        </w:rPr>
        <w:t>que caracteriza a sociedade. Também são afastadas as teorias que invocam institutos tradicionais para explicar a sua existência, como o direito superficiário, a efiteuse e a servidões.</w:t>
      </w:r>
    </w:p>
    <w:p w:rsidR="00226A00" w:rsidRDefault="00226A00" w:rsidP="00226A00">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A teoria da personalização do patrimônio comum é uma das mais citadas. Todavia, como acentua João Batista Lopes, a pretendida personalização do patrimônio comum é, porém, insustentável, porque não existe uma pessoa jurídica titular das unidades autônomas e das partes comuns do edifício. (GONÇALVES, 2011, p. 398)</w:t>
      </w:r>
    </w:p>
    <w:p w:rsidR="0094245D" w:rsidRPr="00226A00" w:rsidRDefault="0094245D" w:rsidP="00226A00">
      <w:pPr>
        <w:spacing w:line="240" w:lineRule="auto"/>
        <w:ind w:left="2268"/>
        <w:jc w:val="both"/>
        <w:rPr>
          <w:rFonts w:ascii="Times New Roman" w:hAnsi="Times New Roman" w:cs="Times New Roman"/>
          <w:sz w:val="20"/>
          <w:szCs w:val="20"/>
        </w:rPr>
      </w:pPr>
    </w:p>
    <w:p w:rsidR="00DC47FF" w:rsidRDefault="00DC47FF" w:rsidP="0088585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O tema já foi objeto de estudo das Jornadas de Direito Civil realizadas pelo Conselho da Justiça Federal – CJF e do Centro de Estudos Jurídicos do CJF, as quais são compostas por especialistas e convidados do mais notório saber jurídico, que visam elaborar enunciado de Direito Civil, baseados sempre no Código Civil e que buscam uma melhor interpretação de seus dispositivos</w:t>
      </w:r>
      <w:r>
        <w:rPr>
          <w:rStyle w:val="Refdenotaderodap"/>
          <w:rFonts w:ascii="Times New Roman" w:hAnsi="Times New Roman" w:cs="Times New Roman"/>
          <w:sz w:val="24"/>
          <w:szCs w:val="24"/>
        </w:rPr>
        <w:footnoteReference w:id="29"/>
      </w:r>
      <w:r>
        <w:rPr>
          <w:rFonts w:ascii="Times New Roman" w:hAnsi="Times New Roman" w:cs="Times New Roman"/>
          <w:sz w:val="24"/>
          <w:szCs w:val="24"/>
        </w:rPr>
        <w:t xml:space="preserve">. </w:t>
      </w:r>
    </w:p>
    <w:p w:rsidR="00DC47FF" w:rsidRDefault="00E85280" w:rsidP="0088585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Assim, foi aprovado na I Jornada de Direito Civil o Enunciado nº </w:t>
      </w:r>
      <w:r w:rsidR="00DC47FF" w:rsidRPr="00E85280">
        <w:rPr>
          <w:rFonts w:ascii="Times New Roman" w:hAnsi="Times New Roman" w:cs="Times New Roman"/>
          <w:bCs/>
          <w:sz w:val="24"/>
          <w:szCs w:val="24"/>
        </w:rPr>
        <w:t>246</w:t>
      </w:r>
      <w:r>
        <w:rPr>
          <w:rFonts w:ascii="Times New Roman" w:hAnsi="Times New Roman" w:cs="Times New Roman"/>
          <w:bCs/>
          <w:sz w:val="24"/>
          <w:szCs w:val="24"/>
        </w:rPr>
        <w:t xml:space="preserve">, que dispõe: </w:t>
      </w:r>
      <w:r w:rsidR="00DC47FF" w:rsidRPr="00E85280">
        <w:rPr>
          <w:rFonts w:ascii="Times New Roman" w:hAnsi="Times New Roman" w:cs="Times New Roman"/>
          <w:sz w:val="24"/>
          <w:szCs w:val="24"/>
        </w:rPr>
        <w:t>Art. 1.331: Fica alterado o Enunciado n. 90, com supressão da parte final: “nas relações jurídicas inerentes às atividades de seu peculiar interesse”. Prevalece o texto: “Deve ser reconhecida personalidade jurídica ao condomínio edilício”.</w:t>
      </w:r>
    </w:p>
    <w:p w:rsidR="00422E7A" w:rsidRDefault="00226A00" w:rsidP="0094245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Por fim, </w:t>
      </w:r>
      <w:r w:rsidR="00BB719A">
        <w:rPr>
          <w:rFonts w:ascii="Times New Roman" w:hAnsi="Times New Roman" w:cs="Times New Roman"/>
          <w:sz w:val="24"/>
          <w:szCs w:val="24"/>
        </w:rPr>
        <w:t xml:space="preserve">Caio Mário da Silva Pereira </w:t>
      </w:r>
      <w:r>
        <w:rPr>
          <w:rFonts w:ascii="Times New Roman" w:hAnsi="Times New Roman" w:cs="Times New Roman"/>
          <w:sz w:val="24"/>
          <w:szCs w:val="24"/>
        </w:rPr>
        <w:t xml:space="preserve">não concorda com as </w:t>
      </w:r>
      <w:r w:rsidR="00BB719A">
        <w:rPr>
          <w:rFonts w:ascii="Times New Roman" w:hAnsi="Times New Roman" w:cs="Times New Roman"/>
          <w:sz w:val="24"/>
          <w:szCs w:val="24"/>
        </w:rPr>
        <w:t>divergência</w:t>
      </w:r>
      <w:r>
        <w:rPr>
          <w:rFonts w:ascii="Times New Roman" w:hAnsi="Times New Roman" w:cs="Times New Roman"/>
          <w:sz w:val="24"/>
          <w:szCs w:val="24"/>
        </w:rPr>
        <w:t>s</w:t>
      </w:r>
      <w:r w:rsidR="00E85280">
        <w:rPr>
          <w:rFonts w:ascii="Times New Roman" w:hAnsi="Times New Roman" w:cs="Times New Roman"/>
          <w:sz w:val="24"/>
          <w:szCs w:val="24"/>
        </w:rPr>
        <w:t xml:space="preserve"> decorrentes do tema</w:t>
      </w:r>
      <w:r>
        <w:rPr>
          <w:rFonts w:ascii="Times New Roman" w:hAnsi="Times New Roman" w:cs="Times New Roman"/>
          <w:sz w:val="24"/>
          <w:szCs w:val="24"/>
        </w:rPr>
        <w:t>, afirmando que</w:t>
      </w:r>
      <w:r w:rsidR="00BB719A">
        <w:rPr>
          <w:rFonts w:ascii="Times New Roman" w:hAnsi="Times New Roman" w:cs="Times New Roman"/>
          <w:sz w:val="24"/>
          <w:szCs w:val="24"/>
        </w:rPr>
        <w:t xml:space="preserve"> não procede, vez que trata o condomínio edilício de fenômeno econômico e jurídico moderno.</w:t>
      </w:r>
    </w:p>
    <w:p w:rsidR="0094245D" w:rsidRDefault="0094245D" w:rsidP="0094245D">
      <w:pPr>
        <w:spacing w:line="240" w:lineRule="auto"/>
        <w:ind w:firstLine="851"/>
        <w:jc w:val="both"/>
        <w:rPr>
          <w:rFonts w:ascii="Times New Roman" w:hAnsi="Times New Roman" w:cs="Times New Roman"/>
          <w:sz w:val="24"/>
          <w:szCs w:val="24"/>
        </w:rPr>
      </w:pPr>
    </w:p>
    <w:p w:rsidR="00BB719A" w:rsidRDefault="00BB719A" w:rsidP="00BB719A">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Não se compraz com os institutos invocados para sua explicação, nem deles necessita. Especialmente deve ser lembrado que, se fosse uma pessoa, o condomínio, como tal, é que seria o sujeito de todas as relações jurídicas. Não é isso que se verifica. Os titulares dos direitos, quer sobre as unidades autônomas, quer sobre as partes e coisas comuns, são os condôminos e não uma inexistente ou fictícia pessoa jurídica. O condomínio dito edilício explica-se por si mesmo. É uma modalidade nova de condomínio, resultante da conjugação orgânica e indissolúvel da propriedade exclusiva e da co-propriedade. (PEREIRA, 2011, p. 161)</w:t>
      </w:r>
    </w:p>
    <w:p w:rsidR="0094245D" w:rsidRPr="00BB719A" w:rsidRDefault="0094245D" w:rsidP="00BB719A">
      <w:pPr>
        <w:spacing w:line="240" w:lineRule="auto"/>
        <w:ind w:left="2268"/>
        <w:jc w:val="both"/>
        <w:rPr>
          <w:rFonts w:ascii="Times New Roman" w:hAnsi="Times New Roman" w:cs="Times New Roman"/>
          <w:sz w:val="20"/>
          <w:szCs w:val="20"/>
        </w:rPr>
      </w:pPr>
    </w:p>
    <w:p w:rsidR="00226A00" w:rsidRDefault="003031DF" w:rsidP="00EB52A4">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Ao deixar de dar personalidade jurídica ao condomínio, o Código Civil de 2002 trouxe aos condôminos transtornos graves na seara jurídica</w:t>
      </w:r>
      <w:r w:rsidR="00DC47FF">
        <w:rPr>
          <w:rFonts w:ascii="Times New Roman" w:hAnsi="Times New Roman" w:cs="Times New Roman"/>
          <w:sz w:val="24"/>
          <w:szCs w:val="24"/>
        </w:rPr>
        <w:t>.</w:t>
      </w:r>
      <w:r>
        <w:rPr>
          <w:rFonts w:ascii="Times New Roman" w:hAnsi="Times New Roman" w:cs="Times New Roman"/>
          <w:sz w:val="24"/>
          <w:szCs w:val="24"/>
        </w:rPr>
        <w:t xml:space="preserve"> </w:t>
      </w:r>
      <w:r w:rsidR="00DC47FF">
        <w:rPr>
          <w:rFonts w:ascii="Times New Roman" w:hAnsi="Times New Roman" w:cs="Times New Roman"/>
          <w:sz w:val="24"/>
          <w:szCs w:val="24"/>
        </w:rPr>
        <w:t>A</w:t>
      </w:r>
      <w:r>
        <w:rPr>
          <w:rFonts w:ascii="Times New Roman" w:hAnsi="Times New Roman" w:cs="Times New Roman"/>
          <w:sz w:val="24"/>
          <w:szCs w:val="24"/>
        </w:rPr>
        <w:t xml:space="preserve"> título de exemplo os doutrinadores citam </w:t>
      </w:r>
      <w:r w:rsidR="00DC47FF">
        <w:rPr>
          <w:rFonts w:ascii="Times New Roman" w:hAnsi="Times New Roman" w:cs="Times New Roman"/>
          <w:sz w:val="24"/>
          <w:szCs w:val="24"/>
        </w:rPr>
        <w:t>a dificuldade dos condomínios em adquirirem um imóvel, onde, pelo fato de não possuir personalidade jurídica, não pode ser adquirido em nome do condomínio, mas apenas através e em nome de todos os condôminos, o que torna a tarefa de extrema dificuldade, principalmente ao considerar a quantidade de condôminos, bem como a possibilidade de dentre eles existirem menor/incapaz.</w:t>
      </w:r>
    </w:p>
    <w:p w:rsidR="00E85280" w:rsidRDefault="00E85280" w:rsidP="00EB52A4">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Apesar de majoritária a posição de que o condomínio edilício não possui personalidade jurídica, tem situações em que tal possibilidade é admitida</w:t>
      </w:r>
      <w:r w:rsidR="005F3AA2">
        <w:rPr>
          <w:rFonts w:ascii="Times New Roman" w:hAnsi="Times New Roman" w:cs="Times New Roman"/>
          <w:sz w:val="24"/>
          <w:szCs w:val="24"/>
        </w:rPr>
        <w:t xml:space="preserve"> </w:t>
      </w:r>
      <w:r w:rsidR="00497220">
        <w:rPr>
          <w:rFonts w:ascii="Times New Roman" w:hAnsi="Times New Roman" w:cs="Times New Roman"/>
          <w:sz w:val="24"/>
          <w:szCs w:val="24"/>
        </w:rPr>
        <w:t>pelos Tribunais</w:t>
      </w:r>
      <w:r w:rsidR="005F3AA2">
        <w:rPr>
          <w:rFonts w:ascii="Times New Roman" w:hAnsi="Times New Roman" w:cs="Times New Roman"/>
          <w:sz w:val="24"/>
          <w:szCs w:val="24"/>
        </w:rPr>
        <w:t>.</w:t>
      </w:r>
    </w:p>
    <w:p w:rsidR="00E85280" w:rsidRDefault="00E85280" w:rsidP="00EB52A4">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egrégio Tribunal de Justiça do Estado de Minas Gerais ao analisar a possibilidade de deferimento dos benefícios da assistência judiciária ao condomínio, chegou </w:t>
      </w:r>
      <w:r w:rsidRPr="00E85280">
        <w:rPr>
          <w:rFonts w:ascii="Times New Roman" w:hAnsi="Times New Roman" w:cs="Times New Roman"/>
          <w:sz w:val="24"/>
          <w:szCs w:val="24"/>
        </w:rPr>
        <w:t xml:space="preserve">para efeito de </w:t>
      </w:r>
      <w:r w:rsidRPr="00E85280">
        <w:rPr>
          <w:rFonts w:ascii="Times New Roman" w:hAnsi="Times New Roman" w:cs="Times New Roman"/>
          <w:sz w:val="24"/>
          <w:szCs w:val="24"/>
        </w:rPr>
        <w:lastRenderedPageBreak/>
        <w:t xml:space="preserve">concessão do benefício da assistência judiciária, </w:t>
      </w:r>
      <w:r>
        <w:rPr>
          <w:rFonts w:ascii="Times New Roman" w:hAnsi="Times New Roman" w:cs="Times New Roman"/>
          <w:sz w:val="24"/>
          <w:szCs w:val="24"/>
        </w:rPr>
        <w:t>a equipará-lo</w:t>
      </w:r>
      <w:r w:rsidRPr="00E85280">
        <w:rPr>
          <w:rFonts w:ascii="Times New Roman" w:hAnsi="Times New Roman" w:cs="Times New Roman"/>
          <w:sz w:val="24"/>
          <w:szCs w:val="24"/>
        </w:rPr>
        <w:t xml:space="preserve"> à pessoa jurídica sem fins lucrativos, sendo-lhe exigido a prova de sua hipossuficiência econômica</w:t>
      </w:r>
      <w:r>
        <w:rPr>
          <w:rStyle w:val="Refdenotaderodap"/>
          <w:rFonts w:ascii="Times New Roman" w:hAnsi="Times New Roman" w:cs="Times New Roman"/>
          <w:sz w:val="24"/>
          <w:szCs w:val="24"/>
        </w:rPr>
        <w:footnoteReference w:id="30"/>
      </w:r>
      <w:r w:rsidRPr="00E85280">
        <w:rPr>
          <w:rFonts w:ascii="Times New Roman" w:hAnsi="Times New Roman" w:cs="Times New Roman"/>
          <w:sz w:val="24"/>
          <w:szCs w:val="24"/>
        </w:rPr>
        <w:t>.</w:t>
      </w:r>
      <w:r w:rsidR="00033E88">
        <w:rPr>
          <w:rFonts w:ascii="Times New Roman" w:hAnsi="Times New Roman" w:cs="Times New Roman"/>
          <w:sz w:val="24"/>
          <w:szCs w:val="24"/>
        </w:rPr>
        <w:t xml:space="preserve"> Tal entendimento também </w:t>
      </w:r>
      <w:r w:rsidR="005F3AA2">
        <w:rPr>
          <w:rFonts w:ascii="Times New Roman" w:hAnsi="Times New Roman" w:cs="Times New Roman"/>
          <w:sz w:val="24"/>
          <w:szCs w:val="24"/>
        </w:rPr>
        <w:t>se encontra</w:t>
      </w:r>
      <w:r w:rsidR="00033E88">
        <w:rPr>
          <w:rFonts w:ascii="Times New Roman" w:hAnsi="Times New Roman" w:cs="Times New Roman"/>
          <w:sz w:val="24"/>
          <w:szCs w:val="24"/>
        </w:rPr>
        <w:t xml:space="preserve"> em consonância com os julgados do egrégio Superior Tribunal de Justiça.</w:t>
      </w:r>
    </w:p>
    <w:p w:rsidR="00DC47FF" w:rsidRDefault="00033E88" w:rsidP="005F3AA2">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Ademais, o Superior Tribunal de Justiça já consolidou entendimento no sentido de que </w:t>
      </w:r>
      <w:r w:rsidR="005F3AA2">
        <w:rPr>
          <w:rFonts w:ascii="Times New Roman" w:hAnsi="Times New Roman" w:cs="Times New Roman"/>
          <w:sz w:val="24"/>
          <w:szCs w:val="24"/>
        </w:rPr>
        <w:t>à</w:t>
      </w:r>
      <w:r w:rsidR="005F3AA2" w:rsidRPr="005F3AA2">
        <w:rPr>
          <w:rFonts w:ascii="Times New Roman" w:hAnsi="Times New Roman" w:cs="Times New Roman"/>
          <w:sz w:val="24"/>
          <w:szCs w:val="24"/>
        </w:rPr>
        <w:t xml:space="preserve">  luz  do  art.  15,  parág</w:t>
      </w:r>
      <w:r w:rsidR="005F3AA2">
        <w:rPr>
          <w:rFonts w:ascii="Times New Roman" w:hAnsi="Times New Roman" w:cs="Times New Roman"/>
          <w:sz w:val="24"/>
          <w:szCs w:val="24"/>
        </w:rPr>
        <w:t>rafo</w:t>
      </w:r>
      <w:r w:rsidR="005F3AA2" w:rsidRPr="005F3AA2">
        <w:rPr>
          <w:rFonts w:ascii="Times New Roman" w:hAnsi="Times New Roman" w:cs="Times New Roman"/>
          <w:sz w:val="24"/>
          <w:szCs w:val="24"/>
        </w:rPr>
        <w:t xml:space="preserve">  único,  da  Lei  nº  8.212/01,  o condomínio  é  equiparável  à  pessoa  jurídica,  para  fins  tributários, ostentando  a  categoria  de  entidade  de  qualquer  natureza  ou finalidade</w:t>
      </w:r>
      <w:r w:rsidR="005F3AA2">
        <w:rPr>
          <w:rStyle w:val="Refdenotaderodap"/>
          <w:rFonts w:ascii="Times New Roman" w:hAnsi="Times New Roman" w:cs="Times New Roman"/>
          <w:sz w:val="24"/>
          <w:szCs w:val="24"/>
        </w:rPr>
        <w:footnoteReference w:id="31"/>
      </w:r>
      <w:r w:rsidR="005F3AA2">
        <w:rPr>
          <w:rFonts w:ascii="Times New Roman" w:hAnsi="Times New Roman" w:cs="Times New Roman"/>
          <w:sz w:val="24"/>
          <w:szCs w:val="24"/>
        </w:rPr>
        <w:t>.</w:t>
      </w:r>
    </w:p>
    <w:p w:rsidR="005F3AA2" w:rsidRDefault="005F3AA2" w:rsidP="002B05C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Cita ainda tal julgado</w:t>
      </w:r>
      <w:r w:rsidR="002B05C9">
        <w:rPr>
          <w:rFonts w:ascii="Times New Roman" w:hAnsi="Times New Roman" w:cs="Times New Roman"/>
          <w:sz w:val="24"/>
          <w:szCs w:val="24"/>
        </w:rPr>
        <w:t>,</w:t>
      </w:r>
      <w:r>
        <w:rPr>
          <w:rFonts w:ascii="Times New Roman" w:hAnsi="Times New Roman" w:cs="Times New Roman"/>
          <w:sz w:val="24"/>
          <w:szCs w:val="24"/>
        </w:rPr>
        <w:t xml:space="preserve"> </w:t>
      </w:r>
      <w:r w:rsidRPr="005F3AA2">
        <w:rPr>
          <w:rFonts w:ascii="Times New Roman" w:hAnsi="Times New Roman" w:cs="Times New Roman"/>
          <w:sz w:val="24"/>
          <w:szCs w:val="24"/>
        </w:rPr>
        <w:t>o</w:t>
      </w:r>
      <w:r>
        <w:rPr>
          <w:rFonts w:ascii="Times New Roman" w:hAnsi="Times New Roman" w:cs="Times New Roman"/>
          <w:sz w:val="24"/>
          <w:szCs w:val="24"/>
        </w:rPr>
        <w:t xml:space="preserve"> disposto no</w:t>
      </w:r>
      <w:r w:rsidRPr="005F3AA2">
        <w:rPr>
          <w:rFonts w:ascii="Times New Roman" w:hAnsi="Times New Roman" w:cs="Times New Roman"/>
          <w:sz w:val="24"/>
          <w:szCs w:val="24"/>
        </w:rPr>
        <w:t xml:space="preserve">  art. 11 da Instrução Normativa RFB 568/2005, </w:t>
      </w:r>
      <w:r>
        <w:rPr>
          <w:rFonts w:ascii="Times New Roman" w:hAnsi="Times New Roman" w:cs="Times New Roman"/>
          <w:sz w:val="24"/>
          <w:szCs w:val="24"/>
        </w:rPr>
        <w:t xml:space="preserve">onde </w:t>
      </w:r>
      <w:r w:rsidRPr="005F3AA2">
        <w:rPr>
          <w:rFonts w:ascii="Times New Roman" w:hAnsi="Times New Roman" w:cs="Times New Roman"/>
          <w:sz w:val="24"/>
          <w:szCs w:val="24"/>
        </w:rPr>
        <w:t>os condomínios estão obrigados a inscrever-se no CNPJ. A seu turno, a Instrução Normativa RFB 971, de 13 de novembro de  2009,  prevê,  em seu  art.  3º,  §  4º, III,  que  os  condomínios são considerados  empresas - para fins  de  cumprimento  de  obrigações previdenciárias</w:t>
      </w:r>
      <w:r>
        <w:rPr>
          <w:rFonts w:ascii="Times New Roman" w:hAnsi="Times New Roman" w:cs="Times New Roman"/>
          <w:sz w:val="24"/>
          <w:szCs w:val="24"/>
        </w:rPr>
        <w:t>.</w:t>
      </w:r>
    </w:p>
    <w:p w:rsidR="005F3AA2" w:rsidRDefault="005F3AA2" w:rsidP="005F3AA2">
      <w:pPr>
        <w:spacing w:line="360" w:lineRule="auto"/>
        <w:ind w:firstLine="851"/>
        <w:jc w:val="both"/>
        <w:rPr>
          <w:rFonts w:ascii="Times New Roman" w:hAnsi="Times New Roman" w:cs="Times New Roman"/>
          <w:sz w:val="24"/>
          <w:szCs w:val="24"/>
        </w:rPr>
      </w:pPr>
    </w:p>
    <w:p w:rsidR="00226A00" w:rsidRDefault="005F3AA2" w:rsidP="005F3AA2">
      <w:pPr>
        <w:spacing w:line="360" w:lineRule="auto"/>
        <w:jc w:val="both"/>
        <w:rPr>
          <w:rFonts w:ascii="Times New Roman" w:hAnsi="Times New Roman" w:cs="Times New Roman"/>
          <w:b/>
          <w:sz w:val="24"/>
          <w:szCs w:val="24"/>
        </w:rPr>
      </w:pPr>
      <w:r w:rsidRPr="005F3AA2">
        <w:rPr>
          <w:rFonts w:ascii="Times New Roman" w:hAnsi="Times New Roman" w:cs="Times New Roman"/>
          <w:b/>
          <w:sz w:val="24"/>
          <w:szCs w:val="24"/>
        </w:rPr>
        <w:t>5 CONCLUSÃO</w:t>
      </w:r>
    </w:p>
    <w:p w:rsidR="0094245D" w:rsidRPr="005F3AA2" w:rsidRDefault="0094245D" w:rsidP="005F3AA2">
      <w:pPr>
        <w:spacing w:line="360" w:lineRule="auto"/>
        <w:jc w:val="both"/>
        <w:rPr>
          <w:rFonts w:ascii="Times New Roman" w:hAnsi="Times New Roman" w:cs="Times New Roman"/>
          <w:b/>
          <w:sz w:val="24"/>
          <w:szCs w:val="24"/>
        </w:rPr>
      </w:pPr>
    </w:p>
    <w:p w:rsidR="005F3AA2" w:rsidRDefault="002B05C9" w:rsidP="005F3AA2">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 condomínio edilício regulado expressamente pelo Código Civil de 2002 traz inovações anteriormente não previstas pelo Código Civil de 1916, até porqu</w:t>
      </w:r>
      <w:r w:rsidR="00170FC5">
        <w:rPr>
          <w:rFonts w:ascii="Times New Roman" w:hAnsi="Times New Roman" w:cs="Times New Roman"/>
          <w:sz w:val="24"/>
          <w:szCs w:val="24"/>
        </w:rPr>
        <w:t>e este regulava a propriedade vertical, tratando-se a propriedade horizontal de evento com acelerado crescimento nos centros urbanos após a Segunda Guerra Mundial.</w:t>
      </w:r>
    </w:p>
    <w:p w:rsidR="00812968" w:rsidRDefault="00812968" w:rsidP="005F3AA2">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 formação do condomínio edilício traduz em por partes comuns (fundações, muros de arrimo, guarita, pilastras, telhado, teto, escadas, elevadores, etc.) e, partes individuais ou privadas ou exclusiva, caracterizadas pelo apartamento em si, abrigo para veículo e outras</w:t>
      </w:r>
      <w:r w:rsidR="008E3617">
        <w:rPr>
          <w:rStyle w:val="Refdenotaderodap"/>
          <w:rFonts w:ascii="Times New Roman" w:hAnsi="Times New Roman" w:cs="Times New Roman"/>
          <w:sz w:val="24"/>
          <w:szCs w:val="24"/>
        </w:rPr>
        <w:footnoteReference w:id="32"/>
      </w:r>
      <w:r>
        <w:rPr>
          <w:rFonts w:ascii="Times New Roman" w:hAnsi="Times New Roman" w:cs="Times New Roman"/>
          <w:sz w:val="24"/>
          <w:szCs w:val="24"/>
        </w:rPr>
        <w:t>.</w:t>
      </w:r>
    </w:p>
    <w:p w:rsidR="00170FC5" w:rsidRDefault="00170FC5" w:rsidP="005F3AA2">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Apesar de importante instituto, o Código Civil de 2002 traz algumas falhas, sendo algumas delas critica</w:t>
      </w:r>
      <w:r w:rsidR="00812968">
        <w:rPr>
          <w:rFonts w:ascii="Times New Roman" w:hAnsi="Times New Roman" w:cs="Times New Roman"/>
          <w:sz w:val="24"/>
          <w:szCs w:val="24"/>
        </w:rPr>
        <w:t>das</w:t>
      </w:r>
      <w:r>
        <w:rPr>
          <w:rFonts w:ascii="Times New Roman" w:hAnsi="Times New Roman" w:cs="Times New Roman"/>
          <w:sz w:val="24"/>
          <w:szCs w:val="24"/>
        </w:rPr>
        <w:t xml:space="preserve"> até mesmo por Caio Mário da Silva Pereira, renomado doutrinador encarregado de elaborar o Projeto a respeito do condomínio e incorporações.</w:t>
      </w:r>
    </w:p>
    <w:p w:rsidR="00170FC5" w:rsidRDefault="00497220" w:rsidP="005F3AA2">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Tal doutrinador não reconhece</w:t>
      </w:r>
      <w:r w:rsidR="00170FC5">
        <w:rPr>
          <w:rFonts w:ascii="Times New Roman" w:hAnsi="Times New Roman" w:cs="Times New Roman"/>
          <w:sz w:val="24"/>
          <w:szCs w:val="24"/>
        </w:rPr>
        <w:t xml:space="preserve"> divergência quanto á natureza jurídica do condomínio edilício, tem</w:t>
      </w:r>
      <w:r w:rsidR="008E3617">
        <w:rPr>
          <w:rFonts w:ascii="Times New Roman" w:hAnsi="Times New Roman" w:cs="Times New Roman"/>
          <w:sz w:val="24"/>
          <w:szCs w:val="24"/>
        </w:rPr>
        <w:t>a</w:t>
      </w:r>
      <w:r w:rsidR="00170FC5">
        <w:rPr>
          <w:rFonts w:ascii="Times New Roman" w:hAnsi="Times New Roman" w:cs="Times New Roman"/>
          <w:sz w:val="24"/>
          <w:szCs w:val="24"/>
        </w:rPr>
        <w:t xml:space="preserve"> principal do presente artigo, no entanto, não deixa de citar as principais teorias sobre o assunto</w:t>
      </w:r>
      <w:r w:rsidR="00812968">
        <w:rPr>
          <w:rFonts w:ascii="Times New Roman" w:hAnsi="Times New Roman" w:cs="Times New Roman"/>
          <w:sz w:val="24"/>
          <w:szCs w:val="24"/>
        </w:rPr>
        <w:t xml:space="preserve">, que buscam explicar </w:t>
      </w:r>
      <w:r w:rsidR="008E3617">
        <w:rPr>
          <w:rFonts w:ascii="Times New Roman" w:hAnsi="Times New Roman" w:cs="Times New Roman"/>
          <w:sz w:val="24"/>
          <w:szCs w:val="24"/>
        </w:rPr>
        <w:t>a conjunção orgânica e indissolúvel da propriedade exclusiva e da co-propriedade</w:t>
      </w:r>
      <w:r w:rsidR="008E3617">
        <w:rPr>
          <w:rStyle w:val="Refdenotaderodap"/>
          <w:rFonts w:ascii="Times New Roman" w:hAnsi="Times New Roman" w:cs="Times New Roman"/>
          <w:sz w:val="24"/>
          <w:szCs w:val="24"/>
        </w:rPr>
        <w:footnoteReference w:id="33"/>
      </w:r>
      <w:r w:rsidR="008E3617">
        <w:rPr>
          <w:rFonts w:ascii="Times New Roman" w:hAnsi="Times New Roman" w:cs="Times New Roman"/>
          <w:sz w:val="24"/>
          <w:szCs w:val="24"/>
        </w:rPr>
        <w:t>.</w:t>
      </w:r>
    </w:p>
    <w:p w:rsidR="00170FC5" w:rsidRDefault="00170FC5" w:rsidP="005F3AA2">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Reconhecido como uma nova modalidade de c</w:t>
      </w:r>
      <w:r w:rsidR="008E3617">
        <w:rPr>
          <w:rFonts w:ascii="Times New Roman" w:hAnsi="Times New Roman" w:cs="Times New Roman"/>
          <w:sz w:val="24"/>
          <w:szCs w:val="24"/>
        </w:rPr>
        <w:t>ondomínio, o condomínio edilício</w:t>
      </w:r>
      <w:r w:rsidR="00812968">
        <w:rPr>
          <w:rFonts w:ascii="Times New Roman" w:hAnsi="Times New Roman" w:cs="Times New Roman"/>
          <w:sz w:val="24"/>
          <w:szCs w:val="24"/>
        </w:rPr>
        <w:t xml:space="preserve"> constitui uma comunhão </w:t>
      </w:r>
      <w:r w:rsidR="00812968">
        <w:rPr>
          <w:rFonts w:ascii="Times New Roman" w:hAnsi="Times New Roman" w:cs="Times New Roman"/>
          <w:i/>
          <w:sz w:val="24"/>
          <w:szCs w:val="24"/>
        </w:rPr>
        <w:t>pro diviso</w:t>
      </w:r>
      <w:r w:rsidR="00812968">
        <w:rPr>
          <w:rFonts w:ascii="Times New Roman" w:hAnsi="Times New Roman" w:cs="Times New Roman"/>
          <w:sz w:val="24"/>
          <w:szCs w:val="24"/>
        </w:rPr>
        <w:t>, onde sua natureza jurídica orbita na coexistência da propriedade i</w:t>
      </w:r>
      <w:r w:rsidR="008E3617">
        <w:rPr>
          <w:rFonts w:ascii="Times New Roman" w:hAnsi="Times New Roman" w:cs="Times New Roman"/>
          <w:sz w:val="24"/>
          <w:szCs w:val="24"/>
        </w:rPr>
        <w:t>ndividual com a coletiva.</w:t>
      </w:r>
    </w:p>
    <w:p w:rsidR="008E3617" w:rsidRDefault="008E3617" w:rsidP="008E361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 personalidade jurídica do condomínio não foi reconhecida pelo Código Civil de 2002, resultando em transtornos graves para a administração dos condomínios. Mas, os Tribunais já tem entendimento sedimentos em casos, especiais, que o condomínio edilício se reveste de personalidade jurídica, principalmente quando nos referimentos a tributos.</w:t>
      </w:r>
    </w:p>
    <w:p w:rsidR="008E3617" w:rsidRPr="00812968" w:rsidRDefault="008E3617" w:rsidP="008E361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Assim, o condomínio edilício passa a ter personalidade jurídica apenas em caso já sedimentos pelos Tribunais, como é o caso da assistência judiciária ou fins fiscais, o que nos levar a concluir que com a evolução da sociedade e, considerando </w:t>
      </w:r>
      <w:r w:rsidR="00497220">
        <w:rPr>
          <w:rFonts w:ascii="Times New Roman" w:hAnsi="Times New Roman" w:cs="Times New Roman"/>
          <w:sz w:val="24"/>
          <w:szCs w:val="24"/>
        </w:rPr>
        <w:t>a</w:t>
      </w:r>
      <w:r>
        <w:rPr>
          <w:rFonts w:ascii="Times New Roman" w:hAnsi="Times New Roman" w:cs="Times New Roman"/>
          <w:sz w:val="24"/>
          <w:szCs w:val="24"/>
        </w:rPr>
        <w:t xml:space="preserve"> mutabilidade </w:t>
      </w:r>
      <w:r w:rsidR="00497220">
        <w:rPr>
          <w:rFonts w:ascii="Times New Roman" w:hAnsi="Times New Roman" w:cs="Times New Roman"/>
          <w:sz w:val="24"/>
          <w:szCs w:val="24"/>
        </w:rPr>
        <w:t>d</w:t>
      </w:r>
      <w:r>
        <w:rPr>
          <w:rFonts w:ascii="Times New Roman" w:hAnsi="Times New Roman" w:cs="Times New Roman"/>
          <w:sz w:val="24"/>
          <w:szCs w:val="24"/>
        </w:rPr>
        <w:t xml:space="preserve">o direito, o condomínio edilício caminha para definição de personalidade jurídica a passos largos, uma vez que </w:t>
      </w:r>
      <w:r w:rsidR="00497220">
        <w:rPr>
          <w:rFonts w:ascii="Times New Roman" w:hAnsi="Times New Roman" w:cs="Times New Roman"/>
          <w:sz w:val="24"/>
          <w:szCs w:val="24"/>
        </w:rPr>
        <w:t>trata tal instituto de natureza especial, ainda a ser adaptado diante das dificuldades encontradas pelos seus administrados no próprio ordenamento jurídico, o tende a aprimorar as novidades impostas pela realidade social.</w:t>
      </w:r>
    </w:p>
    <w:p w:rsidR="00170FC5" w:rsidRDefault="00170FC5" w:rsidP="005F3AA2">
      <w:pPr>
        <w:spacing w:line="360" w:lineRule="auto"/>
        <w:ind w:firstLine="851"/>
        <w:jc w:val="both"/>
        <w:rPr>
          <w:rFonts w:ascii="Times New Roman" w:hAnsi="Times New Roman" w:cs="Times New Roman"/>
          <w:sz w:val="24"/>
          <w:szCs w:val="24"/>
        </w:rPr>
      </w:pPr>
    </w:p>
    <w:p w:rsidR="0094245D" w:rsidRDefault="0094245D" w:rsidP="00FC2523">
      <w:pPr>
        <w:spacing w:line="360" w:lineRule="auto"/>
        <w:jc w:val="both"/>
        <w:rPr>
          <w:rFonts w:ascii="Times New Roman" w:hAnsi="Times New Roman" w:cs="Times New Roman"/>
          <w:sz w:val="24"/>
          <w:szCs w:val="24"/>
        </w:rPr>
      </w:pPr>
    </w:p>
    <w:p w:rsidR="0094245D" w:rsidRDefault="0094245D" w:rsidP="00FC2523">
      <w:pPr>
        <w:spacing w:line="360" w:lineRule="auto"/>
        <w:jc w:val="both"/>
        <w:rPr>
          <w:rFonts w:ascii="Times New Roman" w:hAnsi="Times New Roman" w:cs="Times New Roman"/>
          <w:sz w:val="24"/>
          <w:szCs w:val="24"/>
        </w:rPr>
      </w:pPr>
    </w:p>
    <w:p w:rsidR="0094245D" w:rsidRDefault="0094245D" w:rsidP="00FC2523">
      <w:pPr>
        <w:spacing w:line="360" w:lineRule="auto"/>
        <w:jc w:val="both"/>
        <w:rPr>
          <w:rFonts w:ascii="Times New Roman" w:hAnsi="Times New Roman" w:cs="Times New Roman"/>
          <w:sz w:val="24"/>
          <w:szCs w:val="24"/>
        </w:rPr>
      </w:pPr>
    </w:p>
    <w:p w:rsidR="0094245D" w:rsidRDefault="0094245D" w:rsidP="00FC2523">
      <w:pPr>
        <w:spacing w:line="360" w:lineRule="auto"/>
        <w:jc w:val="both"/>
        <w:rPr>
          <w:rFonts w:ascii="Times New Roman" w:hAnsi="Times New Roman" w:cs="Times New Roman"/>
          <w:sz w:val="24"/>
          <w:szCs w:val="24"/>
        </w:rPr>
      </w:pPr>
    </w:p>
    <w:p w:rsidR="0077406C" w:rsidRDefault="0077406C" w:rsidP="00FC2523">
      <w:pPr>
        <w:spacing w:line="360" w:lineRule="auto"/>
        <w:jc w:val="both"/>
        <w:rPr>
          <w:rFonts w:ascii="Times New Roman" w:hAnsi="Times New Roman" w:cs="Times New Roman"/>
          <w:sz w:val="24"/>
          <w:szCs w:val="24"/>
        </w:rPr>
      </w:pPr>
    </w:p>
    <w:p w:rsidR="0077406C" w:rsidRDefault="0077406C" w:rsidP="00FC2523">
      <w:pPr>
        <w:spacing w:line="360" w:lineRule="auto"/>
        <w:jc w:val="both"/>
        <w:rPr>
          <w:rFonts w:ascii="Times New Roman" w:hAnsi="Times New Roman" w:cs="Times New Roman"/>
          <w:sz w:val="24"/>
          <w:szCs w:val="24"/>
        </w:rPr>
      </w:pPr>
    </w:p>
    <w:p w:rsidR="0077406C" w:rsidRDefault="0077406C" w:rsidP="00FC2523">
      <w:pPr>
        <w:spacing w:line="360" w:lineRule="auto"/>
        <w:jc w:val="both"/>
        <w:rPr>
          <w:rFonts w:ascii="Times New Roman" w:hAnsi="Times New Roman" w:cs="Times New Roman"/>
          <w:sz w:val="24"/>
          <w:szCs w:val="24"/>
        </w:rPr>
      </w:pPr>
    </w:p>
    <w:p w:rsidR="0077406C" w:rsidRDefault="0077406C" w:rsidP="00FC2523">
      <w:pPr>
        <w:spacing w:line="360" w:lineRule="auto"/>
        <w:jc w:val="both"/>
        <w:rPr>
          <w:rFonts w:ascii="Times New Roman" w:hAnsi="Times New Roman" w:cs="Times New Roman"/>
          <w:sz w:val="24"/>
          <w:szCs w:val="24"/>
        </w:rPr>
      </w:pPr>
    </w:p>
    <w:p w:rsidR="0077406C" w:rsidRDefault="0077406C" w:rsidP="00FC2523">
      <w:pPr>
        <w:spacing w:line="360" w:lineRule="auto"/>
        <w:jc w:val="both"/>
        <w:rPr>
          <w:rFonts w:ascii="Times New Roman" w:hAnsi="Times New Roman" w:cs="Times New Roman"/>
          <w:sz w:val="24"/>
          <w:szCs w:val="24"/>
        </w:rPr>
      </w:pPr>
    </w:p>
    <w:p w:rsidR="0094245D" w:rsidRDefault="0094245D" w:rsidP="00FC2523">
      <w:pPr>
        <w:spacing w:line="360" w:lineRule="auto"/>
        <w:jc w:val="both"/>
        <w:rPr>
          <w:rFonts w:ascii="Times New Roman" w:hAnsi="Times New Roman" w:cs="Times New Roman"/>
          <w:sz w:val="24"/>
          <w:szCs w:val="24"/>
        </w:rPr>
      </w:pPr>
    </w:p>
    <w:p w:rsidR="00FC2523" w:rsidRPr="0094245D" w:rsidRDefault="00FC2523" w:rsidP="00FC2523">
      <w:pPr>
        <w:spacing w:line="360" w:lineRule="auto"/>
        <w:jc w:val="both"/>
        <w:rPr>
          <w:rFonts w:ascii="Times New Roman" w:hAnsi="Times New Roman" w:cs="Times New Roman"/>
          <w:b/>
          <w:sz w:val="24"/>
          <w:szCs w:val="24"/>
        </w:rPr>
      </w:pPr>
      <w:r w:rsidRPr="0094245D">
        <w:rPr>
          <w:rFonts w:ascii="Times New Roman" w:hAnsi="Times New Roman" w:cs="Times New Roman"/>
          <w:b/>
          <w:sz w:val="24"/>
          <w:szCs w:val="24"/>
        </w:rPr>
        <w:t xml:space="preserve">REFERÊNCIAS BIBLIOGRAFICAS </w:t>
      </w:r>
    </w:p>
    <w:p w:rsidR="00FC2523" w:rsidRPr="001A5B23" w:rsidRDefault="0094245D" w:rsidP="009E2972">
      <w:pPr>
        <w:spacing w:line="240" w:lineRule="auto"/>
        <w:jc w:val="both"/>
        <w:rPr>
          <w:rFonts w:ascii="Times New Roman" w:hAnsi="Times New Roman" w:cs="Times New Roman"/>
          <w:sz w:val="24"/>
          <w:szCs w:val="24"/>
        </w:rPr>
      </w:pPr>
      <w:r w:rsidRPr="001A5B23">
        <w:rPr>
          <w:rFonts w:ascii="Times New Roman" w:hAnsi="Times New Roman" w:cs="Times New Roman"/>
          <w:sz w:val="24"/>
          <w:szCs w:val="24"/>
        </w:rPr>
        <w:t xml:space="preserve">BRASIL. </w:t>
      </w:r>
      <w:r w:rsidRPr="001A5B23">
        <w:rPr>
          <w:rFonts w:ascii="Times New Roman" w:hAnsi="Times New Roman" w:cs="Times New Roman"/>
          <w:b/>
          <w:sz w:val="24"/>
          <w:szCs w:val="24"/>
        </w:rPr>
        <w:t>Código Civil brasileiro</w:t>
      </w:r>
      <w:r w:rsidRPr="001A5B23">
        <w:rPr>
          <w:rFonts w:ascii="Times New Roman" w:hAnsi="Times New Roman" w:cs="Times New Roman"/>
          <w:sz w:val="24"/>
          <w:szCs w:val="24"/>
        </w:rPr>
        <w:t xml:space="preserve">, de </w:t>
      </w:r>
      <w:r w:rsidR="005840C5" w:rsidRPr="001A5B23">
        <w:rPr>
          <w:rFonts w:ascii="Times New Roman" w:hAnsi="Times New Roman" w:cs="Times New Roman"/>
          <w:sz w:val="24"/>
          <w:szCs w:val="24"/>
        </w:rPr>
        <w:t>10 de janeiro de 2002. Disponível em &lt;http://www.planalto.gov.br/ccivil_03/leis/2002/L10406.htm&gt;. Data de acesso: 08 maio 2012.</w:t>
      </w:r>
    </w:p>
    <w:p w:rsidR="005840C5" w:rsidRPr="001A5B23" w:rsidRDefault="00126679" w:rsidP="009E2972">
      <w:pPr>
        <w:spacing w:line="240" w:lineRule="auto"/>
        <w:jc w:val="both"/>
        <w:rPr>
          <w:rFonts w:ascii="Times New Roman" w:hAnsi="Times New Roman" w:cs="Times New Roman"/>
          <w:sz w:val="24"/>
          <w:szCs w:val="24"/>
        </w:rPr>
      </w:pPr>
      <w:r w:rsidRPr="001A5B23">
        <w:rPr>
          <w:rFonts w:ascii="Times New Roman" w:hAnsi="Times New Roman" w:cs="Times New Roman"/>
          <w:sz w:val="24"/>
          <w:szCs w:val="24"/>
        </w:rPr>
        <w:t>PEREIRA,</w:t>
      </w:r>
      <w:r w:rsidR="005840C5" w:rsidRPr="001A5B23">
        <w:rPr>
          <w:rFonts w:ascii="Times New Roman" w:hAnsi="Times New Roman" w:cs="Times New Roman"/>
          <w:sz w:val="24"/>
          <w:szCs w:val="24"/>
        </w:rPr>
        <w:t xml:space="preserve"> Caio Mário da Silva. </w:t>
      </w:r>
      <w:r w:rsidR="005840C5" w:rsidRPr="001A5B23">
        <w:rPr>
          <w:rFonts w:ascii="Times New Roman" w:hAnsi="Times New Roman" w:cs="Times New Roman"/>
          <w:b/>
          <w:sz w:val="24"/>
          <w:szCs w:val="24"/>
        </w:rPr>
        <w:t>Instituições de Direito Civil.</w:t>
      </w:r>
      <w:r w:rsidR="00B20498" w:rsidRPr="001A5B23">
        <w:rPr>
          <w:rFonts w:ascii="Times New Roman" w:hAnsi="Times New Roman" w:cs="Times New Roman"/>
          <w:sz w:val="24"/>
          <w:szCs w:val="24"/>
        </w:rPr>
        <w:t xml:space="preserve"> 20.</w:t>
      </w:r>
      <w:r w:rsidR="005840C5" w:rsidRPr="001A5B23">
        <w:rPr>
          <w:rFonts w:ascii="Times New Roman" w:hAnsi="Times New Roman" w:cs="Times New Roman"/>
          <w:sz w:val="24"/>
          <w:szCs w:val="24"/>
        </w:rPr>
        <w:t xml:space="preserve"> </w:t>
      </w:r>
      <w:r w:rsidRPr="001A5B23">
        <w:rPr>
          <w:rFonts w:ascii="Times New Roman" w:hAnsi="Times New Roman" w:cs="Times New Roman"/>
          <w:sz w:val="24"/>
          <w:szCs w:val="24"/>
        </w:rPr>
        <w:t>ed</w:t>
      </w:r>
      <w:r w:rsidR="005840C5" w:rsidRPr="001A5B23">
        <w:rPr>
          <w:rFonts w:ascii="Times New Roman" w:hAnsi="Times New Roman" w:cs="Times New Roman"/>
          <w:sz w:val="24"/>
          <w:szCs w:val="24"/>
        </w:rPr>
        <w:t>. Revista e atualizada por Carlos Edison do Rêgo Monteiro Filho. Rio de Janeiro: Forense, 2011.</w:t>
      </w:r>
      <w:r w:rsidR="001A5B23">
        <w:rPr>
          <w:rFonts w:ascii="Times New Roman" w:hAnsi="Times New Roman" w:cs="Times New Roman"/>
          <w:sz w:val="24"/>
          <w:szCs w:val="24"/>
        </w:rPr>
        <w:t xml:space="preserve"> p. 395.</w:t>
      </w:r>
    </w:p>
    <w:p w:rsidR="005840C5" w:rsidRPr="001A5B23" w:rsidRDefault="00126679" w:rsidP="009E2972">
      <w:pPr>
        <w:spacing w:line="240" w:lineRule="auto"/>
        <w:jc w:val="both"/>
        <w:rPr>
          <w:rFonts w:ascii="Times New Roman" w:hAnsi="Times New Roman" w:cs="Times New Roman"/>
          <w:sz w:val="24"/>
          <w:szCs w:val="24"/>
        </w:rPr>
      </w:pPr>
      <w:r w:rsidRPr="001A5B23">
        <w:rPr>
          <w:rFonts w:ascii="Times New Roman" w:hAnsi="Times New Roman" w:cs="Times New Roman"/>
          <w:sz w:val="24"/>
          <w:szCs w:val="24"/>
        </w:rPr>
        <w:t>DINIZ,</w:t>
      </w:r>
      <w:r w:rsidR="005840C5" w:rsidRPr="001A5B23">
        <w:rPr>
          <w:rFonts w:ascii="Times New Roman" w:hAnsi="Times New Roman" w:cs="Times New Roman"/>
          <w:sz w:val="24"/>
          <w:szCs w:val="24"/>
        </w:rPr>
        <w:t xml:space="preserve"> Maria Helena. </w:t>
      </w:r>
      <w:r w:rsidR="005840C5" w:rsidRPr="001A5B23">
        <w:rPr>
          <w:rFonts w:ascii="Times New Roman" w:hAnsi="Times New Roman" w:cs="Times New Roman"/>
          <w:b/>
          <w:sz w:val="24"/>
          <w:szCs w:val="24"/>
        </w:rPr>
        <w:t>Curso de Direito Civil Brasileiro.</w:t>
      </w:r>
      <w:r w:rsidR="005840C5" w:rsidRPr="001A5B23">
        <w:rPr>
          <w:rFonts w:ascii="Times New Roman" w:hAnsi="Times New Roman" w:cs="Times New Roman"/>
          <w:sz w:val="24"/>
          <w:szCs w:val="24"/>
        </w:rPr>
        <w:t xml:space="preserve"> </w:t>
      </w:r>
      <w:r w:rsidR="005840C5" w:rsidRPr="001A5B23">
        <w:rPr>
          <w:rFonts w:ascii="Times New Roman" w:hAnsi="Times New Roman" w:cs="Times New Roman"/>
          <w:b/>
          <w:sz w:val="24"/>
          <w:szCs w:val="24"/>
        </w:rPr>
        <w:t xml:space="preserve">4. Direitos das Coisas. </w:t>
      </w:r>
      <w:r w:rsidR="005840C5" w:rsidRPr="001A5B23">
        <w:rPr>
          <w:rFonts w:ascii="Times New Roman" w:hAnsi="Times New Roman" w:cs="Times New Roman"/>
          <w:sz w:val="24"/>
          <w:szCs w:val="24"/>
        </w:rPr>
        <w:t>26</w:t>
      </w:r>
      <w:r w:rsidR="00B20498" w:rsidRPr="001A5B23">
        <w:rPr>
          <w:rFonts w:ascii="Times New Roman" w:hAnsi="Times New Roman" w:cs="Times New Roman"/>
          <w:sz w:val="24"/>
          <w:szCs w:val="24"/>
        </w:rPr>
        <w:t>.</w:t>
      </w:r>
      <w:r w:rsidR="005840C5" w:rsidRPr="001A5B23">
        <w:rPr>
          <w:rFonts w:ascii="Times New Roman" w:hAnsi="Times New Roman" w:cs="Times New Roman"/>
          <w:sz w:val="24"/>
          <w:szCs w:val="24"/>
        </w:rPr>
        <w:t xml:space="preserve"> </w:t>
      </w:r>
      <w:r w:rsidR="00B20498" w:rsidRPr="001A5B23">
        <w:rPr>
          <w:rFonts w:ascii="Times New Roman" w:hAnsi="Times New Roman" w:cs="Times New Roman"/>
          <w:sz w:val="24"/>
          <w:szCs w:val="24"/>
        </w:rPr>
        <w:t>ed.</w:t>
      </w:r>
      <w:r w:rsidR="005840C5" w:rsidRPr="001A5B23">
        <w:rPr>
          <w:rFonts w:ascii="Times New Roman" w:hAnsi="Times New Roman" w:cs="Times New Roman"/>
          <w:sz w:val="24"/>
          <w:szCs w:val="24"/>
        </w:rPr>
        <w:t xml:space="preserve"> São Paulo: Saraiva, 2011.</w:t>
      </w:r>
      <w:r w:rsidR="001A5B23">
        <w:rPr>
          <w:rFonts w:ascii="Times New Roman" w:hAnsi="Times New Roman" w:cs="Times New Roman"/>
          <w:sz w:val="24"/>
          <w:szCs w:val="24"/>
        </w:rPr>
        <w:t xml:space="preserve"> p. 667.</w:t>
      </w:r>
    </w:p>
    <w:p w:rsidR="005840C5" w:rsidRPr="001A5B23" w:rsidRDefault="005840C5" w:rsidP="009E2972">
      <w:pPr>
        <w:spacing w:line="240" w:lineRule="auto"/>
        <w:jc w:val="both"/>
        <w:rPr>
          <w:rFonts w:ascii="Times New Roman" w:hAnsi="Times New Roman" w:cs="Times New Roman"/>
          <w:sz w:val="24"/>
          <w:szCs w:val="24"/>
        </w:rPr>
      </w:pPr>
      <w:r w:rsidRPr="001A5B23">
        <w:rPr>
          <w:rFonts w:ascii="Times New Roman" w:hAnsi="Times New Roman" w:cs="Times New Roman"/>
          <w:sz w:val="24"/>
          <w:szCs w:val="24"/>
        </w:rPr>
        <w:t>GONÇALVES</w:t>
      </w:r>
      <w:r w:rsidR="00126679" w:rsidRPr="001A5B23">
        <w:rPr>
          <w:rFonts w:ascii="Times New Roman" w:hAnsi="Times New Roman" w:cs="Times New Roman"/>
          <w:sz w:val="24"/>
          <w:szCs w:val="24"/>
        </w:rPr>
        <w:t>,</w:t>
      </w:r>
      <w:r w:rsidRPr="001A5B23">
        <w:rPr>
          <w:rFonts w:ascii="Times New Roman" w:hAnsi="Times New Roman" w:cs="Times New Roman"/>
          <w:sz w:val="24"/>
          <w:szCs w:val="24"/>
        </w:rPr>
        <w:t xml:space="preserve"> Carlos Roberto. </w:t>
      </w:r>
      <w:r w:rsidRPr="001A5B23">
        <w:rPr>
          <w:rFonts w:ascii="Times New Roman" w:hAnsi="Times New Roman" w:cs="Times New Roman"/>
          <w:b/>
          <w:sz w:val="24"/>
          <w:szCs w:val="24"/>
        </w:rPr>
        <w:t xml:space="preserve">Direito Civil Brasileiro. 5 Direito das Coisas. </w:t>
      </w:r>
      <w:r w:rsidRPr="001A5B23">
        <w:rPr>
          <w:rFonts w:ascii="Times New Roman" w:hAnsi="Times New Roman" w:cs="Times New Roman"/>
          <w:sz w:val="24"/>
          <w:szCs w:val="24"/>
        </w:rPr>
        <w:t>6</w:t>
      </w:r>
      <w:r w:rsidR="00B20498" w:rsidRPr="001A5B23">
        <w:rPr>
          <w:rFonts w:ascii="Times New Roman" w:hAnsi="Times New Roman" w:cs="Times New Roman"/>
          <w:sz w:val="24"/>
          <w:szCs w:val="24"/>
        </w:rPr>
        <w:t>.</w:t>
      </w:r>
      <w:r w:rsidRPr="001A5B23">
        <w:rPr>
          <w:rFonts w:ascii="Times New Roman" w:hAnsi="Times New Roman" w:cs="Times New Roman"/>
          <w:sz w:val="24"/>
          <w:szCs w:val="24"/>
        </w:rPr>
        <w:t xml:space="preserve"> </w:t>
      </w:r>
      <w:r w:rsidR="00B20498" w:rsidRPr="001A5B23">
        <w:rPr>
          <w:rFonts w:ascii="Times New Roman" w:hAnsi="Times New Roman" w:cs="Times New Roman"/>
          <w:sz w:val="24"/>
          <w:szCs w:val="24"/>
        </w:rPr>
        <w:t>ed.</w:t>
      </w:r>
      <w:r w:rsidRPr="001A5B23">
        <w:rPr>
          <w:rFonts w:ascii="Times New Roman" w:hAnsi="Times New Roman" w:cs="Times New Roman"/>
          <w:sz w:val="24"/>
          <w:szCs w:val="24"/>
        </w:rPr>
        <w:t xml:space="preserve"> São Paulo: Saraiva, 2011.</w:t>
      </w:r>
      <w:r w:rsidR="001A5B23">
        <w:rPr>
          <w:rFonts w:ascii="Times New Roman" w:hAnsi="Times New Roman" w:cs="Times New Roman"/>
          <w:sz w:val="24"/>
          <w:szCs w:val="24"/>
        </w:rPr>
        <w:t xml:space="preserve"> p. 659.</w:t>
      </w:r>
    </w:p>
    <w:p w:rsidR="00126679" w:rsidRPr="001A5B23" w:rsidRDefault="00126679" w:rsidP="009E2972">
      <w:pPr>
        <w:spacing w:line="240" w:lineRule="auto"/>
        <w:jc w:val="both"/>
        <w:rPr>
          <w:rFonts w:ascii="Times New Roman" w:hAnsi="Times New Roman" w:cs="Times New Roman"/>
          <w:sz w:val="24"/>
          <w:szCs w:val="24"/>
        </w:rPr>
      </w:pPr>
      <w:r w:rsidRPr="001A5B23">
        <w:rPr>
          <w:rFonts w:ascii="Times New Roman" w:hAnsi="Times New Roman" w:cs="Times New Roman"/>
          <w:sz w:val="24"/>
          <w:szCs w:val="24"/>
        </w:rPr>
        <w:t xml:space="preserve">______. </w:t>
      </w:r>
      <w:r w:rsidRPr="001A5B23">
        <w:rPr>
          <w:rFonts w:ascii="Times New Roman" w:hAnsi="Times New Roman" w:cs="Times New Roman"/>
          <w:b/>
          <w:sz w:val="24"/>
          <w:szCs w:val="24"/>
        </w:rPr>
        <w:t>Direito das Coisas.</w:t>
      </w:r>
      <w:r w:rsidRPr="001A5B23">
        <w:rPr>
          <w:rFonts w:ascii="Times New Roman" w:hAnsi="Times New Roman" w:cs="Times New Roman"/>
          <w:sz w:val="24"/>
          <w:szCs w:val="24"/>
        </w:rPr>
        <w:t xml:space="preserve"> Coleção Sinopses Jurídicas, V. 3. 13</w:t>
      </w:r>
      <w:r w:rsidR="00B20498" w:rsidRPr="001A5B23">
        <w:rPr>
          <w:rFonts w:ascii="Times New Roman" w:hAnsi="Times New Roman" w:cs="Times New Roman"/>
          <w:sz w:val="24"/>
          <w:szCs w:val="24"/>
        </w:rPr>
        <w:t>.</w:t>
      </w:r>
      <w:r w:rsidRPr="001A5B23">
        <w:rPr>
          <w:rFonts w:ascii="Times New Roman" w:hAnsi="Times New Roman" w:cs="Times New Roman"/>
          <w:sz w:val="24"/>
          <w:szCs w:val="24"/>
        </w:rPr>
        <w:t xml:space="preserve"> </w:t>
      </w:r>
      <w:r w:rsidR="00B20498" w:rsidRPr="001A5B23">
        <w:rPr>
          <w:rFonts w:ascii="Times New Roman" w:hAnsi="Times New Roman" w:cs="Times New Roman"/>
          <w:sz w:val="24"/>
          <w:szCs w:val="24"/>
        </w:rPr>
        <w:t>Ed.</w:t>
      </w:r>
      <w:r w:rsidRPr="001A5B23">
        <w:rPr>
          <w:rFonts w:ascii="Times New Roman" w:hAnsi="Times New Roman" w:cs="Times New Roman"/>
          <w:sz w:val="24"/>
          <w:szCs w:val="24"/>
        </w:rPr>
        <w:t xml:space="preserve"> São Paulo: Saraiva, 2012.</w:t>
      </w:r>
      <w:r w:rsidR="001A5B23">
        <w:rPr>
          <w:rFonts w:ascii="Times New Roman" w:hAnsi="Times New Roman" w:cs="Times New Roman"/>
          <w:sz w:val="24"/>
          <w:szCs w:val="24"/>
        </w:rPr>
        <w:t xml:space="preserve"> p. 236.</w:t>
      </w:r>
    </w:p>
    <w:p w:rsidR="00126679" w:rsidRPr="001A5B23" w:rsidRDefault="00126679" w:rsidP="009E2972">
      <w:pPr>
        <w:spacing w:line="240" w:lineRule="auto"/>
        <w:jc w:val="both"/>
        <w:rPr>
          <w:rFonts w:ascii="Times New Roman" w:hAnsi="Times New Roman" w:cs="Times New Roman"/>
          <w:sz w:val="24"/>
          <w:szCs w:val="24"/>
        </w:rPr>
      </w:pPr>
      <w:r w:rsidRPr="001A5B23">
        <w:rPr>
          <w:rFonts w:ascii="Times New Roman" w:hAnsi="Times New Roman" w:cs="Times New Roman"/>
          <w:sz w:val="24"/>
          <w:szCs w:val="24"/>
        </w:rPr>
        <w:t>ROSENVALD, Nelson. FARIAS, Cristiano Chaves de. Direitos Reais. 3</w:t>
      </w:r>
      <w:r w:rsidR="00B20498" w:rsidRPr="001A5B23">
        <w:rPr>
          <w:rFonts w:ascii="Times New Roman" w:hAnsi="Times New Roman" w:cs="Times New Roman"/>
          <w:sz w:val="24"/>
          <w:szCs w:val="24"/>
        </w:rPr>
        <w:t>.</w:t>
      </w:r>
      <w:r w:rsidRPr="001A5B23">
        <w:rPr>
          <w:rFonts w:ascii="Times New Roman" w:hAnsi="Times New Roman" w:cs="Times New Roman"/>
          <w:sz w:val="24"/>
          <w:szCs w:val="24"/>
        </w:rPr>
        <w:t xml:space="preserve"> ed. São Paulo: lúmen Juris, 2006.</w:t>
      </w:r>
      <w:r w:rsidR="001A5B23">
        <w:rPr>
          <w:rFonts w:ascii="Times New Roman" w:hAnsi="Times New Roman" w:cs="Times New Roman"/>
          <w:sz w:val="24"/>
          <w:szCs w:val="24"/>
        </w:rPr>
        <w:t xml:space="preserve"> p. 716.</w:t>
      </w:r>
    </w:p>
    <w:p w:rsidR="005729B5" w:rsidRPr="001A5B23" w:rsidRDefault="005729B5" w:rsidP="009E2972">
      <w:pPr>
        <w:spacing w:line="240" w:lineRule="auto"/>
        <w:jc w:val="both"/>
        <w:rPr>
          <w:rFonts w:ascii="Times New Roman" w:hAnsi="Times New Roman" w:cs="Times New Roman"/>
          <w:sz w:val="24"/>
          <w:szCs w:val="24"/>
        </w:rPr>
      </w:pPr>
      <w:r w:rsidRPr="001A5B23">
        <w:rPr>
          <w:rFonts w:ascii="Times New Roman" w:hAnsi="Times New Roman" w:cs="Times New Roman"/>
          <w:sz w:val="24"/>
          <w:szCs w:val="24"/>
        </w:rPr>
        <w:t xml:space="preserve">MALUF, Carlos Alberto Dabus. MARQUES, Márcio Antero Motta Ramos. </w:t>
      </w:r>
      <w:r w:rsidRPr="001A5B23">
        <w:rPr>
          <w:rFonts w:ascii="Times New Roman" w:hAnsi="Times New Roman" w:cs="Times New Roman"/>
          <w:b/>
          <w:sz w:val="24"/>
          <w:szCs w:val="24"/>
        </w:rPr>
        <w:t xml:space="preserve">O Condomínio Edilício no novo Código Civil. </w:t>
      </w:r>
      <w:r w:rsidRPr="001A5B23">
        <w:rPr>
          <w:rFonts w:ascii="Times New Roman" w:hAnsi="Times New Roman" w:cs="Times New Roman"/>
          <w:sz w:val="24"/>
          <w:szCs w:val="24"/>
        </w:rPr>
        <w:t>2</w:t>
      </w:r>
      <w:r w:rsidR="00B20498" w:rsidRPr="001A5B23">
        <w:rPr>
          <w:rFonts w:ascii="Times New Roman" w:hAnsi="Times New Roman" w:cs="Times New Roman"/>
          <w:sz w:val="24"/>
          <w:szCs w:val="24"/>
        </w:rPr>
        <w:t>.</w:t>
      </w:r>
      <w:r w:rsidRPr="001A5B23">
        <w:rPr>
          <w:rFonts w:ascii="Times New Roman" w:hAnsi="Times New Roman" w:cs="Times New Roman"/>
          <w:sz w:val="24"/>
          <w:szCs w:val="24"/>
        </w:rPr>
        <w:t xml:space="preserve"> </w:t>
      </w:r>
      <w:r w:rsidR="00B20498" w:rsidRPr="001A5B23">
        <w:rPr>
          <w:rFonts w:ascii="Times New Roman" w:hAnsi="Times New Roman" w:cs="Times New Roman"/>
          <w:sz w:val="24"/>
          <w:szCs w:val="24"/>
        </w:rPr>
        <w:t>Ed.</w:t>
      </w:r>
      <w:r w:rsidRPr="001A5B23">
        <w:rPr>
          <w:rFonts w:ascii="Times New Roman" w:hAnsi="Times New Roman" w:cs="Times New Roman"/>
          <w:sz w:val="24"/>
          <w:szCs w:val="24"/>
        </w:rPr>
        <w:t xml:space="preserve"> Revista atualizada de acordo com a Lei nº 10.931, de 2 de agosto de 2004. São Paulo: Saraiva</w:t>
      </w:r>
      <w:r w:rsidR="001A5B23">
        <w:rPr>
          <w:rFonts w:ascii="Times New Roman" w:hAnsi="Times New Roman" w:cs="Times New Roman"/>
          <w:sz w:val="24"/>
          <w:szCs w:val="24"/>
        </w:rPr>
        <w:t>, 2055. p. 186.</w:t>
      </w:r>
    </w:p>
    <w:p w:rsidR="0017704F" w:rsidRPr="001A5B23" w:rsidRDefault="0017704F" w:rsidP="009E2972">
      <w:pPr>
        <w:spacing w:line="240" w:lineRule="auto"/>
        <w:jc w:val="both"/>
        <w:rPr>
          <w:rFonts w:ascii="Times New Roman" w:hAnsi="Times New Roman" w:cs="Times New Roman"/>
          <w:sz w:val="24"/>
          <w:szCs w:val="24"/>
        </w:rPr>
      </w:pPr>
      <w:r w:rsidRPr="001A5B23">
        <w:rPr>
          <w:rFonts w:ascii="Times New Roman" w:hAnsi="Times New Roman" w:cs="Times New Roman"/>
          <w:sz w:val="24"/>
          <w:szCs w:val="24"/>
        </w:rPr>
        <w:t>COUTINHO, Fabrício Petinelli Vieira.</w:t>
      </w:r>
      <w:r w:rsidRPr="001A5B23">
        <w:rPr>
          <w:rFonts w:ascii="Times New Roman" w:hAnsi="Times New Roman" w:cs="Times New Roman"/>
          <w:b/>
          <w:sz w:val="24"/>
          <w:szCs w:val="24"/>
        </w:rPr>
        <w:t xml:space="preserve"> O Cálculo da Fração Ideal no Condomínio Edilício. </w:t>
      </w:r>
      <w:r w:rsidRPr="001A5B23">
        <w:rPr>
          <w:rFonts w:ascii="Times New Roman" w:hAnsi="Times New Roman" w:cs="Times New Roman"/>
          <w:sz w:val="24"/>
          <w:szCs w:val="24"/>
        </w:rPr>
        <w:t>Disponível em: &lt; http://www.fmd.pucminas.br/Virtuajus/2_2006/Discentes/PDF/Fabricio.pdf&gt;. Acessado em: 05 abr. 2012</w:t>
      </w:r>
      <w:r w:rsidR="009F6487" w:rsidRPr="001A5B23">
        <w:rPr>
          <w:rFonts w:ascii="Times New Roman" w:hAnsi="Times New Roman" w:cs="Times New Roman"/>
          <w:sz w:val="24"/>
          <w:szCs w:val="24"/>
        </w:rPr>
        <w:t>.</w:t>
      </w:r>
    </w:p>
    <w:p w:rsidR="009F6487" w:rsidRPr="001A5B23" w:rsidRDefault="009F6487" w:rsidP="009E2972">
      <w:pPr>
        <w:spacing w:line="240" w:lineRule="auto"/>
        <w:jc w:val="both"/>
        <w:rPr>
          <w:rFonts w:ascii="Times New Roman" w:hAnsi="Times New Roman" w:cs="Times New Roman"/>
          <w:sz w:val="24"/>
          <w:szCs w:val="24"/>
        </w:rPr>
      </w:pPr>
      <w:r w:rsidRPr="001A5B23">
        <w:rPr>
          <w:rFonts w:ascii="Times New Roman" w:hAnsi="Times New Roman" w:cs="Times New Roman"/>
          <w:sz w:val="24"/>
          <w:szCs w:val="24"/>
        </w:rPr>
        <w:t xml:space="preserve">BRASIL. Superior Tribunal de Justiça. Recurso </w:t>
      </w:r>
      <w:r w:rsidRPr="001A5B23">
        <w:rPr>
          <w:rFonts w:ascii="Times New Roman" w:hAnsi="Times New Roman" w:cs="Times New Roman"/>
          <w:b/>
          <w:sz w:val="24"/>
          <w:szCs w:val="24"/>
        </w:rPr>
        <w:t>Especial 1.256.912 – AL</w:t>
      </w:r>
      <w:r w:rsidRPr="001A5B23">
        <w:rPr>
          <w:rFonts w:ascii="Times New Roman" w:hAnsi="Times New Roman" w:cs="Times New Roman"/>
          <w:sz w:val="24"/>
          <w:szCs w:val="24"/>
        </w:rPr>
        <w:t>. 2ª Turma. Rel. Min. Humberto Martins. Disponível em: &lt; https://ww2.stj.jus.br/revistaeletronica/Abre_Documento.asp?sLink=ATC&amp;sSeq=19387803&amp;sReg=201101229786&amp;sData=20120213&amp;sTipo=91&amp;formato=PDF&gt;. Acessado em: 15 maio 2012.</w:t>
      </w:r>
    </w:p>
    <w:p w:rsidR="009F6487" w:rsidRPr="001A5B23" w:rsidRDefault="009F6487" w:rsidP="009E2972">
      <w:pPr>
        <w:spacing w:line="240" w:lineRule="auto"/>
        <w:jc w:val="both"/>
        <w:rPr>
          <w:rFonts w:ascii="Times New Roman" w:hAnsi="Times New Roman" w:cs="Times New Roman"/>
          <w:sz w:val="24"/>
          <w:szCs w:val="24"/>
        </w:rPr>
      </w:pPr>
      <w:r w:rsidRPr="001A5B23">
        <w:rPr>
          <w:rFonts w:ascii="Times New Roman" w:hAnsi="Times New Roman" w:cs="Times New Roman"/>
          <w:sz w:val="24"/>
          <w:szCs w:val="24"/>
        </w:rPr>
        <w:lastRenderedPageBreak/>
        <w:t xml:space="preserve">BRASIL. Tribunal de Justiça do Estado de Minas Gerais. </w:t>
      </w:r>
      <w:r w:rsidRPr="001A5B23">
        <w:rPr>
          <w:rFonts w:ascii="Times New Roman" w:hAnsi="Times New Roman" w:cs="Times New Roman"/>
          <w:b/>
          <w:sz w:val="24"/>
          <w:szCs w:val="24"/>
        </w:rPr>
        <w:t>Agravo de Instrumento 1.0027.08.175441-1/001(1)</w:t>
      </w:r>
      <w:r w:rsidRPr="001A5B23">
        <w:rPr>
          <w:rFonts w:ascii="Times New Roman" w:hAnsi="Times New Roman" w:cs="Times New Roman"/>
          <w:sz w:val="24"/>
          <w:szCs w:val="24"/>
        </w:rPr>
        <w:t>. 9ª Câmara Cível. Rel. Des. Pedro Bernardes. Disponível em: &lt; http://www.tjmg.jus.br/juridico/jt_/inteiro_teor.jsp?tipoTribunal=1&amp;comrCodigo=27&amp;ano=8&amp;txt_processo=175441&amp;complemento=1&amp;sequencial=0&amp;palavrasConsulta=natureza%20jur%EDdica%20condom%EDnio%20edil%EDcio&amp;todas=&amp;expressao=&amp;qualquer=&amp;sem=&amp;radical=&gt;. Acessado em: 12 abr. 2012.</w:t>
      </w:r>
    </w:p>
    <w:p w:rsidR="009F6487" w:rsidRPr="001A5B23" w:rsidRDefault="009F6487" w:rsidP="009E2972">
      <w:pPr>
        <w:autoSpaceDE w:val="0"/>
        <w:autoSpaceDN w:val="0"/>
        <w:adjustRightInd w:val="0"/>
        <w:spacing w:after="0" w:line="240" w:lineRule="auto"/>
        <w:jc w:val="both"/>
        <w:rPr>
          <w:rFonts w:ascii="Times New Roman" w:hAnsi="Times New Roman" w:cs="Times New Roman"/>
          <w:sz w:val="24"/>
          <w:szCs w:val="24"/>
        </w:rPr>
      </w:pPr>
      <w:r w:rsidRPr="001A5B23">
        <w:rPr>
          <w:rFonts w:ascii="Times New Roman" w:hAnsi="Times New Roman" w:cs="Times New Roman"/>
          <w:bCs/>
          <w:sz w:val="24"/>
          <w:szCs w:val="24"/>
        </w:rPr>
        <w:t>ASSOCIAÇÃO BRASILEIRA DE NORMAS TÉCNICAS</w:t>
      </w:r>
      <w:r w:rsidRPr="001A5B23">
        <w:rPr>
          <w:rFonts w:ascii="Times New Roman" w:hAnsi="Times New Roman" w:cs="Times New Roman"/>
          <w:b/>
          <w:bCs/>
          <w:sz w:val="24"/>
          <w:szCs w:val="24"/>
        </w:rPr>
        <w:t>.</w:t>
      </w:r>
      <w:r w:rsidR="005729B5" w:rsidRPr="001A5B23">
        <w:rPr>
          <w:rFonts w:ascii="Times New Roman" w:hAnsi="Times New Roman" w:cs="Times New Roman"/>
          <w:b/>
          <w:bCs/>
          <w:sz w:val="24"/>
          <w:szCs w:val="24"/>
        </w:rPr>
        <w:t xml:space="preserve"> </w:t>
      </w:r>
      <w:r w:rsidRPr="001A5B23">
        <w:rPr>
          <w:rFonts w:ascii="Times New Roman" w:hAnsi="Times New Roman" w:cs="Times New Roman"/>
          <w:b/>
          <w:bCs/>
          <w:sz w:val="24"/>
          <w:szCs w:val="24"/>
        </w:rPr>
        <w:t>NBR 6023</w:t>
      </w:r>
      <w:r w:rsidRPr="001A5B23">
        <w:rPr>
          <w:rFonts w:ascii="Times New Roman" w:hAnsi="Times New Roman" w:cs="Times New Roman"/>
          <w:sz w:val="24"/>
          <w:szCs w:val="24"/>
        </w:rPr>
        <w:t>: Informação e documentação: Referências: Elaboração. Rio de Janeiro, 2002.</w:t>
      </w:r>
      <w:r w:rsidR="005729B5" w:rsidRPr="001A5B23">
        <w:rPr>
          <w:rFonts w:ascii="Times New Roman" w:hAnsi="Times New Roman" w:cs="Times New Roman"/>
          <w:sz w:val="24"/>
          <w:szCs w:val="24"/>
        </w:rPr>
        <w:t xml:space="preserve"> Disponível em: &lt; http://www.habitus.ifcs.ufrj.br/pdf/abntnbr6023.pdf&gt;. Acessado em: 21 maio 2012.</w:t>
      </w:r>
    </w:p>
    <w:p w:rsidR="005729B5" w:rsidRPr="001A5B23" w:rsidRDefault="005729B5" w:rsidP="009E2972">
      <w:pPr>
        <w:autoSpaceDE w:val="0"/>
        <w:autoSpaceDN w:val="0"/>
        <w:adjustRightInd w:val="0"/>
        <w:spacing w:after="0" w:line="240" w:lineRule="auto"/>
        <w:jc w:val="both"/>
        <w:rPr>
          <w:rFonts w:ascii="Times New Roman" w:hAnsi="Times New Roman" w:cs="Times New Roman"/>
          <w:sz w:val="24"/>
          <w:szCs w:val="24"/>
        </w:rPr>
      </w:pPr>
      <w:r w:rsidRPr="001A5B23">
        <w:rPr>
          <w:rFonts w:ascii="Times New Roman" w:hAnsi="Times New Roman" w:cs="Times New Roman"/>
          <w:sz w:val="24"/>
          <w:szCs w:val="24"/>
        </w:rPr>
        <w:t>Enunciados das Jornadas de Direito Civil da CJF (Incluídos Enunciados da IV Jornada). Disponível em: &lt;http://www.jurisway.org.br/v2/dhall.asp?id_dh=69&gt;. Acessado em: 10 mar 2012.</w:t>
      </w:r>
    </w:p>
    <w:p w:rsidR="005729B5" w:rsidRPr="001A5B23" w:rsidRDefault="005729B5" w:rsidP="009E2972">
      <w:pPr>
        <w:autoSpaceDE w:val="0"/>
        <w:autoSpaceDN w:val="0"/>
        <w:adjustRightInd w:val="0"/>
        <w:spacing w:after="0" w:line="240" w:lineRule="auto"/>
        <w:jc w:val="both"/>
        <w:rPr>
          <w:rFonts w:ascii="Times New Roman" w:hAnsi="Times New Roman" w:cs="Times New Roman"/>
          <w:sz w:val="24"/>
          <w:szCs w:val="24"/>
        </w:rPr>
      </w:pPr>
    </w:p>
    <w:p w:rsidR="005729B5" w:rsidRDefault="005729B5" w:rsidP="009E2972">
      <w:pPr>
        <w:autoSpaceDE w:val="0"/>
        <w:autoSpaceDN w:val="0"/>
        <w:adjustRightInd w:val="0"/>
        <w:spacing w:after="0" w:line="240" w:lineRule="auto"/>
        <w:jc w:val="both"/>
        <w:rPr>
          <w:rFonts w:ascii="Times New Roman" w:hAnsi="Times New Roman" w:cs="Times New Roman"/>
          <w:sz w:val="24"/>
          <w:szCs w:val="24"/>
        </w:rPr>
      </w:pPr>
      <w:r w:rsidRPr="001A5B23">
        <w:rPr>
          <w:rFonts w:ascii="Times New Roman" w:hAnsi="Times New Roman" w:cs="Times New Roman"/>
          <w:sz w:val="24"/>
          <w:szCs w:val="24"/>
        </w:rPr>
        <w:t xml:space="preserve">MONTEIRO, Washington de Barros. MALUF, Carlos Aberto Dabus. </w:t>
      </w:r>
      <w:r w:rsidR="00B20498" w:rsidRPr="001A5B23">
        <w:rPr>
          <w:rFonts w:ascii="Times New Roman" w:hAnsi="Times New Roman" w:cs="Times New Roman"/>
          <w:b/>
          <w:sz w:val="24"/>
          <w:szCs w:val="24"/>
        </w:rPr>
        <w:t xml:space="preserve">Curso de Direito Civil. Direito das Coisas. </w:t>
      </w:r>
      <w:r w:rsidR="00B20498" w:rsidRPr="001A5B23">
        <w:rPr>
          <w:rFonts w:ascii="Times New Roman" w:hAnsi="Times New Roman" w:cs="Times New Roman"/>
          <w:sz w:val="24"/>
          <w:szCs w:val="24"/>
        </w:rPr>
        <w:t>41. ed. São Paulo: Saraiva</w:t>
      </w:r>
      <w:r w:rsidR="001A5B23">
        <w:rPr>
          <w:rFonts w:ascii="Times New Roman" w:hAnsi="Times New Roman" w:cs="Times New Roman"/>
          <w:sz w:val="24"/>
          <w:szCs w:val="24"/>
        </w:rPr>
        <w:t>, 2011. 588 p.</w:t>
      </w:r>
    </w:p>
    <w:p w:rsidR="0077406C" w:rsidRPr="001A5B23" w:rsidRDefault="0077406C" w:rsidP="009E2972">
      <w:pPr>
        <w:autoSpaceDE w:val="0"/>
        <w:autoSpaceDN w:val="0"/>
        <w:adjustRightInd w:val="0"/>
        <w:spacing w:after="0" w:line="240" w:lineRule="auto"/>
        <w:jc w:val="both"/>
        <w:rPr>
          <w:rFonts w:ascii="Times New Roman" w:hAnsi="Times New Roman" w:cs="Times New Roman"/>
          <w:sz w:val="24"/>
          <w:szCs w:val="24"/>
        </w:rPr>
      </w:pPr>
    </w:p>
    <w:p w:rsidR="00B20498" w:rsidRPr="001A5B23" w:rsidRDefault="00B20498" w:rsidP="009E2972">
      <w:pPr>
        <w:autoSpaceDE w:val="0"/>
        <w:autoSpaceDN w:val="0"/>
        <w:adjustRightInd w:val="0"/>
        <w:spacing w:after="0" w:line="240" w:lineRule="auto"/>
        <w:jc w:val="both"/>
        <w:rPr>
          <w:rFonts w:ascii="Times New Roman" w:hAnsi="Times New Roman" w:cs="Times New Roman"/>
          <w:sz w:val="24"/>
          <w:szCs w:val="24"/>
        </w:rPr>
      </w:pPr>
      <w:r w:rsidRPr="001A5B23">
        <w:rPr>
          <w:rFonts w:ascii="Times New Roman" w:hAnsi="Times New Roman" w:cs="Times New Roman"/>
          <w:sz w:val="24"/>
          <w:szCs w:val="24"/>
        </w:rPr>
        <w:t xml:space="preserve">ZULIANI, Ênio Santarelli. </w:t>
      </w:r>
      <w:r w:rsidRPr="001A5B23">
        <w:rPr>
          <w:rFonts w:ascii="Times New Roman" w:hAnsi="Times New Roman" w:cs="Times New Roman"/>
          <w:b/>
          <w:sz w:val="24"/>
          <w:szCs w:val="24"/>
        </w:rPr>
        <w:t xml:space="preserve">Condomínio Edilício – Aspectos Controvertidos. </w:t>
      </w:r>
      <w:r w:rsidRPr="001A5B23">
        <w:rPr>
          <w:rFonts w:ascii="Times New Roman" w:hAnsi="Times New Roman" w:cs="Times New Roman"/>
          <w:sz w:val="24"/>
          <w:szCs w:val="24"/>
        </w:rPr>
        <w:t>Revista magister de Direito Civil e Processual Civil.</w:t>
      </w:r>
      <w:r w:rsidR="009E2972" w:rsidRPr="001A5B23">
        <w:rPr>
          <w:rFonts w:ascii="Times New Roman" w:hAnsi="Times New Roman" w:cs="Times New Roman"/>
          <w:sz w:val="24"/>
          <w:szCs w:val="24"/>
        </w:rPr>
        <w:t xml:space="preserve"> Ano VIII.</w:t>
      </w:r>
      <w:r w:rsidRPr="001A5B23">
        <w:rPr>
          <w:rFonts w:ascii="Times New Roman" w:hAnsi="Times New Roman" w:cs="Times New Roman"/>
          <w:sz w:val="24"/>
          <w:szCs w:val="24"/>
        </w:rPr>
        <w:t xml:space="preserve"> </w:t>
      </w:r>
      <w:r w:rsidR="009E2972" w:rsidRPr="001A5B23">
        <w:rPr>
          <w:rFonts w:ascii="Times New Roman" w:hAnsi="Times New Roman" w:cs="Times New Roman"/>
          <w:sz w:val="24"/>
          <w:szCs w:val="24"/>
        </w:rPr>
        <w:t>v. 43. Jul/Ago 2011. São Paulo: Magister</w:t>
      </w:r>
      <w:r w:rsidR="001A5B23">
        <w:rPr>
          <w:rFonts w:ascii="Times New Roman" w:hAnsi="Times New Roman" w:cs="Times New Roman"/>
          <w:sz w:val="24"/>
          <w:szCs w:val="24"/>
        </w:rPr>
        <w:t>. p. 86-108</w:t>
      </w:r>
    </w:p>
    <w:sectPr w:rsidR="00B20498" w:rsidRPr="001A5B23" w:rsidSect="009101FD">
      <w:headerReference w:type="defaul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0C5" w:rsidRDefault="00FD10C5" w:rsidP="009101FD">
      <w:pPr>
        <w:spacing w:after="0" w:line="240" w:lineRule="auto"/>
      </w:pPr>
      <w:r>
        <w:separator/>
      </w:r>
    </w:p>
  </w:endnote>
  <w:endnote w:type="continuationSeparator" w:id="0">
    <w:p w:rsidR="00FD10C5" w:rsidRDefault="00FD10C5" w:rsidP="00910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0C5" w:rsidRDefault="00FD10C5" w:rsidP="009101FD">
      <w:pPr>
        <w:spacing w:after="0" w:line="240" w:lineRule="auto"/>
      </w:pPr>
      <w:r>
        <w:separator/>
      </w:r>
    </w:p>
  </w:footnote>
  <w:footnote w:type="continuationSeparator" w:id="0">
    <w:p w:rsidR="00FD10C5" w:rsidRDefault="00FD10C5" w:rsidP="009101FD">
      <w:pPr>
        <w:spacing w:after="0" w:line="240" w:lineRule="auto"/>
      </w:pPr>
      <w:r>
        <w:continuationSeparator/>
      </w:r>
    </w:p>
  </w:footnote>
  <w:footnote w:id="1">
    <w:p w:rsidR="002E4716" w:rsidRDefault="002E4716" w:rsidP="002E4716">
      <w:pPr>
        <w:spacing w:line="240" w:lineRule="auto"/>
        <w:jc w:val="both"/>
      </w:pPr>
      <w:r>
        <w:rPr>
          <w:rStyle w:val="Refdenotaderodap"/>
        </w:rPr>
        <w:footnoteRef/>
      </w:r>
      <w:r>
        <w:t xml:space="preserve"> </w:t>
      </w:r>
      <w:r w:rsidRPr="002E4716">
        <w:rPr>
          <w:rFonts w:ascii="Times New Roman" w:hAnsi="Times New Roman"/>
          <w:sz w:val="20"/>
          <w:szCs w:val="20"/>
        </w:rPr>
        <w:t>Acadêmicos do curso de Direito da Universidade Presidente Antônio Carlos – UNIPAC, campus Bom Despacho/MG.</w:t>
      </w:r>
    </w:p>
  </w:footnote>
  <w:footnote w:id="2">
    <w:p w:rsidR="002E4716" w:rsidRPr="00BE494E" w:rsidRDefault="002E4716">
      <w:pPr>
        <w:pStyle w:val="Textodenotaderodap"/>
        <w:rPr>
          <w:rFonts w:ascii="Times New Roman" w:hAnsi="Times New Roman" w:cs="Times New Roman"/>
        </w:rPr>
      </w:pPr>
      <w:r w:rsidRPr="00BE494E">
        <w:rPr>
          <w:rStyle w:val="Refdenotaderodap"/>
          <w:rFonts w:ascii="Times New Roman" w:hAnsi="Times New Roman" w:cs="Times New Roman"/>
        </w:rPr>
        <w:footnoteRef/>
      </w:r>
      <w:r w:rsidRPr="00BE494E">
        <w:rPr>
          <w:rFonts w:ascii="Times New Roman" w:hAnsi="Times New Roman" w:cs="Times New Roman"/>
        </w:rPr>
        <w:t xml:space="preserve"> PEREIRA, 2011, p. 161</w:t>
      </w:r>
    </w:p>
  </w:footnote>
  <w:footnote w:id="3">
    <w:p w:rsidR="002E4716" w:rsidRDefault="002E4716">
      <w:pPr>
        <w:pStyle w:val="Textodenotaderodap"/>
      </w:pPr>
      <w:r>
        <w:rPr>
          <w:rStyle w:val="Refdenotaderodap"/>
        </w:rPr>
        <w:footnoteRef/>
      </w:r>
      <w:r>
        <w:t xml:space="preserve"> </w:t>
      </w:r>
      <w:r w:rsidRPr="00497220">
        <w:rPr>
          <w:rFonts w:ascii="Times New Roman" w:hAnsi="Times New Roman" w:cs="Times New Roman"/>
        </w:rPr>
        <w:t>GONÇALVES, 2012, p. 179</w:t>
      </w:r>
    </w:p>
  </w:footnote>
  <w:footnote w:id="4">
    <w:p w:rsidR="002E4716" w:rsidRPr="00570810" w:rsidRDefault="002E4716">
      <w:pPr>
        <w:pStyle w:val="Textodenotaderodap"/>
        <w:rPr>
          <w:rFonts w:ascii="Times New Roman" w:hAnsi="Times New Roman" w:cs="Times New Roman"/>
        </w:rPr>
      </w:pPr>
      <w:r>
        <w:rPr>
          <w:rStyle w:val="Refdenotaderodap"/>
        </w:rPr>
        <w:footnoteRef/>
      </w:r>
      <w:r>
        <w:t xml:space="preserve"> </w:t>
      </w:r>
      <w:r w:rsidRPr="00570810">
        <w:rPr>
          <w:rFonts w:ascii="Times New Roman" w:hAnsi="Times New Roman" w:cs="Times New Roman"/>
        </w:rPr>
        <w:t>PEREIRA, 2011, p. 161</w:t>
      </w:r>
    </w:p>
  </w:footnote>
  <w:footnote w:id="5">
    <w:p w:rsidR="002E4716" w:rsidRPr="002F44C3" w:rsidRDefault="002E4716">
      <w:pPr>
        <w:pStyle w:val="Textodenotaderodap"/>
        <w:rPr>
          <w:rFonts w:ascii="Times New Roman" w:hAnsi="Times New Roman" w:cs="Times New Roman"/>
        </w:rPr>
      </w:pPr>
      <w:r>
        <w:rPr>
          <w:rStyle w:val="Refdenotaderodap"/>
        </w:rPr>
        <w:footnoteRef/>
      </w:r>
      <w:r>
        <w:t xml:space="preserve"> </w:t>
      </w:r>
      <w:r w:rsidRPr="002F44C3">
        <w:rPr>
          <w:rFonts w:ascii="Times New Roman" w:hAnsi="Times New Roman" w:cs="Times New Roman"/>
        </w:rPr>
        <w:t>PEREIRA, 2011, p.151</w:t>
      </w:r>
    </w:p>
  </w:footnote>
  <w:footnote w:id="6">
    <w:p w:rsidR="002E4716" w:rsidRPr="00664855" w:rsidRDefault="002E4716">
      <w:pPr>
        <w:pStyle w:val="Textodenotaderodap"/>
        <w:rPr>
          <w:rFonts w:ascii="Times New Roman" w:hAnsi="Times New Roman" w:cs="Times New Roman"/>
        </w:rPr>
      </w:pPr>
      <w:r>
        <w:rPr>
          <w:rStyle w:val="Refdenotaderodap"/>
        </w:rPr>
        <w:footnoteRef/>
      </w:r>
      <w:r>
        <w:t xml:space="preserve"> </w:t>
      </w:r>
      <w:r w:rsidRPr="00664855">
        <w:rPr>
          <w:rFonts w:ascii="Times New Roman" w:hAnsi="Times New Roman" w:cs="Times New Roman"/>
        </w:rPr>
        <w:t>MONTEIRO, 2011, p. 249</w:t>
      </w:r>
    </w:p>
  </w:footnote>
  <w:footnote w:id="7">
    <w:p w:rsidR="002E4716" w:rsidRPr="007A7B1D" w:rsidRDefault="002E4716" w:rsidP="007A7B1D">
      <w:pPr>
        <w:pStyle w:val="SemEspaamento"/>
        <w:jc w:val="both"/>
        <w:rPr>
          <w:rFonts w:ascii="Times New Roman" w:hAnsi="Times New Roman" w:cs="Times New Roman"/>
          <w:sz w:val="20"/>
          <w:szCs w:val="20"/>
          <w:lang w:eastAsia="pt-BR"/>
        </w:rPr>
      </w:pPr>
      <w:r>
        <w:rPr>
          <w:rStyle w:val="Refdenotaderodap"/>
        </w:rPr>
        <w:footnoteRef/>
      </w:r>
      <w:r>
        <w:t xml:space="preserve"> </w:t>
      </w:r>
      <w:r w:rsidRPr="007A7B1D">
        <w:rPr>
          <w:rFonts w:ascii="Times New Roman" w:hAnsi="Times New Roman" w:cs="Times New Roman"/>
          <w:sz w:val="20"/>
          <w:szCs w:val="20"/>
          <w:lang w:eastAsia="pt-BR"/>
        </w:rPr>
        <w:t>Art. 1.314</w:t>
      </w:r>
      <w:r w:rsidR="00FF42A3">
        <w:rPr>
          <w:rFonts w:ascii="Times New Roman" w:hAnsi="Times New Roman" w:cs="Times New Roman"/>
          <w:sz w:val="20"/>
          <w:szCs w:val="20"/>
          <w:lang w:eastAsia="pt-BR"/>
        </w:rPr>
        <w:t xml:space="preserve"> </w:t>
      </w:r>
      <w:r w:rsidR="00FF42A3">
        <w:rPr>
          <w:rFonts w:ascii="Times New Roman" w:eastAsia="Times New Roman" w:hAnsi="Times New Roman" w:cs="Times New Roman"/>
          <w:color w:val="000000"/>
          <w:sz w:val="20"/>
          <w:szCs w:val="20"/>
          <w:lang w:eastAsia="pt-BR"/>
        </w:rPr>
        <w:t>do CC/2002</w:t>
      </w:r>
      <w:r w:rsidRPr="007A7B1D">
        <w:rPr>
          <w:rFonts w:ascii="Times New Roman" w:hAnsi="Times New Roman" w:cs="Times New Roman"/>
          <w:sz w:val="20"/>
          <w:szCs w:val="20"/>
          <w:lang w:eastAsia="pt-BR"/>
        </w:rPr>
        <w:t>. Cada condômino pode usar da coisa conforme sua destinação, sobre ela exercer todos os direitos compatíveis com a indivisão, reivindicá-la de terceiro, defender a sua posse e alhear a respectiva parte ideal, ou gravá-la.</w:t>
      </w:r>
    </w:p>
    <w:p w:rsidR="002E4716" w:rsidRPr="007A7B1D" w:rsidRDefault="002E4716" w:rsidP="007A7B1D">
      <w:pPr>
        <w:pStyle w:val="SemEspaamento"/>
        <w:jc w:val="both"/>
        <w:rPr>
          <w:rFonts w:ascii="Times New Roman" w:hAnsi="Times New Roman" w:cs="Times New Roman"/>
          <w:sz w:val="20"/>
          <w:szCs w:val="20"/>
        </w:rPr>
      </w:pPr>
      <w:r w:rsidRPr="007A7B1D">
        <w:rPr>
          <w:rFonts w:ascii="Times New Roman" w:hAnsi="Times New Roman" w:cs="Times New Roman"/>
          <w:sz w:val="20"/>
          <w:szCs w:val="20"/>
          <w:lang w:eastAsia="pt-BR"/>
        </w:rPr>
        <w:t>Parágrafo único. Nenhum dos condôminos pode alterar a destinação da coisa comum, nem dar posse, uso ou gozo dela a estranhos, sem o consenso dos outros.</w:t>
      </w:r>
    </w:p>
  </w:footnote>
  <w:footnote w:id="8">
    <w:p w:rsidR="002E4716" w:rsidRDefault="002E4716">
      <w:pPr>
        <w:pStyle w:val="Textodenotaderodap"/>
      </w:pPr>
      <w:r>
        <w:rPr>
          <w:rStyle w:val="Refdenotaderodap"/>
        </w:rPr>
        <w:footnoteRef/>
      </w:r>
      <w:r>
        <w:t xml:space="preserve"> </w:t>
      </w:r>
      <w:r w:rsidRPr="00A37F11">
        <w:rPr>
          <w:rFonts w:ascii="Times New Roman" w:hAnsi="Times New Roman" w:cs="Times New Roman"/>
        </w:rPr>
        <w:t>PEREIRA, 2011, p. 152</w:t>
      </w:r>
    </w:p>
  </w:footnote>
  <w:footnote w:id="9">
    <w:p w:rsidR="002E4716" w:rsidRPr="00AA0B43" w:rsidRDefault="002E4716">
      <w:pPr>
        <w:pStyle w:val="Textodenotaderodap"/>
        <w:rPr>
          <w:rFonts w:ascii="Times New Roman" w:hAnsi="Times New Roman" w:cs="Times New Roman"/>
        </w:rPr>
      </w:pPr>
      <w:r w:rsidRPr="00AA0B43">
        <w:rPr>
          <w:rStyle w:val="Refdenotaderodap"/>
          <w:rFonts w:ascii="Times New Roman" w:hAnsi="Times New Roman" w:cs="Times New Roman"/>
        </w:rPr>
        <w:footnoteRef/>
      </w:r>
      <w:r w:rsidRPr="00AA0B43">
        <w:rPr>
          <w:rFonts w:ascii="Times New Roman" w:hAnsi="Times New Roman" w:cs="Times New Roman"/>
        </w:rPr>
        <w:t xml:space="preserve"> GONÇALVES, 2012, p.170</w:t>
      </w:r>
    </w:p>
  </w:footnote>
  <w:footnote w:id="10">
    <w:p w:rsidR="002E4716" w:rsidRPr="00426E27" w:rsidRDefault="002E4716" w:rsidP="00426E27">
      <w:pPr>
        <w:pStyle w:val="SemEspaamento"/>
        <w:jc w:val="both"/>
        <w:rPr>
          <w:rFonts w:ascii="Times New Roman" w:hAnsi="Times New Roman" w:cs="Times New Roman"/>
          <w:sz w:val="20"/>
          <w:szCs w:val="20"/>
        </w:rPr>
      </w:pPr>
      <w:r w:rsidRPr="00426E27">
        <w:rPr>
          <w:rStyle w:val="Refdenotaderodap"/>
          <w:rFonts w:ascii="Times New Roman" w:hAnsi="Times New Roman" w:cs="Times New Roman"/>
          <w:sz w:val="20"/>
          <w:szCs w:val="20"/>
        </w:rPr>
        <w:footnoteRef/>
      </w:r>
      <w:r w:rsidRPr="00426E27">
        <w:rPr>
          <w:rFonts w:ascii="Times New Roman" w:hAnsi="Times New Roman" w:cs="Times New Roman"/>
          <w:sz w:val="20"/>
          <w:szCs w:val="20"/>
        </w:rPr>
        <w:t xml:space="preserve"> DINIZ, 2011, p.223</w:t>
      </w:r>
    </w:p>
  </w:footnote>
  <w:footnote w:id="11">
    <w:p w:rsidR="002E4716" w:rsidRPr="00426E27" w:rsidRDefault="002E4716" w:rsidP="00426E27">
      <w:pPr>
        <w:pStyle w:val="SemEspaamento"/>
        <w:jc w:val="both"/>
        <w:rPr>
          <w:rFonts w:ascii="Times New Roman" w:eastAsia="Times New Roman" w:hAnsi="Times New Roman" w:cs="Times New Roman"/>
          <w:color w:val="000000"/>
          <w:sz w:val="20"/>
          <w:szCs w:val="20"/>
          <w:lang w:eastAsia="pt-BR"/>
        </w:rPr>
      </w:pPr>
      <w:r w:rsidRPr="00426E27">
        <w:rPr>
          <w:rStyle w:val="Refdenotaderodap"/>
          <w:rFonts w:ascii="Times New Roman" w:hAnsi="Times New Roman" w:cs="Times New Roman"/>
          <w:sz w:val="20"/>
          <w:szCs w:val="20"/>
        </w:rPr>
        <w:footnoteRef/>
      </w:r>
      <w:r w:rsidRPr="00426E27">
        <w:rPr>
          <w:rFonts w:ascii="Times New Roman" w:hAnsi="Times New Roman" w:cs="Times New Roman"/>
          <w:sz w:val="20"/>
          <w:szCs w:val="20"/>
        </w:rPr>
        <w:t xml:space="preserve"> </w:t>
      </w:r>
      <w:r w:rsidRPr="00426E27">
        <w:rPr>
          <w:rFonts w:ascii="Times New Roman" w:eastAsia="Times New Roman" w:hAnsi="Times New Roman" w:cs="Times New Roman"/>
          <w:color w:val="000000"/>
          <w:sz w:val="20"/>
          <w:szCs w:val="20"/>
          <w:lang w:eastAsia="pt-BR"/>
        </w:rPr>
        <w:t>Art. 1.314</w:t>
      </w:r>
      <w:r w:rsidR="00FF42A3">
        <w:rPr>
          <w:rFonts w:ascii="Times New Roman" w:eastAsia="Times New Roman" w:hAnsi="Times New Roman" w:cs="Times New Roman"/>
          <w:color w:val="000000"/>
          <w:sz w:val="20"/>
          <w:szCs w:val="20"/>
          <w:lang w:eastAsia="pt-BR"/>
        </w:rPr>
        <w:t xml:space="preserve"> do CC/2002</w:t>
      </w:r>
      <w:r w:rsidRPr="00426E27">
        <w:rPr>
          <w:rFonts w:ascii="Times New Roman" w:eastAsia="Times New Roman" w:hAnsi="Times New Roman" w:cs="Times New Roman"/>
          <w:color w:val="000000"/>
          <w:sz w:val="20"/>
          <w:szCs w:val="20"/>
          <w:lang w:eastAsia="pt-BR"/>
        </w:rPr>
        <w:t>. Cada condômino pode usar da coisa conforme sua destinação, sobre ela exercer todos os direitos compatíveis com a indivisão, reivindicá-la de terceiro, defender a sua posse e alhear a respectiva parte ideal, ou gravá-la.</w:t>
      </w:r>
    </w:p>
    <w:p w:rsidR="002E4716" w:rsidRPr="00426E27" w:rsidRDefault="002E4716" w:rsidP="00426E27">
      <w:pPr>
        <w:pStyle w:val="SemEspaamento"/>
        <w:jc w:val="both"/>
        <w:rPr>
          <w:rFonts w:ascii="Times New Roman" w:eastAsia="Times New Roman" w:hAnsi="Times New Roman" w:cs="Times New Roman"/>
          <w:color w:val="000000"/>
          <w:sz w:val="20"/>
          <w:szCs w:val="20"/>
          <w:lang w:eastAsia="pt-BR"/>
        </w:rPr>
      </w:pPr>
      <w:r w:rsidRPr="00426E27">
        <w:rPr>
          <w:rFonts w:ascii="Times New Roman" w:eastAsia="Times New Roman" w:hAnsi="Times New Roman" w:cs="Times New Roman"/>
          <w:color w:val="000000"/>
          <w:sz w:val="20"/>
          <w:szCs w:val="20"/>
          <w:lang w:eastAsia="pt-BR"/>
        </w:rPr>
        <w:t>Parágrafo único. Nenhum dos condôminos pode alterar a destinação da coisa comum, nem dar posse, uso ou gozo dela a estranhos, sem o consenso dos outros.</w:t>
      </w:r>
    </w:p>
  </w:footnote>
  <w:footnote w:id="12">
    <w:p w:rsidR="002E4716" w:rsidRPr="00F12387" w:rsidRDefault="002E4716" w:rsidP="00426E27">
      <w:pPr>
        <w:pStyle w:val="SemEspaamento"/>
        <w:jc w:val="both"/>
        <w:rPr>
          <w:rFonts w:ascii="Times New Roman" w:hAnsi="Times New Roman" w:cs="Times New Roman"/>
          <w:sz w:val="20"/>
          <w:szCs w:val="20"/>
          <w:lang w:val="en-US"/>
        </w:rPr>
      </w:pPr>
      <w:r w:rsidRPr="00426E27">
        <w:rPr>
          <w:rStyle w:val="Refdenotaderodap"/>
          <w:rFonts w:ascii="Times New Roman" w:hAnsi="Times New Roman" w:cs="Times New Roman"/>
          <w:sz w:val="20"/>
          <w:szCs w:val="20"/>
        </w:rPr>
        <w:footnoteRef/>
      </w:r>
      <w:r w:rsidRPr="00F12387">
        <w:rPr>
          <w:rFonts w:ascii="Times New Roman" w:hAnsi="Times New Roman" w:cs="Times New Roman"/>
          <w:sz w:val="20"/>
          <w:szCs w:val="20"/>
          <w:lang w:val="en-US"/>
        </w:rPr>
        <w:t xml:space="preserve"> GONÇALVES, 2012, p. 165</w:t>
      </w:r>
    </w:p>
  </w:footnote>
  <w:footnote w:id="13">
    <w:p w:rsidR="002E4716" w:rsidRPr="00FC2523" w:rsidRDefault="002E4716" w:rsidP="00FC2523">
      <w:pPr>
        <w:pStyle w:val="SemEspaamento"/>
        <w:jc w:val="both"/>
        <w:rPr>
          <w:rFonts w:ascii="Times New Roman" w:hAnsi="Times New Roman" w:cs="Times New Roman"/>
          <w:sz w:val="20"/>
          <w:szCs w:val="20"/>
          <w:lang w:eastAsia="pt-BR"/>
        </w:rPr>
      </w:pPr>
      <w:r w:rsidRPr="00FC2523">
        <w:rPr>
          <w:rStyle w:val="Refdenotaderodap"/>
          <w:rFonts w:ascii="Times New Roman" w:hAnsi="Times New Roman" w:cs="Times New Roman"/>
          <w:sz w:val="20"/>
          <w:szCs w:val="20"/>
        </w:rPr>
        <w:footnoteRef/>
      </w:r>
      <w:r w:rsidRPr="00F12387">
        <w:rPr>
          <w:rFonts w:ascii="Times New Roman" w:hAnsi="Times New Roman" w:cs="Times New Roman"/>
          <w:sz w:val="20"/>
          <w:szCs w:val="20"/>
          <w:lang w:val="en-US"/>
        </w:rPr>
        <w:t xml:space="preserve"> </w:t>
      </w:r>
      <w:r w:rsidRPr="00F12387">
        <w:rPr>
          <w:rFonts w:ascii="Times New Roman" w:hAnsi="Times New Roman" w:cs="Times New Roman"/>
          <w:sz w:val="20"/>
          <w:szCs w:val="20"/>
          <w:lang w:val="en-US" w:eastAsia="pt-BR"/>
        </w:rPr>
        <w:t>Art. 1.315</w:t>
      </w:r>
      <w:r w:rsidR="00FF42A3" w:rsidRPr="00F12387">
        <w:rPr>
          <w:rFonts w:ascii="Times New Roman" w:hAnsi="Times New Roman" w:cs="Times New Roman"/>
          <w:sz w:val="20"/>
          <w:szCs w:val="20"/>
          <w:lang w:val="en-US" w:eastAsia="pt-BR"/>
        </w:rPr>
        <w:t xml:space="preserve"> </w:t>
      </w:r>
      <w:r w:rsidR="00FF42A3" w:rsidRPr="00F12387">
        <w:rPr>
          <w:rFonts w:ascii="Times New Roman" w:eastAsia="Times New Roman" w:hAnsi="Times New Roman" w:cs="Times New Roman"/>
          <w:color w:val="000000"/>
          <w:sz w:val="20"/>
          <w:szCs w:val="20"/>
          <w:lang w:val="en-US" w:eastAsia="pt-BR"/>
        </w:rPr>
        <w:t>do CC/2002</w:t>
      </w:r>
      <w:r w:rsidRPr="00F12387">
        <w:rPr>
          <w:rFonts w:ascii="Times New Roman" w:hAnsi="Times New Roman" w:cs="Times New Roman"/>
          <w:sz w:val="20"/>
          <w:szCs w:val="20"/>
          <w:lang w:val="en-US" w:eastAsia="pt-BR"/>
        </w:rPr>
        <w:t xml:space="preserve">. </w:t>
      </w:r>
      <w:r w:rsidRPr="00FC2523">
        <w:rPr>
          <w:rFonts w:ascii="Times New Roman" w:hAnsi="Times New Roman" w:cs="Times New Roman"/>
          <w:sz w:val="20"/>
          <w:szCs w:val="20"/>
          <w:lang w:eastAsia="pt-BR"/>
        </w:rPr>
        <w:t>O condômino é obrigado, na proporção de sua parte, a concorrer para as despesas de conservação ou divisão da coisa, e a suportar os ônus a que estiver sujeita.</w:t>
      </w:r>
    </w:p>
    <w:p w:rsidR="002E4716" w:rsidRPr="00FC2523" w:rsidRDefault="002E4716" w:rsidP="00FC2523">
      <w:pPr>
        <w:pStyle w:val="SemEspaamento"/>
        <w:jc w:val="both"/>
        <w:rPr>
          <w:rFonts w:ascii="Times New Roman" w:hAnsi="Times New Roman" w:cs="Times New Roman"/>
          <w:sz w:val="20"/>
          <w:szCs w:val="20"/>
          <w:lang w:eastAsia="pt-BR"/>
        </w:rPr>
      </w:pPr>
      <w:r w:rsidRPr="00FC2523">
        <w:rPr>
          <w:rFonts w:ascii="Times New Roman" w:hAnsi="Times New Roman" w:cs="Times New Roman"/>
          <w:sz w:val="20"/>
          <w:szCs w:val="20"/>
          <w:lang w:eastAsia="pt-BR"/>
        </w:rPr>
        <w:t>Parágrafo único. Presumem-se iguais as partes ideais dos condôminos.</w:t>
      </w:r>
    </w:p>
    <w:p w:rsidR="002E4716" w:rsidRPr="00FC2523" w:rsidRDefault="002E4716" w:rsidP="00FC2523">
      <w:pPr>
        <w:pStyle w:val="SemEspaamento"/>
        <w:jc w:val="both"/>
        <w:rPr>
          <w:rFonts w:ascii="Times New Roman" w:hAnsi="Times New Roman" w:cs="Times New Roman"/>
          <w:sz w:val="20"/>
          <w:szCs w:val="20"/>
        </w:rPr>
      </w:pPr>
    </w:p>
  </w:footnote>
  <w:footnote w:id="14">
    <w:p w:rsidR="002E4716" w:rsidRPr="00FC2523" w:rsidRDefault="002E4716" w:rsidP="00FC2523">
      <w:pPr>
        <w:pStyle w:val="SemEspaamento"/>
        <w:jc w:val="both"/>
        <w:rPr>
          <w:rFonts w:ascii="Times New Roman" w:eastAsia="Times New Roman" w:hAnsi="Times New Roman" w:cs="Times New Roman"/>
          <w:color w:val="000000"/>
          <w:sz w:val="20"/>
          <w:szCs w:val="20"/>
          <w:lang w:eastAsia="pt-BR"/>
        </w:rPr>
      </w:pPr>
      <w:r w:rsidRPr="00FC2523">
        <w:rPr>
          <w:rStyle w:val="Refdenotaderodap"/>
          <w:rFonts w:ascii="Times New Roman" w:hAnsi="Times New Roman" w:cs="Times New Roman"/>
          <w:sz w:val="20"/>
          <w:szCs w:val="20"/>
        </w:rPr>
        <w:footnoteRef/>
      </w:r>
      <w:r w:rsidRPr="00FC2523">
        <w:rPr>
          <w:rFonts w:ascii="Times New Roman" w:hAnsi="Times New Roman" w:cs="Times New Roman"/>
          <w:sz w:val="20"/>
          <w:szCs w:val="20"/>
        </w:rPr>
        <w:t xml:space="preserve"> </w:t>
      </w:r>
      <w:r w:rsidRPr="00FC2523">
        <w:rPr>
          <w:rFonts w:ascii="Times New Roman" w:eastAsia="Times New Roman" w:hAnsi="Times New Roman" w:cs="Times New Roman"/>
          <w:color w:val="000000"/>
          <w:sz w:val="20"/>
          <w:szCs w:val="20"/>
          <w:lang w:eastAsia="pt-BR"/>
        </w:rPr>
        <w:t>Art. 1.317</w:t>
      </w:r>
      <w:r w:rsidR="00FF42A3">
        <w:rPr>
          <w:rFonts w:ascii="Times New Roman" w:eastAsia="Times New Roman" w:hAnsi="Times New Roman" w:cs="Times New Roman"/>
          <w:color w:val="000000"/>
          <w:sz w:val="20"/>
          <w:szCs w:val="20"/>
          <w:lang w:eastAsia="pt-BR"/>
        </w:rPr>
        <w:t xml:space="preserve"> do CC/2002</w:t>
      </w:r>
      <w:r w:rsidRPr="00FC2523">
        <w:rPr>
          <w:rFonts w:ascii="Times New Roman" w:eastAsia="Times New Roman" w:hAnsi="Times New Roman" w:cs="Times New Roman"/>
          <w:color w:val="000000"/>
          <w:sz w:val="20"/>
          <w:szCs w:val="20"/>
          <w:lang w:eastAsia="pt-BR"/>
        </w:rPr>
        <w:t>. Quando a dívida houver sido contraída por todos os condôminos, sem se discriminar a parte de cada um na obrigação, nem se estipular solidariedade, entende-se que cada qual se obrigou proporcionalmente ao seu quinhão na coisa comum.</w:t>
      </w:r>
    </w:p>
    <w:p w:rsidR="002E4716" w:rsidRPr="00FC2523" w:rsidRDefault="002E4716" w:rsidP="00FC2523">
      <w:pPr>
        <w:pStyle w:val="SemEspaamento"/>
        <w:jc w:val="both"/>
        <w:rPr>
          <w:rFonts w:ascii="Times New Roman" w:eastAsia="Times New Roman" w:hAnsi="Times New Roman" w:cs="Times New Roman"/>
          <w:color w:val="000000"/>
          <w:sz w:val="20"/>
          <w:szCs w:val="20"/>
          <w:lang w:eastAsia="pt-BR"/>
        </w:rPr>
      </w:pPr>
      <w:r w:rsidRPr="00FC2523">
        <w:rPr>
          <w:rFonts w:ascii="Times New Roman" w:eastAsia="Times New Roman" w:hAnsi="Times New Roman" w:cs="Times New Roman"/>
          <w:color w:val="000000"/>
          <w:sz w:val="20"/>
          <w:szCs w:val="20"/>
          <w:lang w:eastAsia="pt-BR"/>
        </w:rPr>
        <w:t>Art. 1.318</w:t>
      </w:r>
      <w:r w:rsidR="00FF42A3">
        <w:rPr>
          <w:rFonts w:ascii="Times New Roman" w:eastAsia="Times New Roman" w:hAnsi="Times New Roman" w:cs="Times New Roman"/>
          <w:color w:val="000000"/>
          <w:sz w:val="20"/>
          <w:szCs w:val="20"/>
          <w:lang w:eastAsia="pt-BR"/>
        </w:rPr>
        <w:t xml:space="preserve"> do CC/2002</w:t>
      </w:r>
      <w:r w:rsidRPr="00FC2523">
        <w:rPr>
          <w:rFonts w:ascii="Times New Roman" w:eastAsia="Times New Roman" w:hAnsi="Times New Roman" w:cs="Times New Roman"/>
          <w:color w:val="000000"/>
          <w:sz w:val="20"/>
          <w:szCs w:val="20"/>
          <w:lang w:eastAsia="pt-BR"/>
        </w:rPr>
        <w:t>. As dívidas contraídas por um dos condôminos em proveito da comunhão, e durante ela, obrigam o contratante; mas terá este ação regressiva contra os demais.</w:t>
      </w:r>
    </w:p>
    <w:p w:rsidR="002E4716" w:rsidRDefault="002E4716">
      <w:pPr>
        <w:pStyle w:val="Textodenotaderodap"/>
      </w:pPr>
    </w:p>
  </w:footnote>
  <w:footnote w:id="15">
    <w:p w:rsidR="002E4716" w:rsidRDefault="002E4716" w:rsidP="008C3F9C">
      <w:pPr>
        <w:pStyle w:val="SemEspaamento"/>
      </w:pPr>
      <w:r w:rsidRPr="008C3F9C">
        <w:rPr>
          <w:rStyle w:val="Refdenotaderodap"/>
          <w:rFonts w:ascii="Times New Roman" w:hAnsi="Times New Roman" w:cs="Times New Roman"/>
          <w:sz w:val="20"/>
          <w:szCs w:val="20"/>
        </w:rPr>
        <w:footnoteRef/>
      </w:r>
      <w:r w:rsidRPr="008C3F9C">
        <w:rPr>
          <w:rFonts w:ascii="Times New Roman" w:hAnsi="Times New Roman" w:cs="Times New Roman"/>
          <w:sz w:val="20"/>
          <w:szCs w:val="20"/>
        </w:rPr>
        <w:t xml:space="preserve"> </w:t>
      </w:r>
      <w:r w:rsidRPr="008C3F9C">
        <w:rPr>
          <w:rFonts w:ascii="Times New Roman" w:hAnsi="Times New Roman" w:cs="Times New Roman"/>
          <w:sz w:val="20"/>
          <w:szCs w:val="20"/>
          <w:lang w:eastAsia="pt-BR"/>
        </w:rPr>
        <w:t>Art. 1.320</w:t>
      </w:r>
      <w:r w:rsidR="00FF42A3">
        <w:rPr>
          <w:rFonts w:ascii="Times New Roman" w:hAnsi="Times New Roman" w:cs="Times New Roman"/>
          <w:sz w:val="20"/>
          <w:szCs w:val="20"/>
          <w:lang w:eastAsia="pt-BR"/>
        </w:rPr>
        <w:t xml:space="preserve"> </w:t>
      </w:r>
      <w:r w:rsidR="00FF42A3">
        <w:rPr>
          <w:rFonts w:ascii="Times New Roman" w:eastAsia="Times New Roman" w:hAnsi="Times New Roman" w:cs="Times New Roman"/>
          <w:color w:val="000000"/>
          <w:sz w:val="20"/>
          <w:szCs w:val="20"/>
          <w:lang w:eastAsia="pt-BR"/>
        </w:rPr>
        <w:t>do CC/2002</w:t>
      </w:r>
      <w:r w:rsidRPr="008C3F9C">
        <w:rPr>
          <w:rFonts w:ascii="Times New Roman" w:hAnsi="Times New Roman" w:cs="Times New Roman"/>
          <w:sz w:val="20"/>
          <w:szCs w:val="20"/>
          <w:lang w:eastAsia="pt-BR"/>
        </w:rPr>
        <w:t>. A todo tempo será lícito ao condômino exigir a divisão da coisa comum, respondendo o quinhão de cada um pela sua parte nas despesas da divisão.</w:t>
      </w:r>
    </w:p>
  </w:footnote>
  <w:footnote w:id="16">
    <w:p w:rsidR="002E4716" w:rsidRDefault="002E4716" w:rsidP="00B90B01">
      <w:pPr>
        <w:spacing w:before="100" w:beforeAutospacing="1" w:after="100" w:afterAutospacing="1" w:line="240" w:lineRule="auto"/>
        <w:jc w:val="both"/>
      </w:pPr>
      <w:r w:rsidRPr="008C3F9C">
        <w:rPr>
          <w:rStyle w:val="Refdenotaderodap"/>
          <w:rFonts w:ascii="Times New Roman" w:hAnsi="Times New Roman" w:cs="Times New Roman"/>
          <w:sz w:val="20"/>
          <w:szCs w:val="20"/>
        </w:rPr>
        <w:footnoteRef/>
      </w:r>
      <w:r w:rsidRPr="008C3F9C">
        <w:rPr>
          <w:rFonts w:ascii="Times New Roman" w:hAnsi="Times New Roman" w:cs="Times New Roman"/>
          <w:sz w:val="20"/>
          <w:szCs w:val="20"/>
        </w:rPr>
        <w:t xml:space="preserve"> </w:t>
      </w:r>
      <w:r w:rsidRPr="008C3F9C">
        <w:rPr>
          <w:rFonts w:ascii="Times New Roman" w:eastAsia="Times New Roman" w:hAnsi="Times New Roman" w:cs="Times New Roman"/>
          <w:color w:val="000000"/>
          <w:sz w:val="20"/>
          <w:szCs w:val="20"/>
          <w:lang w:eastAsia="pt-BR"/>
        </w:rPr>
        <w:t>Art. 2.016</w:t>
      </w:r>
      <w:r w:rsidR="00FF42A3">
        <w:rPr>
          <w:rFonts w:ascii="Times New Roman" w:eastAsia="Times New Roman" w:hAnsi="Times New Roman" w:cs="Times New Roman"/>
          <w:color w:val="000000"/>
          <w:sz w:val="20"/>
          <w:szCs w:val="20"/>
          <w:lang w:eastAsia="pt-BR"/>
        </w:rPr>
        <w:t xml:space="preserve"> do CC/2002</w:t>
      </w:r>
      <w:r w:rsidRPr="008C3F9C">
        <w:rPr>
          <w:rFonts w:ascii="Times New Roman" w:eastAsia="Times New Roman" w:hAnsi="Times New Roman" w:cs="Times New Roman"/>
          <w:color w:val="000000"/>
          <w:sz w:val="20"/>
          <w:szCs w:val="20"/>
          <w:lang w:eastAsia="pt-BR"/>
        </w:rPr>
        <w:t>. Será sempre judicial a partilha, se os herdeiros divergirem, assim como se algum deles for incapaz.</w:t>
      </w:r>
    </w:p>
  </w:footnote>
  <w:footnote w:id="17">
    <w:p w:rsidR="002E4716" w:rsidRPr="00B90B01" w:rsidRDefault="002E4716" w:rsidP="00B90B01">
      <w:pPr>
        <w:pStyle w:val="SemEspaamento"/>
        <w:jc w:val="both"/>
        <w:rPr>
          <w:rFonts w:ascii="Times New Roman" w:hAnsi="Times New Roman" w:cs="Times New Roman"/>
          <w:sz w:val="20"/>
          <w:szCs w:val="20"/>
          <w:lang w:eastAsia="pt-BR"/>
        </w:rPr>
      </w:pPr>
      <w:r w:rsidRPr="00B90B01">
        <w:rPr>
          <w:rStyle w:val="Refdenotaderodap"/>
          <w:rFonts w:ascii="Times New Roman" w:hAnsi="Times New Roman" w:cs="Times New Roman"/>
          <w:sz w:val="20"/>
          <w:szCs w:val="20"/>
        </w:rPr>
        <w:footnoteRef/>
      </w:r>
      <w:r w:rsidRPr="00B90B01">
        <w:rPr>
          <w:rFonts w:ascii="Times New Roman" w:hAnsi="Times New Roman" w:cs="Times New Roman"/>
          <w:sz w:val="20"/>
          <w:szCs w:val="20"/>
        </w:rPr>
        <w:t xml:space="preserve"> </w:t>
      </w:r>
      <w:r w:rsidRPr="00B90B01">
        <w:rPr>
          <w:rFonts w:ascii="Times New Roman" w:hAnsi="Times New Roman" w:cs="Times New Roman"/>
          <w:sz w:val="20"/>
          <w:szCs w:val="20"/>
          <w:lang w:eastAsia="pt-BR"/>
        </w:rPr>
        <w:t>Art. 1.322</w:t>
      </w:r>
      <w:r w:rsidR="00FF42A3">
        <w:rPr>
          <w:rFonts w:ascii="Times New Roman" w:hAnsi="Times New Roman" w:cs="Times New Roman"/>
          <w:sz w:val="20"/>
          <w:szCs w:val="20"/>
          <w:lang w:eastAsia="pt-BR"/>
        </w:rPr>
        <w:t xml:space="preserve"> </w:t>
      </w:r>
      <w:r w:rsidR="00FF42A3">
        <w:rPr>
          <w:rFonts w:ascii="Times New Roman" w:eastAsia="Times New Roman" w:hAnsi="Times New Roman" w:cs="Times New Roman"/>
          <w:color w:val="000000"/>
          <w:sz w:val="20"/>
          <w:szCs w:val="20"/>
          <w:lang w:eastAsia="pt-BR"/>
        </w:rPr>
        <w:t>do CC/2002</w:t>
      </w:r>
      <w:r w:rsidRPr="00B90B01">
        <w:rPr>
          <w:rFonts w:ascii="Times New Roman" w:hAnsi="Times New Roman" w:cs="Times New Roman"/>
          <w:sz w:val="20"/>
          <w:szCs w:val="20"/>
          <w:lang w:eastAsia="pt-BR"/>
        </w:rPr>
        <w:t>. Quando a coisa for indivisível, e os consortes não quiserem adjudicá-la a um só, indenizando os outros, será vendida e repartido o apurado, preferindo-se, na venda, em condições iguais de oferta, o condômino ao estranho, e entre os condôminos aquele que tiver na coisa benfeitorias mais valiosas, e, não as havendo, o de quinhão maior.</w:t>
      </w:r>
    </w:p>
    <w:p w:rsidR="002E4716" w:rsidRPr="0094245D" w:rsidRDefault="002E4716" w:rsidP="0094245D">
      <w:pPr>
        <w:pStyle w:val="SemEspaamento"/>
        <w:jc w:val="both"/>
        <w:rPr>
          <w:rFonts w:ascii="Times New Roman" w:hAnsi="Times New Roman" w:cs="Times New Roman"/>
          <w:sz w:val="20"/>
          <w:szCs w:val="20"/>
          <w:lang w:eastAsia="pt-BR"/>
        </w:rPr>
      </w:pPr>
      <w:r w:rsidRPr="00B90B01">
        <w:rPr>
          <w:rFonts w:ascii="Times New Roman" w:hAnsi="Times New Roman" w:cs="Times New Roman"/>
          <w:sz w:val="20"/>
          <w:szCs w:val="20"/>
          <w:lang w:eastAsia="pt-BR"/>
        </w:rPr>
        <w:t>Parágrafo único. Se nenhum dos condôminos tem benfeitorias na coisa comum e participam todos do condomínio em partes iguais, realizar-se-á licitação entre estranhos e, antes de adjudicada a coisa àquele que ofereceu maior lanço, proceder-se-á à licitação entre os condôminos, a fim de que a coisa seja adjudicada a quem afinal oferecer melhor lanço, preferindo, em condições i</w:t>
      </w:r>
      <w:r>
        <w:rPr>
          <w:rFonts w:ascii="Times New Roman" w:hAnsi="Times New Roman" w:cs="Times New Roman"/>
          <w:sz w:val="20"/>
          <w:szCs w:val="20"/>
          <w:lang w:eastAsia="pt-BR"/>
        </w:rPr>
        <w:t>guais, o condômino ao estranho.</w:t>
      </w:r>
    </w:p>
  </w:footnote>
  <w:footnote w:id="18">
    <w:p w:rsidR="002E4716" w:rsidRPr="00A71C5E" w:rsidRDefault="002E4716" w:rsidP="00A71C5E">
      <w:pPr>
        <w:pStyle w:val="SemEspaamento"/>
        <w:jc w:val="both"/>
        <w:rPr>
          <w:rFonts w:ascii="Times New Roman" w:hAnsi="Times New Roman" w:cs="Times New Roman"/>
          <w:sz w:val="20"/>
          <w:szCs w:val="20"/>
        </w:rPr>
      </w:pPr>
      <w:r w:rsidRPr="00A71C5E">
        <w:rPr>
          <w:rStyle w:val="Refdenotaderodap"/>
          <w:rFonts w:ascii="Times New Roman" w:hAnsi="Times New Roman" w:cs="Times New Roman"/>
          <w:sz w:val="20"/>
          <w:szCs w:val="20"/>
        </w:rPr>
        <w:footnoteRef/>
      </w:r>
      <w:r w:rsidRPr="00A71C5E">
        <w:rPr>
          <w:rFonts w:ascii="Times New Roman" w:hAnsi="Times New Roman" w:cs="Times New Roman"/>
          <w:sz w:val="20"/>
          <w:szCs w:val="20"/>
        </w:rPr>
        <w:t xml:space="preserve"> Artigo 1.328 do CC/2002</w:t>
      </w:r>
    </w:p>
  </w:footnote>
  <w:footnote w:id="19">
    <w:p w:rsidR="002E4716" w:rsidRPr="00A71C5E" w:rsidRDefault="002E4716" w:rsidP="00A71C5E">
      <w:pPr>
        <w:pStyle w:val="SemEspaamento"/>
        <w:jc w:val="both"/>
        <w:rPr>
          <w:rFonts w:ascii="Times New Roman" w:hAnsi="Times New Roman" w:cs="Times New Roman"/>
          <w:sz w:val="20"/>
          <w:szCs w:val="20"/>
        </w:rPr>
      </w:pPr>
      <w:r w:rsidRPr="00A71C5E">
        <w:rPr>
          <w:rStyle w:val="Refdenotaderodap"/>
          <w:rFonts w:ascii="Times New Roman" w:hAnsi="Times New Roman" w:cs="Times New Roman"/>
          <w:sz w:val="20"/>
          <w:szCs w:val="20"/>
        </w:rPr>
        <w:footnoteRef/>
      </w:r>
      <w:r w:rsidRPr="00A71C5E">
        <w:rPr>
          <w:rFonts w:ascii="Times New Roman" w:hAnsi="Times New Roman" w:cs="Times New Roman"/>
          <w:sz w:val="20"/>
          <w:szCs w:val="20"/>
        </w:rPr>
        <w:t xml:space="preserve"> Artigos 1.329 e 1.330 do CC/02</w:t>
      </w:r>
    </w:p>
  </w:footnote>
  <w:footnote w:id="20">
    <w:p w:rsidR="002E4716" w:rsidRPr="00B25BF5" w:rsidRDefault="002E4716">
      <w:pPr>
        <w:pStyle w:val="Textodenotaderodap"/>
        <w:rPr>
          <w:rFonts w:ascii="Times New Roman" w:hAnsi="Times New Roman" w:cs="Times New Roman"/>
        </w:rPr>
      </w:pPr>
      <w:r w:rsidRPr="00B25BF5">
        <w:rPr>
          <w:rStyle w:val="Refdenotaderodap"/>
          <w:rFonts w:ascii="Times New Roman" w:hAnsi="Times New Roman" w:cs="Times New Roman"/>
        </w:rPr>
        <w:footnoteRef/>
      </w:r>
      <w:r w:rsidRPr="00B25BF5">
        <w:rPr>
          <w:rFonts w:ascii="Times New Roman" w:hAnsi="Times New Roman" w:cs="Times New Roman"/>
        </w:rPr>
        <w:t xml:space="preserve"> SOARES, 2010, p. 490</w:t>
      </w:r>
    </w:p>
  </w:footnote>
  <w:footnote w:id="21">
    <w:p w:rsidR="002E4716" w:rsidRPr="00A71C5E" w:rsidRDefault="002E4716" w:rsidP="00A71C5E">
      <w:pPr>
        <w:pStyle w:val="SemEspaamento"/>
        <w:jc w:val="both"/>
        <w:rPr>
          <w:rFonts w:ascii="Times New Roman" w:hAnsi="Times New Roman" w:cs="Times New Roman"/>
          <w:sz w:val="20"/>
          <w:szCs w:val="20"/>
        </w:rPr>
      </w:pPr>
      <w:r w:rsidRPr="00A71C5E">
        <w:rPr>
          <w:rStyle w:val="Refdenotaderodap"/>
          <w:rFonts w:ascii="Times New Roman" w:hAnsi="Times New Roman" w:cs="Times New Roman"/>
          <w:sz w:val="20"/>
          <w:szCs w:val="20"/>
        </w:rPr>
        <w:footnoteRef/>
      </w:r>
      <w:r w:rsidRPr="00A71C5E">
        <w:rPr>
          <w:rFonts w:ascii="Times New Roman" w:hAnsi="Times New Roman" w:cs="Times New Roman"/>
          <w:sz w:val="20"/>
          <w:szCs w:val="20"/>
        </w:rPr>
        <w:t xml:space="preserve"> MONTEIRO, 2011, p. 282</w:t>
      </w:r>
    </w:p>
  </w:footnote>
  <w:footnote w:id="22">
    <w:p w:rsidR="002E4716" w:rsidRPr="00A71C5E" w:rsidRDefault="002E4716" w:rsidP="00A71C5E">
      <w:pPr>
        <w:pStyle w:val="SemEspaamento"/>
        <w:jc w:val="both"/>
        <w:rPr>
          <w:rFonts w:ascii="Times New Roman" w:hAnsi="Times New Roman" w:cs="Times New Roman"/>
          <w:sz w:val="20"/>
          <w:szCs w:val="20"/>
        </w:rPr>
      </w:pPr>
      <w:r>
        <w:rPr>
          <w:rStyle w:val="Refdenotaderodap"/>
        </w:rPr>
        <w:footnoteRef/>
      </w:r>
      <w:r>
        <w:t xml:space="preserve"> </w:t>
      </w:r>
      <w:r w:rsidRPr="00A71C5E">
        <w:rPr>
          <w:rFonts w:ascii="Times New Roman" w:hAnsi="Times New Roman" w:cs="Times New Roman"/>
          <w:sz w:val="20"/>
          <w:szCs w:val="20"/>
          <w:lang w:eastAsia="pt-BR"/>
        </w:rPr>
        <w:t>Art. 1.331</w:t>
      </w:r>
      <w:r w:rsidR="00FF42A3">
        <w:rPr>
          <w:rFonts w:ascii="Times New Roman" w:hAnsi="Times New Roman" w:cs="Times New Roman"/>
          <w:sz w:val="20"/>
          <w:szCs w:val="20"/>
          <w:lang w:eastAsia="pt-BR"/>
        </w:rPr>
        <w:t xml:space="preserve"> </w:t>
      </w:r>
      <w:r w:rsidR="00FF42A3">
        <w:rPr>
          <w:rFonts w:ascii="Times New Roman" w:eastAsia="Times New Roman" w:hAnsi="Times New Roman" w:cs="Times New Roman"/>
          <w:color w:val="000000"/>
          <w:sz w:val="20"/>
          <w:szCs w:val="20"/>
          <w:lang w:eastAsia="pt-BR"/>
        </w:rPr>
        <w:t>do CC/2002</w:t>
      </w:r>
      <w:r w:rsidRPr="00A71C5E">
        <w:rPr>
          <w:rFonts w:ascii="Times New Roman" w:hAnsi="Times New Roman" w:cs="Times New Roman"/>
          <w:sz w:val="20"/>
          <w:szCs w:val="20"/>
          <w:lang w:eastAsia="pt-BR"/>
        </w:rPr>
        <w:t>. Pode haver, em edificações, partes que são propriedade exclusiva, e partes que são propriedade comum dos condôminos</w:t>
      </w:r>
      <w:r>
        <w:rPr>
          <w:rFonts w:ascii="Times New Roman" w:hAnsi="Times New Roman" w:cs="Times New Roman"/>
          <w:sz w:val="20"/>
          <w:szCs w:val="20"/>
          <w:lang w:eastAsia="pt-BR"/>
        </w:rPr>
        <w:t>.</w:t>
      </w:r>
    </w:p>
  </w:footnote>
  <w:footnote w:id="23">
    <w:p w:rsidR="002E4716" w:rsidRPr="00885858" w:rsidRDefault="002E4716">
      <w:pPr>
        <w:pStyle w:val="Textodenotaderodap"/>
        <w:rPr>
          <w:rFonts w:ascii="Times New Roman" w:hAnsi="Times New Roman" w:cs="Times New Roman"/>
        </w:rPr>
      </w:pPr>
      <w:r>
        <w:rPr>
          <w:rStyle w:val="Refdenotaderodap"/>
        </w:rPr>
        <w:footnoteRef/>
      </w:r>
      <w:r>
        <w:t xml:space="preserve"> </w:t>
      </w:r>
      <w:r w:rsidRPr="00885858">
        <w:rPr>
          <w:rFonts w:ascii="Times New Roman" w:hAnsi="Times New Roman" w:cs="Times New Roman"/>
        </w:rPr>
        <w:t>PEREIRA, 2011, p. 159.</w:t>
      </w:r>
    </w:p>
  </w:footnote>
  <w:footnote w:id="24">
    <w:p w:rsidR="002E4716" w:rsidRPr="00BB719A" w:rsidRDefault="002E4716">
      <w:pPr>
        <w:pStyle w:val="Textodenotaderodap"/>
        <w:rPr>
          <w:rFonts w:ascii="Times New Roman" w:hAnsi="Times New Roman" w:cs="Times New Roman"/>
        </w:rPr>
      </w:pPr>
      <w:r>
        <w:rPr>
          <w:rStyle w:val="Refdenotaderodap"/>
        </w:rPr>
        <w:footnoteRef/>
      </w:r>
      <w:r>
        <w:t xml:space="preserve"> </w:t>
      </w:r>
      <w:r w:rsidRPr="00BB719A">
        <w:rPr>
          <w:rFonts w:ascii="Times New Roman" w:hAnsi="Times New Roman" w:cs="Times New Roman"/>
        </w:rPr>
        <w:t>PEREIRA, 2011, p. 161</w:t>
      </w:r>
    </w:p>
  </w:footnote>
  <w:footnote w:id="25">
    <w:p w:rsidR="002E4716" w:rsidRPr="00334365" w:rsidRDefault="002E4716">
      <w:pPr>
        <w:pStyle w:val="Textodenotaderodap"/>
        <w:rPr>
          <w:rFonts w:ascii="Times New Roman" w:hAnsi="Times New Roman" w:cs="Times New Roman"/>
        </w:rPr>
      </w:pPr>
      <w:r>
        <w:rPr>
          <w:rStyle w:val="Refdenotaderodap"/>
        </w:rPr>
        <w:footnoteRef/>
      </w:r>
      <w:r>
        <w:t xml:space="preserve"> </w:t>
      </w:r>
      <w:r w:rsidRPr="00334365">
        <w:rPr>
          <w:rFonts w:ascii="Times New Roman" w:hAnsi="Times New Roman" w:cs="Times New Roman"/>
        </w:rPr>
        <w:t>SILVEIRA, 2010, p. 515</w:t>
      </w:r>
    </w:p>
  </w:footnote>
  <w:footnote w:id="26">
    <w:p w:rsidR="002E4716" w:rsidRDefault="002E4716">
      <w:pPr>
        <w:pStyle w:val="Textodenotaderodap"/>
      </w:pPr>
      <w:r>
        <w:rPr>
          <w:rStyle w:val="Refdenotaderodap"/>
        </w:rPr>
        <w:footnoteRef/>
      </w:r>
      <w:r>
        <w:t xml:space="preserve"> </w:t>
      </w:r>
      <w:r w:rsidRPr="002D48DA">
        <w:rPr>
          <w:rFonts w:ascii="Times New Roman" w:hAnsi="Times New Roman" w:cs="Times New Roman"/>
        </w:rPr>
        <w:t>DINIZ, 2011, p. 241.</w:t>
      </w:r>
    </w:p>
  </w:footnote>
  <w:footnote w:id="27">
    <w:p w:rsidR="002E4716" w:rsidRPr="002D48DA" w:rsidRDefault="002E4716">
      <w:pPr>
        <w:pStyle w:val="Textodenotaderodap"/>
        <w:rPr>
          <w:rFonts w:ascii="Times New Roman" w:hAnsi="Times New Roman" w:cs="Times New Roman"/>
        </w:rPr>
      </w:pPr>
      <w:r>
        <w:rPr>
          <w:rStyle w:val="Refdenotaderodap"/>
        </w:rPr>
        <w:footnoteRef/>
      </w:r>
      <w:r>
        <w:t xml:space="preserve"> </w:t>
      </w:r>
      <w:r w:rsidRPr="002D48DA">
        <w:rPr>
          <w:rFonts w:ascii="Times New Roman" w:hAnsi="Times New Roman" w:cs="Times New Roman"/>
        </w:rPr>
        <w:t>MALUF, 2005, p. 7</w:t>
      </w:r>
    </w:p>
  </w:footnote>
  <w:footnote w:id="28">
    <w:p w:rsidR="002E4716" w:rsidRDefault="002E4716">
      <w:pPr>
        <w:pStyle w:val="Textodenotaderodap"/>
      </w:pPr>
      <w:r>
        <w:rPr>
          <w:rStyle w:val="Refdenotaderodap"/>
        </w:rPr>
        <w:footnoteRef/>
      </w:r>
      <w:r>
        <w:t xml:space="preserve"> </w:t>
      </w:r>
      <w:r w:rsidRPr="002D48DA">
        <w:rPr>
          <w:rFonts w:ascii="Times New Roman" w:hAnsi="Times New Roman" w:cs="Times New Roman"/>
        </w:rPr>
        <w:t>MONTEIRO, 2011, p. 285</w:t>
      </w:r>
    </w:p>
  </w:footnote>
  <w:footnote w:id="29">
    <w:p w:rsidR="002E4716" w:rsidRPr="00E85280" w:rsidRDefault="002E4716">
      <w:pPr>
        <w:pStyle w:val="Textodenotaderodap"/>
        <w:rPr>
          <w:rFonts w:ascii="Times New Roman" w:hAnsi="Times New Roman" w:cs="Times New Roman"/>
        </w:rPr>
      </w:pPr>
      <w:r w:rsidRPr="00E85280">
        <w:rPr>
          <w:rStyle w:val="Refdenotaderodap"/>
          <w:rFonts w:ascii="Times New Roman" w:hAnsi="Times New Roman" w:cs="Times New Roman"/>
        </w:rPr>
        <w:footnoteRef/>
      </w:r>
      <w:r w:rsidRPr="00E85280">
        <w:rPr>
          <w:rFonts w:ascii="Times New Roman" w:hAnsi="Times New Roman" w:cs="Times New Roman"/>
        </w:rPr>
        <w:t xml:space="preserve"> http://www.jurisway.org.br/v2/dhall.asp?id_dh=69</w:t>
      </w:r>
    </w:p>
  </w:footnote>
  <w:footnote w:id="30">
    <w:p w:rsidR="002E4716" w:rsidRPr="00033E88" w:rsidRDefault="002E4716">
      <w:pPr>
        <w:pStyle w:val="Textodenotaderodap"/>
        <w:rPr>
          <w:rFonts w:ascii="Times New Roman" w:hAnsi="Times New Roman" w:cs="Times New Roman"/>
        </w:rPr>
      </w:pPr>
      <w:r>
        <w:rPr>
          <w:rStyle w:val="Refdenotaderodap"/>
        </w:rPr>
        <w:footnoteRef/>
      </w:r>
      <w:r>
        <w:t xml:space="preserve"> </w:t>
      </w:r>
      <w:r w:rsidRPr="00033E88">
        <w:rPr>
          <w:rFonts w:ascii="Times New Roman" w:hAnsi="Times New Roman" w:cs="Times New Roman"/>
        </w:rPr>
        <w:t>Agravo de Instrumento nº</w:t>
      </w:r>
      <w:r>
        <w:rPr>
          <w:rFonts w:ascii="Times New Roman" w:hAnsi="Times New Roman" w:cs="Times New Roman"/>
        </w:rPr>
        <w:t xml:space="preserve"> 1.0027.08.175441-1/001(1),</w:t>
      </w:r>
      <w:r w:rsidRPr="00033E88">
        <w:rPr>
          <w:rFonts w:ascii="Times New Roman" w:hAnsi="Times New Roman" w:cs="Times New Roman"/>
        </w:rPr>
        <w:t xml:space="preserve"> 9ª Câmara Cível do TJMG, Rel.Des. Pedro Bernardes, J. 16.06.2009, DJO 20.07.2009</w:t>
      </w:r>
    </w:p>
  </w:footnote>
  <w:footnote w:id="31">
    <w:p w:rsidR="002E4716" w:rsidRPr="00F12387" w:rsidRDefault="002E4716">
      <w:pPr>
        <w:pStyle w:val="Textodenotaderodap"/>
        <w:rPr>
          <w:rFonts w:ascii="Times New Roman" w:hAnsi="Times New Roman" w:cs="Times New Roman"/>
          <w:lang w:val="en-US"/>
        </w:rPr>
      </w:pPr>
      <w:r w:rsidRPr="005F3AA2">
        <w:rPr>
          <w:rStyle w:val="Refdenotaderodap"/>
          <w:rFonts w:ascii="Times New Roman" w:hAnsi="Times New Roman" w:cs="Times New Roman"/>
        </w:rPr>
        <w:footnoteRef/>
      </w:r>
      <w:r w:rsidRPr="005F3AA2">
        <w:rPr>
          <w:rFonts w:ascii="Times New Roman" w:hAnsi="Times New Roman" w:cs="Times New Roman"/>
        </w:rPr>
        <w:t xml:space="preserve"> RECURSO ESPECIAL Nº 1.256.912 - AL (2011/0122978-6), Rel. </w:t>
      </w:r>
      <w:r w:rsidRPr="00F12387">
        <w:rPr>
          <w:rFonts w:ascii="Times New Roman" w:hAnsi="Times New Roman" w:cs="Times New Roman"/>
          <w:lang w:val="en-US"/>
        </w:rPr>
        <w:t>Min. Humberto Martins, DJE 13.02.2012</w:t>
      </w:r>
    </w:p>
  </w:footnote>
  <w:footnote w:id="32">
    <w:p w:rsidR="002E4716" w:rsidRPr="008E3617" w:rsidRDefault="002E4716" w:rsidP="008E3617">
      <w:pPr>
        <w:pStyle w:val="SemEspaamento"/>
        <w:jc w:val="both"/>
        <w:rPr>
          <w:rFonts w:ascii="Times New Roman" w:hAnsi="Times New Roman" w:cs="Times New Roman"/>
          <w:sz w:val="20"/>
          <w:szCs w:val="20"/>
          <w:lang w:eastAsia="pt-BR"/>
        </w:rPr>
      </w:pPr>
      <w:r w:rsidRPr="008E3617">
        <w:rPr>
          <w:rStyle w:val="Refdenotaderodap"/>
          <w:rFonts w:ascii="Times New Roman" w:hAnsi="Times New Roman" w:cs="Times New Roman"/>
          <w:sz w:val="20"/>
          <w:szCs w:val="20"/>
        </w:rPr>
        <w:footnoteRef/>
      </w:r>
      <w:r w:rsidRPr="00F12387">
        <w:rPr>
          <w:rFonts w:ascii="Times New Roman" w:hAnsi="Times New Roman" w:cs="Times New Roman"/>
          <w:sz w:val="20"/>
          <w:szCs w:val="20"/>
          <w:lang w:val="en-US"/>
        </w:rPr>
        <w:t xml:space="preserve"> </w:t>
      </w:r>
      <w:r w:rsidRPr="00F12387">
        <w:rPr>
          <w:rFonts w:ascii="Times New Roman" w:hAnsi="Times New Roman" w:cs="Times New Roman"/>
          <w:sz w:val="20"/>
          <w:szCs w:val="20"/>
          <w:lang w:val="en-US" w:eastAsia="pt-BR"/>
        </w:rPr>
        <w:t>Art. 1.331</w:t>
      </w:r>
      <w:r w:rsidR="00FF42A3" w:rsidRPr="00F12387">
        <w:rPr>
          <w:rFonts w:ascii="Times New Roman" w:hAnsi="Times New Roman" w:cs="Times New Roman"/>
          <w:sz w:val="20"/>
          <w:szCs w:val="20"/>
          <w:lang w:val="en-US" w:eastAsia="pt-BR"/>
        </w:rPr>
        <w:t xml:space="preserve"> </w:t>
      </w:r>
      <w:r w:rsidR="00FF42A3" w:rsidRPr="00F12387">
        <w:rPr>
          <w:rFonts w:ascii="Times New Roman" w:eastAsia="Times New Roman" w:hAnsi="Times New Roman" w:cs="Times New Roman"/>
          <w:color w:val="000000"/>
          <w:sz w:val="20"/>
          <w:szCs w:val="20"/>
          <w:lang w:val="en-US" w:eastAsia="pt-BR"/>
        </w:rPr>
        <w:t>do CC/2002</w:t>
      </w:r>
      <w:r w:rsidRPr="00F12387">
        <w:rPr>
          <w:rFonts w:ascii="Times New Roman" w:hAnsi="Times New Roman" w:cs="Times New Roman"/>
          <w:sz w:val="20"/>
          <w:szCs w:val="20"/>
          <w:lang w:val="en-US" w:eastAsia="pt-BR"/>
        </w:rPr>
        <w:t xml:space="preserve">. </w:t>
      </w:r>
      <w:r w:rsidRPr="008E3617">
        <w:rPr>
          <w:rFonts w:ascii="Times New Roman" w:hAnsi="Times New Roman" w:cs="Times New Roman"/>
          <w:sz w:val="20"/>
          <w:szCs w:val="20"/>
          <w:lang w:eastAsia="pt-BR"/>
        </w:rPr>
        <w:t>Pode haver, em edificações, partes que são propriedade exclusiva, e partes que são propriedade comum dos condôminos.</w:t>
      </w:r>
    </w:p>
    <w:p w:rsidR="002E4716" w:rsidRPr="008E3617" w:rsidRDefault="002E4716" w:rsidP="008E3617">
      <w:pPr>
        <w:pStyle w:val="SemEspaamento"/>
        <w:jc w:val="both"/>
        <w:rPr>
          <w:rFonts w:ascii="Times New Roman" w:hAnsi="Times New Roman" w:cs="Times New Roman"/>
          <w:sz w:val="20"/>
          <w:szCs w:val="20"/>
          <w:lang w:eastAsia="pt-BR"/>
        </w:rPr>
      </w:pPr>
      <w:r w:rsidRPr="008E3617">
        <w:rPr>
          <w:rFonts w:ascii="Times New Roman" w:hAnsi="Times New Roman" w:cs="Times New Roman"/>
          <w:sz w:val="20"/>
          <w:szCs w:val="20"/>
          <w:lang w:eastAsia="pt-BR"/>
        </w:rPr>
        <w:t>§ 1</w:t>
      </w:r>
      <w:r w:rsidRPr="008E3617">
        <w:rPr>
          <w:rFonts w:ascii="Times New Roman" w:hAnsi="Times New Roman" w:cs="Times New Roman"/>
          <w:sz w:val="20"/>
          <w:szCs w:val="20"/>
          <w:u w:val="single"/>
          <w:vertAlign w:val="superscript"/>
          <w:lang w:eastAsia="pt-BR"/>
        </w:rPr>
        <w:t>o</w:t>
      </w:r>
      <w:r w:rsidRPr="008E3617">
        <w:rPr>
          <w:rFonts w:ascii="Times New Roman" w:hAnsi="Times New Roman" w:cs="Times New Roman"/>
          <w:sz w:val="20"/>
          <w:szCs w:val="20"/>
          <w:lang w:eastAsia="pt-BR"/>
        </w:rPr>
        <w:t xml:space="preserve"> As partes suscetíveis de utilização independente, tais como apartamentos, escritórios, salas, lojas, sobrelojas ou abrigos para veículos, com as respectivas frações ideais no solo e nas outras partes comuns, sujeitam-se a propriedade exclusiva, podendo ser alienadas e gravadas livremente por seus proprietários.</w:t>
      </w:r>
    </w:p>
    <w:p w:rsidR="002E4716" w:rsidRPr="008E3617" w:rsidRDefault="002E4716" w:rsidP="008E3617">
      <w:pPr>
        <w:pStyle w:val="SemEspaamento"/>
        <w:jc w:val="both"/>
        <w:rPr>
          <w:rFonts w:ascii="Times New Roman" w:hAnsi="Times New Roman" w:cs="Times New Roman"/>
          <w:sz w:val="20"/>
          <w:szCs w:val="20"/>
          <w:lang w:eastAsia="pt-BR"/>
        </w:rPr>
      </w:pPr>
      <w:r w:rsidRPr="008E3617">
        <w:rPr>
          <w:rFonts w:ascii="Times New Roman" w:hAnsi="Times New Roman" w:cs="Times New Roman"/>
          <w:sz w:val="20"/>
          <w:szCs w:val="20"/>
          <w:lang w:eastAsia="pt-BR"/>
        </w:rPr>
        <w:t>§ 2</w:t>
      </w:r>
      <w:r w:rsidRPr="008E3617">
        <w:rPr>
          <w:rFonts w:ascii="Times New Roman" w:hAnsi="Times New Roman" w:cs="Times New Roman"/>
          <w:sz w:val="20"/>
          <w:szCs w:val="20"/>
          <w:u w:val="single"/>
          <w:vertAlign w:val="superscript"/>
          <w:lang w:eastAsia="pt-BR"/>
        </w:rPr>
        <w:t>o</w:t>
      </w:r>
      <w:r w:rsidRPr="008E3617">
        <w:rPr>
          <w:rFonts w:ascii="Times New Roman" w:hAnsi="Times New Roman" w:cs="Times New Roman"/>
          <w:sz w:val="20"/>
          <w:szCs w:val="20"/>
          <w:lang w:eastAsia="pt-BR"/>
        </w:rPr>
        <w:t xml:space="preserve"> O solo, a estrutura do prédio, o telhado, a rede geral de distribuição de água, esgoto, gás e eletricidade, a calefação e refrigeração centrais, e as demais partes comuns, inclusive o acesso ao logradouro público, são utilizados em comum pelos condôminos, não podendo ser alienados separadamente, ou divididos.</w:t>
      </w:r>
    </w:p>
    <w:p w:rsidR="002E4716" w:rsidRPr="008E3617" w:rsidRDefault="002E4716" w:rsidP="008E3617">
      <w:pPr>
        <w:pStyle w:val="SemEspaamento"/>
        <w:jc w:val="both"/>
        <w:rPr>
          <w:rFonts w:ascii="Times New Roman" w:hAnsi="Times New Roman" w:cs="Times New Roman"/>
          <w:sz w:val="20"/>
          <w:szCs w:val="20"/>
          <w:lang w:eastAsia="pt-BR"/>
        </w:rPr>
      </w:pPr>
      <w:bookmarkStart w:id="1" w:name="art1331§3"/>
      <w:bookmarkEnd w:id="1"/>
      <w:r w:rsidRPr="008E3617">
        <w:rPr>
          <w:rFonts w:ascii="Times New Roman" w:hAnsi="Times New Roman" w:cs="Times New Roman"/>
          <w:sz w:val="20"/>
          <w:szCs w:val="20"/>
          <w:lang w:eastAsia="pt-BR"/>
        </w:rPr>
        <w:t>§ 3</w:t>
      </w:r>
      <w:r w:rsidRPr="008E3617">
        <w:rPr>
          <w:rFonts w:ascii="Times New Roman" w:hAnsi="Times New Roman" w:cs="Times New Roman"/>
          <w:sz w:val="20"/>
          <w:szCs w:val="20"/>
          <w:u w:val="single"/>
          <w:vertAlign w:val="superscript"/>
          <w:lang w:eastAsia="pt-BR"/>
        </w:rPr>
        <w:t>o</w:t>
      </w:r>
      <w:r w:rsidRPr="008E3617">
        <w:rPr>
          <w:rFonts w:ascii="Times New Roman" w:hAnsi="Times New Roman" w:cs="Times New Roman"/>
          <w:sz w:val="20"/>
          <w:szCs w:val="20"/>
          <w:lang w:eastAsia="pt-BR"/>
        </w:rPr>
        <w:t xml:space="preserve"> A cada unidade imobiliária caberá, como parte inseparável, uma fração ideal no solo e nas outras partes comuns, que será identificada em forma decimal ou ordinária no instrumento de instituição do condomínio. </w:t>
      </w:r>
      <w:r w:rsidRPr="0094245D">
        <w:rPr>
          <w:rFonts w:ascii="Times New Roman" w:hAnsi="Times New Roman" w:cs="Times New Roman"/>
          <w:sz w:val="20"/>
          <w:szCs w:val="20"/>
          <w:lang w:eastAsia="pt-BR"/>
        </w:rPr>
        <w:t>(Redação dada pela Lei nº 10.931, de 2004)</w:t>
      </w:r>
    </w:p>
    <w:p w:rsidR="002E4716" w:rsidRPr="008E3617" w:rsidRDefault="002E4716" w:rsidP="008E3617">
      <w:pPr>
        <w:pStyle w:val="SemEspaamento"/>
        <w:jc w:val="both"/>
        <w:rPr>
          <w:rFonts w:ascii="Times New Roman" w:hAnsi="Times New Roman" w:cs="Times New Roman"/>
          <w:sz w:val="20"/>
          <w:szCs w:val="20"/>
          <w:lang w:eastAsia="pt-BR"/>
        </w:rPr>
      </w:pPr>
      <w:r w:rsidRPr="008E3617">
        <w:rPr>
          <w:rFonts w:ascii="Times New Roman" w:hAnsi="Times New Roman" w:cs="Times New Roman"/>
          <w:sz w:val="20"/>
          <w:szCs w:val="20"/>
          <w:lang w:eastAsia="pt-BR"/>
        </w:rPr>
        <w:t>§ 4</w:t>
      </w:r>
      <w:r w:rsidRPr="008E3617">
        <w:rPr>
          <w:rFonts w:ascii="Times New Roman" w:hAnsi="Times New Roman" w:cs="Times New Roman"/>
          <w:sz w:val="20"/>
          <w:szCs w:val="20"/>
          <w:u w:val="single"/>
          <w:vertAlign w:val="superscript"/>
          <w:lang w:eastAsia="pt-BR"/>
        </w:rPr>
        <w:t>o</w:t>
      </w:r>
      <w:r w:rsidRPr="008E3617">
        <w:rPr>
          <w:rFonts w:ascii="Times New Roman" w:hAnsi="Times New Roman" w:cs="Times New Roman"/>
          <w:sz w:val="20"/>
          <w:szCs w:val="20"/>
          <w:lang w:eastAsia="pt-BR"/>
        </w:rPr>
        <w:t xml:space="preserve"> Nenhuma unidade imobiliária pode ser privada do acesso ao logradouro público.</w:t>
      </w:r>
    </w:p>
    <w:p w:rsidR="002E4716" w:rsidRPr="008E3617" w:rsidRDefault="002E4716" w:rsidP="008E3617">
      <w:pPr>
        <w:pStyle w:val="SemEspaamento"/>
        <w:jc w:val="both"/>
        <w:rPr>
          <w:rFonts w:ascii="Times New Roman" w:hAnsi="Times New Roman" w:cs="Times New Roman"/>
          <w:sz w:val="20"/>
          <w:szCs w:val="20"/>
          <w:lang w:eastAsia="pt-BR"/>
        </w:rPr>
      </w:pPr>
      <w:r w:rsidRPr="008E3617">
        <w:rPr>
          <w:rFonts w:ascii="Times New Roman" w:hAnsi="Times New Roman" w:cs="Times New Roman"/>
          <w:sz w:val="20"/>
          <w:szCs w:val="20"/>
          <w:lang w:eastAsia="pt-BR"/>
        </w:rPr>
        <w:t>§ 5</w:t>
      </w:r>
      <w:r w:rsidRPr="008E3617">
        <w:rPr>
          <w:rFonts w:ascii="Times New Roman" w:hAnsi="Times New Roman" w:cs="Times New Roman"/>
          <w:sz w:val="20"/>
          <w:szCs w:val="20"/>
          <w:u w:val="single"/>
          <w:vertAlign w:val="superscript"/>
          <w:lang w:eastAsia="pt-BR"/>
        </w:rPr>
        <w:t>o</w:t>
      </w:r>
      <w:r w:rsidRPr="008E3617">
        <w:rPr>
          <w:rFonts w:ascii="Times New Roman" w:hAnsi="Times New Roman" w:cs="Times New Roman"/>
          <w:sz w:val="20"/>
          <w:szCs w:val="20"/>
          <w:lang w:eastAsia="pt-BR"/>
        </w:rPr>
        <w:t xml:space="preserve"> O terraço de cobertura é parte comum, salvo disposição contrária da escritura de constituição do condomínio.</w:t>
      </w:r>
    </w:p>
  </w:footnote>
  <w:footnote w:id="33">
    <w:p w:rsidR="002E4716" w:rsidRPr="008E3617" w:rsidRDefault="002E4716">
      <w:pPr>
        <w:pStyle w:val="Textodenotaderodap"/>
        <w:rPr>
          <w:rFonts w:ascii="Times New Roman" w:hAnsi="Times New Roman" w:cs="Times New Roman"/>
        </w:rPr>
      </w:pPr>
      <w:r w:rsidRPr="008E3617">
        <w:rPr>
          <w:rStyle w:val="Refdenotaderodap"/>
          <w:rFonts w:ascii="Times New Roman" w:hAnsi="Times New Roman" w:cs="Times New Roman"/>
        </w:rPr>
        <w:footnoteRef/>
      </w:r>
      <w:r w:rsidRPr="008E3617">
        <w:rPr>
          <w:rFonts w:ascii="Times New Roman" w:hAnsi="Times New Roman" w:cs="Times New Roman"/>
        </w:rPr>
        <w:t xml:space="preserve"> PEREIRA, 2011, p. 161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5498"/>
      <w:docPartObj>
        <w:docPartGallery w:val="Page Numbers (Top of Page)"/>
        <w:docPartUnique/>
      </w:docPartObj>
    </w:sdtPr>
    <w:sdtEndPr>
      <w:rPr>
        <w:rFonts w:ascii="Times New Roman" w:hAnsi="Times New Roman" w:cs="Times New Roman"/>
        <w:sz w:val="20"/>
        <w:szCs w:val="20"/>
      </w:rPr>
    </w:sdtEndPr>
    <w:sdtContent>
      <w:p w:rsidR="002E4716" w:rsidRDefault="00F01266">
        <w:pPr>
          <w:pStyle w:val="Cabealho"/>
          <w:jc w:val="right"/>
        </w:pPr>
        <w:r w:rsidRPr="009101FD">
          <w:rPr>
            <w:rFonts w:ascii="Times New Roman" w:hAnsi="Times New Roman" w:cs="Times New Roman"/>
            <w:sz w:val="20"/>
            <w:szCs w:val="20"/>
          </w:rPr>
          <w:fldChar w:fldCharType="begin"/>
        </w:r>
        <w:r w:rsidR="002E4716" w:rsidRPr="009101FD">
          <w:rPr>
            <w:rFonts w:ascii="Times New Roman" w:hAnsi="Times New Roman" w:cs="Times New Roman"/>
            <w:sz w:val="20"/>
            <w:szCs w:val="20"/>
          </w:rPr>
          <w:instrText xml:space="preserve"> PAGE   \* MERGEFORMAT </w:instrText>
        </w:r>
        <w:r w:rsidRPr="009101FD">
          <w:rPr>
            <w:rFonts w:ascii="Times New Roman" w:hAnsi="Times New Roman" w:cs="Times New Roman"/>
            <w:sz w:val="20"/>
            <w:szCs w:val="20"/>
          </w:rPr>
          <w:fldChar w:fldCharType="separate"/>
        </w:r>
        <w:r w:rsidR="004746F0">
          <w:rPr>
            <w:rFonts w:ascii="Times New Roman" w:hAnsi="Times New Roman" w:cs="Times New Roman"/>
            <w:noProof/>
            <w:sz w:val="20"/>
            <w:szCs w:val="20"/>
          </w:rPr>
          <w:t>1</w:t>
        </w:r>
        <w:r w:rsidRPr="009101FD">
          <w:rPr>
            <w:rFonts w:ascii="Times New Roman" w:hAnsi="Times New Roman" w:cs="Times New Roman"/>
            <w:sz w:val="20"/>
            <w:szCs w:val="20"/>
          </w:rPr>
          <w:fldChar w:fldCharType="end"/>
        </w:r>
      </w:p>
    </w:sdtContent>
  </w:sdt>
  <w:p w:rsidR="002E4716" w:rsidRDefault="002E471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50325"/>
    <w:multiLevelType w:val="multilevel"/>
    <w:tmpl w:val="95B017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40339AC"/>
    <w:multiLevelType w:val="multilevel"/>
    <w:tmpl w:val="AB3CBA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101FD"/>
    <w:rsid w:val="00001AB3"/>
    <w:rsid w:val="000054E7"/>
    <w:rsid w:val="00033E88"/>
    <w:rsid w:val="00126679"/>
    <w:rsid w:val="00170FC5"/>
    <w:rsid w:val="0017704F"/>
    <w:rsid w:val="00190F65"/>
    <w:rsid w:val="001A5B23"/>
    <w:rsid w:val="00226A00"/>
    <w:rsid w:val="002B05C9"/>
    <w:rsid w:val="002B5164"/>
    <w:rsid w:val="002D48DA"/>
    <w:rsid w:val="002E4716"/>
    <w:rsid w:val="002E6AC7"/>
    <w:rsid w:val="002F0D5A"/>
    <w:rsid w:val="002F44C3"/>
    <w:rsid w:val="003031DF"/>
    <w:rsid w:val="00334365"/>
    <w:rsid w:val="00394AF6"/>
    <w:rsid w:val="003F4DAC"/>
    <w:rsid w:val="00406A37"/>
    <w:rsid w:val="00422E7A"/>
    <w:rsid w:val="00426E27"/>
    <w:rsid w:val="00442AFB"/>
    <w:rsid w:val="004444CB"/>
    <w:rsid w:val="004655CC"/>
    <w:rsid w:val="004746F0"/>
    <w:rsid w:val="00477233"/>
    <w:rsid w:val="00482767"/>
    <w:rsid w:val="00497220"/>
    <w:rsid w:val="004D49D2"/>
    <w:rsid w:val="004E05A2"/>
    <w:rsid w:val="004F391E"/>
    <w:rsid w:val="00570810"/>
    <w:rsid w:val="005729B5"/>
    <w:rsid w:val="005840C5"/>
    <w:rsid w:val="005E193C"/>
    <w:rsid w:val="005F3AA2"/>
    <w:rsid w:val="006637CA"/>
    <w:rsid w:val="00664855"/>
    <w:rsid w:val="0077406C"/>
    <w:rsid w:val="007A7B1D"/>
    <w:rsid w:val="00812968"/>
    <w:rsid w:val="00885858"/>
    <w:rsid w:val="008C3F9C"/>
    <w:rsid w:val="008E09E0"/>
    <w:rsid w:val="008E3617"/>
    <w:rsid w:val="009101FD"/>
    <w:rsid w:val="0094245D"/>
    <w:rsid w:val="00942B5F"/>
    <w:rsid w:val="0095747E"/>
    <w:rsid w:val="009E2972"/>
    <w:rsid w:val="009F149D"/>
    <w:rsid w:val="009F6487"/>
    <w:rsid w:val="00A37F11"/>
    <w:rsid w:val="00A71C5E"/>
    <w:rsid w:val="00A72774"/>
    <w:rsid w:val="00AA0B43"/>
    <w:rsid w:val="00AD6257"/>
    <w:rsid w:val="00B20498"/>
    <w:rsid w:val="00B25BF5"/>
    <w:rsid w:val="00B90B01"/>
    <w:rsid w:val="00BB719A"/>
    <w:rsid w:val="00BE494E"/>
    <w:rsid w:val="00C31FFE"/>
    <w:rsid w:val="00CA0CC2"/>
    <w:rsid w:val="00CD2D21"/>
    <w:rsid w:val="00D37530"/>
    <w:rsid w:val="00DC47FF"/>
    <w:rsid w:val="00E85280"/>
    <w:rsid w:val="00EB52A4"/>
    <w:rsid w:val="00F01266"/>
    <w:rsid w:val="00F02DC4"/>
    <w:rsid w:val="00F12387"/>
    <w:rsid w:val="00FC2523"/>
    <w:rsid w:val="00FD10C5"/>
    <w:rsid w:val="00FD3E0D"/>
    <w:rsid w:val="00FF42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44EBE1-2D3A-4864-A6F9-BD35FAB25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DAC"/>
  </w:style>
  <w:style w:type="paragraph" w:styleId="Ttulo1">
    <w:name w:val="heading 1"/>
    <w:basedOn w:val="Normal"/>
    <w:link w:val="Ttulo1Char"/>
    <w:uiPriority w:val="9"/>
    <w:qFormat/>
    <w:rsid w:val="005729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101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01FD"/>
  </w:style>
  <w:style w:type="paragraph" w:styleId="Rodap">
    <w:name w:val="footer"/>
    <w:basedOn w:val="Normal"/>
    <w:link w:val="RodapChar"/>
    <w:uiPriority w:val="99"/>
    <w:semiHidden/>
    <w:unhideWhenUsed/>
    <w:rsid w:val="009101F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101FD"/>
  </w:style>
  <w:style w:type="character" w:customStyle="1" w:styleId="apple-converted-space">
    <w:name w:val="apple-converted-space"/>
    <w:basedOn w:val="Fontepargpadro"/>
    <w:rsid w:val="00190F65"/>
  </w:style>
  <w:style w:type="paragraph" w:styleId="Textodenotaderodap">
    <w:name w:val="footnote text"/>
    <w:basedOn w:val="Normal"/>
    <w:link w:val="TextodenotaderodapChar"/>
    <w:uiPriority w:val="99"/>
    <w:semiHidden/>
    <w:unhideWhenUsed/>
    <w:rsid w:val="002F44C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F44C3"/>
    <w:rPr>
      <w:sz w:val="20"/>
      <w:szCs w:val="20"/>
    </w:rPr>
  </w:style>
  <w:style w:type="character" w:styleId="Refdenotaderodap">
    <w:name w:val="footnote reference"/>
    <w:basedOn w:val="Fontepargpadro"/>
    <w:uiPriority w:val="99"/>
    <w:semiHidden/>
    <w:unhideWhenUsed/>
    <w:rsid w:val="002F44C3"/>
    <w:rPr>
      <w:vertAlign w:val="superscript"/>
    </w:rPr>
  </w:style>
  <w:style w:type="paragraph" w:styleId="SemEspaamento">
    <w:name w:val="No Spacing"/>
    <w:uiPriority w:val="1"/>
    <w:qFormat/>
    <w:rsid w:val="007A7B1D"/>
    <w:pPr>
      <w:spacing w:after="0" w:line="240" w:lineRule="auto"/>
    </w:pPr>
  </w:style>
  <w:style w:type="paragraph" w:styleId="PargrafodaLista">
    <w:name w:val="List Paragraph"/>
    <w:basedOn w:val="Normal"/>
    <w:uiPriority w:val="34"/>
    <w:qFormat/>
    <w:rsid w:val="00AA0B43"/>
    <w:pPr>
      <w:ind w:left="720"/>
      <w:contextualSpacing/>
    </w:pPr>
  </w:style>
  <w:style w:type="character" w:styleId="Forte">
    <w:name w:val="Strong"/>
    <w:basedOn w:val="Fontepargpadro"/>
    <w:uiPriority w:val="22"/>
    <w:qFormat/>
    <w:rsid w:val="004F391E"/>
    <w:rPr>
      <w:b/>
      <w:bCs/>
    </w:rPr>
  </w:style>
  <w:style w:type="character" w:styleId="Hyperlink">
    <w:name w:val="Hyperlink"/>
    <w:basedOn w:val="Fontepargpadro"/>
    <w:uiPriority w:val="99"/>
    <w:unhideWhenUsed/>
    <w:rsid w:val="00DC47FF"/>
    <w:rPr>
      <w:color w:val="0000FF"/>
      <w:u w:val="single"/>
    </w:rPr>
  </w:style>
  <w:style w:type="character" w:customStyle="1" w:styleId="Ttulo1Char">
    <w:name w:val="Título 1 Char"/>
    <w:basedOn w:val="Fontepargpadro"/>
    <w:link w:val="Ttulo1"/>
    <w:uiPriority w:val="9"/>
    <w:rsid w:val="005729B5"/>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358595">
      <w:bodyDiv w:val="1"/>
      <w:marLeft w:val="0"/>
      <w:marRight w:val="0"/>
      <w:marTop w:val="0"/>
      <w:marBottom w:val="0"/>
      <w:divBdr>
        <w:top w:val="none" w:sz="0" w:space="0" w:color="auto"/>
        <w:left w:val="none" w:sz="0" w:space="0" w:color="auto"/>
        <w:bottom w:val="none" w:sz="0" w:space="0" w:color="auto"/>
        <w:right w:val="none" w:sz="0" w:space="0" w:color="auto"/>
      </w:divBdr>
    </w:div>
    <w:div w:id="1909000849">
      <w:bodyDiv w:val="1"/>
      <w:marLeft w:val="0"/>
      <w:marRight w:val="0"/>
      <w:marTop w:val="0"/>
      <w:marBottom w:val="0"/>
      <w:divBdr>
        <w:top w:val="none" w:sz="0" w:space="0" w:color="auto"/>
        <w:left w:val="none" w:sz="0" w:space="0" w:color="auto"/>
        <w:bottom w:val="none" w:sz="0" w:space="0" w:color="auto"/>
        <w:right w:val="none" w:sz="0" w:space="0" w:color="auto"/>
      </w:divBdr>
      <w:divsChild>
        <w:div w:id="878783522">
          <w:marLeft w:val="0"/>
          <w:marRight w:val="0"/>
          <w:marTop w:val="0"/>
          <w:marBottom w:val="0"/>
          <w:divBdr>
            <w:top w:val="none" w:sz="0" w:space="0" w:color="auto"/>
            <w:left w:val="none" w:sz="0" w:space="0" w:color="auto"/>
            <w:bottom w:val="none" w:sz="0" w:space="0" w:color="auto"/>
            <w:right w:val="none" w:sz="0" w:space="0" w:color="auto"/>
          </w:divBdr>
        </w:div>
        <w:div w:id="970018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jmg.jus.br/juridico/sf/proc_resultado2.jsp?listaProcessos=23257356720108130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jmg.jus.br/juridico/ea/pesquisaNumeroEspelhoAcordao.do?ttriCodigo=1&amp;codigoOrigem=0024&amp;ano=10&amp;numero=232573&amp;dv=0&amp;sequencial=001&amp;pesquisaNumero=Pesquisa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DCE9B8-7095-4C33-AA86-CBA5F4B8E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Pages>
  <Words>4214</Words>
  <Characters>22759</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Ladiston</dc:creator>
  <cp:lastModifiedBy>Pablo</cp:lastModifiedBy>
  <cp:revision>10</cp:revision>
  <dcterms:created xsi:type="dcterms:W3CDTF">2012-05-20T21:54:00Z</dcterms:created>
  <dcterms:modified xsi:type="dcterms:W3CDTF">2015-09-26T12:57:00Z</dcterms:modified>
</cp:coreProperties>
</file>