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12" w:rsidRDefault="00054A12" w:rsidP="00054A12">
      <w:pPr>
        <w:spacing w:after="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Belo Horizonte</w:t>
      </w:r>
      <w:r>
        <w:rPr>
          <w:rFonts w:ascii="Times New Roman" w:hAnsi="Times New Roman" w:cs="Times New Roman"/>
          <w:sz w:val="24"/>
          <w:szCs w:val="24"/>
          <w:lang w:val="pt-BR"/>
        </w:rPr>
        <w:t xml:space="preserve">, </w:t>
      </w:r>
      <w:r w:rsidRPr="00B26A6D">
        <w:rPr>
          <w:rFonts w:ascii="Times New Roman" w:hAnsi="Times New Roman" w:cs="Times New Roman"/>
          <w:sz w:val="24"/>
          <w:szCs w:val="24"/>
          <w:lang w:val="pt-BR"/>
        </w:rPr>
        <w:t>2014</w:t>
      </w:r>
      <w:r>
        <w:rPr>
          <w:rFonts w:ascii="Times New Roman" w:hAnsi="Times New Roman" w:cs="Times New Roman"/>
          <w:sz w:val="24"/>
          <w:szCs w:val="24"/>
          <w:lang w:val="pt-BR"/>
        </w:rPr>
        <w:t>.</w:t>
      </w:r>
    </w:p>
    <w:p w:rsidR="00054A12" w:rsidRDefault="00054A12" w:rsidP="00054A12">
      <w:pPr>
        <w:jc w:val="both"/>
        <w:rPr>
          <w:rFonts w:ascii="Times New Roman" w:hAnsi="Times New Roman" w:cs="Times New Roman"/>
          <w:sz w:val="24"/>
          <w:szCs w:val="24"/>
          <w:lang w:val="pt-BR"/>
        </w:rPr>
      </w:pPr>
    </w:p>
    <w:p w:rsidR="007369C8" w:rsidRPr="007369C8" w:rsidRDefault="007369C8" w:rsidP="007369C8">
      <w:pPr>
        <w:jc w:val="center"/>
        <w:rPr>
          <w:rFonts w:ascii="Times New Roman" w:hAnsi="Times New Roman" w:cs="Times New Roman"/>
          <w:sz w:val="24"/>
          <w:szCs w:val="24"/>
          <w:lang w:val="pt-BR"/>
        </w:rPr>
      </w:pPr>
      <w:r w:rsidRPr="007369C8">
        <w:rPr>
          <w:rFonts w:ascii="Times New Roman" w:hAnsi="Times New Roman" w:cs="Times New Roman"/>
          <w:sz w:val="24"/>
          <w:szCs w:val="24"/>
          <w:lang w:val="pt-BR"/>
        </w:rPr>
        <w:t>Omar de Souza Barros Neto</w:t>
      </w:r>
    </w:p>
    <w:p w:rsidR="007369C8" w:rsidRPr="007369C8" w:rsidRDefault="007369C8" w:rsidP="007369C8">
      <w:pPr>
        <w:jc w:val="center"/>
        <w:rPr>
          <w:rFonts w:ascii="Times New Roman" w:hAnsi="Times New Roman" w:cs="Times New Roman"/>
          <w:sz w:val="24"/>
          <w:szCs w:val="24"/>
          <w:lang w:val="pt-BR"/>
        </w:rPr>
      </w:pPr>
      <w:r w:rsidRPr="007369C8">
        <w:rPr>
          <w:rFonts w:ascii="Times New Roman" w:hAnsi="Times New Roman" w:cs="Times New Roman"/>
          <w:sz w:val="24"/>
          <w:szCs w:val="24"/>
          <w:lang w:val="pt-BR"/>
        </w:rPr>
        <w:t>Guilherme Augusto Gomes Pereira</w:t>
      </w:r>
    </w:p>
    <w:p w:rsidR="00C61D78" w:rsidRDefault="007369C8" w:rsidP="007369C8">
      <w:pPr>
        <w:jc w:val="center"/>
        <w:rPr>
          <w:rFonts w:ascii="Times New Roman" w:hAnsi="Times New Roman" w:cs="Times New Roman"/>
          <w:sz w:val="24"/>
          <w:szCs w:val="24"/>
          <w:lang w:val="pt-BR"/>
        </w:rPr>
      </w:pPr>
      <w:r w:rsidRPr="007369C8">
        <w:rPr>
          <w:rFonts w:ascii="Times New Roman" w:hAnsi="Times New Roman" w:cs="Times New Roman"/>
          <w:sz w:val="24"/>
          <w:szCs w:val="24"/>
          <w:lang w:val="pt-BR"/>
        </w:rPr>
        <w:t>Vitor Guilherme Braga Santos</w:t>
      </w:r>
    </w:p>
    <w:p w:rsidR="007369C8" w:rsidRPr="00B26A6D" w:rsidRDefault="007369C8" w:rsidP="007369C8">
      <w:pPr>
        <w:jc w:val="center"/>
        <w:rPr>
          <w:rFonts w:ascii="Times New Roman" w:hAnsi="Times New Roman" w:cs="Times New Roman"/>
          <w:color w:val="000000" w:themeColor="text1"/>
          <w:sz w:val="24"/>
          <w:szCs w:val="24"/>
          <w:lang w:val="pt-BR"/>
        </w:rPr>
      </w:pPr>
      <w:bookmarkStart w:id="0" w:name="_GoBack"/>
      <w:bookmarkEnd w:id="0"/>
    </w:p>
    <w:p w:rsidR="00C61D78" w:rsidRDefault="00054A12" w:rsidP="00054A12">
      <w:pPr>
        <w:spacing w:after="0"/>
        <w:jc w:val="center"/>
        <w:rPr>
          <w:rFonts w:ascii="Times New Roman" w:hAnsi="Times New Roman" w:cs="Times New Roman"/>
          <w:b/>
          <w:color w:val="000000" w:themeColor="text1"/>
          <w:sz w:val="24"/>
          <w:szCs w:val="24"/>
          <w:lang w:val="pt-BR"/>
        </w:rPr>
      </w:pPr>
      <w:r>
        <w:rPr>
          <w:rFonts w:ascii="Times New Roman" w:hAnsi="Times New Roman" w:cs="Times New Roman"/>
          <w:b/>
          <w:color w:val="000000" w:themeColor="text1"/>
          <w:sz w:val="24"/>
          <w:szCs w:val="24"/>
          <w:lang w:val="pt-BR"/>
        </w:rPr>
        <w:t>R</w:t>
      </w:r>
      <w:r w:rsidR="0097465E" w:rsidRPr="00B26A6D">
        <w:rPr>
          <w:rFonts w:ascii="Times New Roman" w:hAnsi="Times New Roman" w:cs="Times New Roman"/>
          <w:b/>
          <w:color w:val="000000" w:themeColor="text1"/>
          <w:sz w:val="24"/>
          <w:szCs w:val="24"/>
          <w:lang w:val="pt-BR"/>
        </w:rPr>
        <w:t>ESENHA</w:t>
      </w:r>
      <w:r w:rsidR="00C61D78" w:rsidRPr="00B26A6D">
        <w:rPr>
          <w:rFonts w:ascii="Times New Roman" w:hAnsi="Times New Roman" w:cs="Times New Roman"/>
          <w:b/>
          <w:color w:val="000000" w:themeColor="text1"/>
          <w:sz w:val="24"/>
          <w:szCs w:val="24"/>
          <w:lang w:val="pt-BR"/>
        </w:rPr>
        <w:t>:</w:t>
      </w:r>
      <w:r>
        <w:rPr>
          <w:rFonts w:ascii="Times New Roman" w:hAnsi="Times New Roman" w:cs="Times New Roman"/>
          <w:b/>
          <w:color w:val="000000" w:themeColor="text1"/>
          <w:sz w:val="24"/>
          <w:szCs w:val="24"/>
          <w:lang w:val="pt-BR"/>
        </w:rPr>
        <w:t xml:space="preserve"> </w:t>
      </w:r>
      <w:r w:rsidR="00895FAB" w:rsidRPr="00B26A6D">
        <w:rPr>
          <w:rFonts w:ascii="Times New Roman" w:hAnsi="Times New Roman" w:cs="Times New Roman"/>
          <w:b/>
          <w:color w:val="000000" w:themeColor="text1"/>
          <w:sz w:val="24"/>
          <w:szCs w:val="24"/>
          <w:lang w:val="pt-BR"/>
        </w:rPr>
        <w:t>Transportes, modernização e formação regional: subsídios a história da era ferroviária mineira, 1870-1940</w:t>
      </w:r>
    </w:p>
    <w:p w:rsidR="00054A12" w:rsidRDefault="00054A12" w:rsidP="00054A12">
      <w:pPr>
        <w:spacing w:after="0"/>
        <w:jc w:val="both"/>
        <w:rPr>
          <w:rFonts w:ascii="Times New Roman" w:hAnsi="Times New Roman" w:cs="Times New Roman"/>
          <w:b/>
          <w:color w:val="000000" w:themeColor="text1"/>
          <w:sz w:val="24"/>
          <w:szCs w:val="24"/>
          <w:lang w:val="pt-BR"/>
        </w:rPr>
      </w:pPr>
    </w:p>
    <w:p w:rsidR="00054A12" w:rsidRDefault="00054A12" w:rsidP="00054A12">
      <w:pPr>
        <w:spacing w:after="0"/>
        <w:jc w:val="both"/>
        <w:rPr>
          <w:rFonts w:ascii="Times New Roman" w:hAnsi="Times New Roman" w:cs="Times New Roman"/>
          <w:sz w:val="24"/>
          <w:szCs w:val="24"/>
          <w:lang w:val="pt-BR"/>
        </w:rPr>
      </w:pPr>
    </w:p>
    <w:p w:rsidR="004734CD" w:rsidRPr="00054A12" w:rsidRDefault="004734CD" w:rsidP="00054A12">
      <w:pPr>
        <w:spacing w:after="0"/>
        <w:jc w:val="both"/>
        <w:rPr>
          <w:rFonts w:ascii="Times New Roman" w:hAnsi="Times New Roman" w:cs="Times New Roman"/>
          <w:sz w:val="24"/>
          <w:szCs w:val="24"/>
          <w:lang w:val="pt-BR"/>
        </w:rPr>
      </w:pPr>
      <w:r w:rsidRPr="00B26A6D">
        <w:rPr>
          <w:rFonts w:ascii="Times New Roman" w:hAnsi="Times New Roman" w:cs="Times New Roman"/>
          <w:b/>
          <w:sz w:val="24"/>
          <w:szCs w:val="24"/>
          <w:lang w:val="pt-BR"/>
        </w:rPr>
        <w:t>1 INTRODUÇÂO</w:t>
      </w:r>
    </w:p>
    <w:p w:rsidR="004734CD" w:rsidRPr="00B26A6D" w:rsidRDefault="004734CD" w:rsidP="004734CD">
      <w:pPr>
        <w:jc w:val="both"/>
        <w:rPr>
          <w:rFonts w:ascii="Times New Roman" w:hAnsi="Times New Roman" w:cs="Times New Roman"/>
          <w:b/>
          <w:sz w:val="24"/>
          <w:szCs w:val="24"/>
          <w:lang w:val="pt-BR"/>
        </w:rPr>
      </w:pPr>
    </w:p>
    <w:p w:rsidR="004C0BBB" w:rsidRPr="00B26A6D" w:rsidRDefault="004734CD" w:rsidP="004734CD">
      <w:pPr>
        <w:tabs>
          <w:tab w:val="left" w:pos="2552"/>
        </w:tabs>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w:t>
      </w:r>
      <w:r w:rsidR="004C0BBB" w:rsidRPr="00B26A6D">
        <w:rPr>
          <w:rFonts w:ascii="Times New Roman" w:hAnsi="Times New Roman" w:cs="Times New Roman"/>
          <w:sz w:val="24"/>
          <w:szCs w:val="24"/>
          <w:lang w:val="pt-BR"/>
        </w:rPr>
        <w:t>Transportes, Modernização e Formação Regional</w:t>
      </w:r>
      <w:r w:rsidRPr="00B26A6D">
        <w:rPr>
          <w:rFonts w:ascii="Times New Roman" w:hAnsi="Times New Roman" w:cs="Times New Roman"/>
          <w:sz w:val="24"/>
          <w:szCs w:val="24"/>
          <w:lang w:val="pt-BR"/>
        </w:rPr>
        <w:t>”</w:t>
      </w:r>
      <w:r w:rsidR="004C0BBB" w:rsidRPr="00B26A6D">
        <w:rPr>
          <w:rFonts w:ascii="Times New Roman" w:hAnsi="Times New Roman" w:cs="Times New Roman"/>
          <w:sz w:val="24"/>
          <w:szCs w:val="24"/>
          <w:lang w:val="pt-BR"/>
        </w:rPr>
        <w:t xml:space="preserve"> de Felipe Alvarenga Batista, Lidiany Silva Ba</w:t>
      </w:r>
      <w:r w:rsidRPr="00B26A6D">
        <w:rPr>
          <w:rFonts w:ascii="Times New Roman" w:hAnsi="Times New Roman" w:cs="Times New Roman"/>
          <w:sz w:val="24"/>
          <w:szCs w:val="24"/>
          <w:lang w:val="pt-BR"/>
        </w:rPr>
        <w:t>rbosa e Marcelo Magalhães Godoy</w:t>
      </w:r>
      <w:r w:rsidR="002D4910" w:rsidRPr="00B26A6D">
        <w:rPr>
          <w:rFonts w:ascii="Times New Roman" w:hAnsi="Times New Roman" w:cs="Times New Roman"/>
          <w:sz w:val="24"/>
          <w:szCs w:val="24"/>
          <w:lang w:val="pt-BR"/>
        </w:rPr>
        <w:t xml:space="preserve"> é um artigo</w:t>
      </w:r>
      <w:r w:rsidR="004C0BBB" w:rsidRPr="00B26A6D">
        <w:rPr>
          <w:rFonts w:ascii="Times New Roman" w:hAnsi="Times New Roman" w:cs="Times New Roman"/>
          <w:sz w:val="24"/>
          <w:szCs w:val="24"/>
          <w:lang w:val="pt-BR"/>
        </w:rPr>
        <w:t xml:space="preserve"> publicado pelo CEDEPLAR/UFMG em 2012. Em três capítulos, os autores abordam o processo de desenvolvimento da malha ferroviária da Província, depois Estado, de Minas Gerais durante o período de 1870 a </w:t>
      </w:r>
      <w:r w:rsidR="00D3577A" w:rsidRPr="00B26A6D">
        <w:rPr>
          <w:rFonts w:ascii="Times New Roman" w:hAnsi="Times New Roman" w:cs="Times New Roman"/>
          <w:sz w:val="24"/>
          <w:szCs w:val="24"/>
          <w:lang w:val="pt-BR"/>
        </w:rPr>
        <w:t>1940.</w:t>
      </w:r>
      <w:r w:rsidR="004C0BBB" w:rsidRPr="00B26A6D">
        <w:rPr>
          <w:rFonts w:ascii="Times New Roman" w:hAnsi="Times New Roman" w:cs="Times New Roman"/>
          <w:sz w:val="24"/>
          <w:szCs w:val="24"/>
          <w:lang w:val="pt-BR"/>
        </w:rPr>
        <w:t xml:space="preserve"> Constataram que o modelo de desenvolvimento ferroviário brasileiro sob as bases de uma economia agrário-exportadora não foi adequado para integrar a economia interna de Minas Gerais. Não obstante, segundo Batista, Barbosa e Godoy (2012)</w:t>
      </w:r>
      <w:r w:rsidR="000C2936" w:rsidRPr="00B26A6D">
        <w:rPr>
          <w:rFonts w:ascii="Times New Roman" w:hAnsi="Times New Roman" w:cs="Times New Roman"/>
          <w:sz w:val="24"/>
          <w:szCs w:val="24"/>
          <w:lang w:val="pt-BR"/>
        </w:rPr>
        <w:t>, a região registrou o maior volume de trilhos do país, cuja expansão acabou, mesmo sob críticas</w:t>
      </w:r>
      <w:r w:rsidR="00DD6C1C" w:rsidRPr="00B26A6D">
        <w:rPr>
          <w:rFonts w:ascii="Times New Roman" w:hAnsi="Times New Roman" w:cs="Times New Roman"/>
          <w:sz w:val="24"/>
          <w:szCs w:val="24"/>
          <w:lang w:val="pt-BR"/>
        </w:rPr>
        <w:t xml:space="preserve"> de contemporâneos</w:t>
      </w:r>
      <w:r w:rsidR="000C2936" w:rsidRPr="00B26A6D">
        <w:rPr>
          <w:rFonts w:ascii="Times New Roman" w:hAnsi="Times New Roman" w:cs="Times New Roman"/>
          <w:sz w:val="24"/>
          <w:szCs w:val="24"/>
          <w:lang w:val="pt-BR"/>
        </w:rPr>
        <w:t>, sendo guiada por motivos políticos e financeiros resultantes do pensamentos majoritário à época de que a ferrovia era diretamente associada ao progresso.</w:t>
      </w:r>
      <w:r w:rsidR="00D3577A" w:rsidRPr="00B26A6D">
        <w:rPr>
          <w:rFonts w:ascii="Times New Roman" w:hAnsi="Times New Roman" w:cs="Times New Roman"/>
          <w:sz w:val="24"/>
          <w:szCs w:val="24"/>
          <w:lang w:val="pt-BR"/>
        </w:rPr>
        <w:t xml:space="preserve"> Batista, Barbosa e Godoy (2012) sintetizam a histórias das mais importantes ferrovias do estado de Minas Gerais bem como as características do período da modernização dos transportes em Minas Gerais.</w:t>
      </w:r>
      <w:r w:rsidR="00DD6C1C" w:rsidRPr="00B26A6D">
        <w:rPr>
          <w:rFonts w:ascii="Times New Roman" w:hAnsi="Times New Roman" w:cs="Times New Roman"/>
          <w:sz w:val="24"/>
          <w:szCs w:val="24"/>
          <w:lang w:val="pt-BR"/>
        </w:rPr>
        <w:t xml:space="preserve"> </w:t>
      </w:r>
      <w:r w:rsidR="00D3577A" w:rsidRPr="00B26A6D">
        <w:rPr>
          <w:rFonts w:ascii="Times New Roman" w:hAnsi="Times New Roman" w:cs="Times New Roman"/>
          <w:sz w:val="24"/>
          <w:szCs w:val="24"/>
          <w:lang w:val="pt-BR"/>
        </w:rPr>
        <w:t>Ao final do artigo, os autores apresentam uma proposta de periodização da era ferroviária mineira</w:t>
      </w:r>
    </w:p>
    <w:p w:rsidR="004734CD" w:rsidRPr="00B26A6D" w:rsidRDefault="004734CD" w:rsidP="004734CD">
      <w:pPr>
        <w:tabs>
          <w:tab w:val="left" w:pos="2552"/>
        </w:tabs>
        <w:jc w:val="both"/>
        <w:rPr>
          <w:rFonts w:ascii="Times New Roman" w:hAnsi="Times New Roman" w:cs="Times New Roman"/>
          <w:sz w:val="24"/>
          <w:szCs w:val="24"/>
          <w:lang w:val="pt-BR"/>
        </w:rPr>
      </w:pPr>
    </w:p>
    <w:p w:rsidR="004734CD" w:rsidRPr="00B26A6D" w:rsidRDefault="004734CD" w:rsidP="004734CD">
      <w:pPr>
        <w:tabs>
          <w:tab w:val="left" w:pos="2552"/>
        </w:tabs>
        <w:jc w:val="both"/>
        <w:rPr>
          <w:rFonts w:ascii="Times New Roman" w:hAnsi="Times New Roman" w:cs="Times New Roman"/>
          <w:b/>
          <w:sz w:val="24"/>
          <w:szCs w:val="24"/>
          <w:lang w:val="pt-BR"/>
        </w:rPr>
      </w:pPr>
      <w:r w:rsidRPr="00B26A6D">
        <w:rPr>
          <w:rFonts w:ascii="Times New Roman" w:hAnsi="Times New Roman" w:cs="Times New Roman"/>
          <w:b/>
          <w:sz w:val="24"/>
          <w:szCs w:val="24"/>
          <w:lang w:val="pt-BR"/>
        </w:rPr>
        <w:t>2 DESENVOLVIMENTO</w:t>
      </w:r>
    </w:p>
    <w:p w:rsidR="004734CD" w:rsidRPr="00B26A6D" w:rsidRDefault="004734CD" w:rsidP="004734CD">
      <w:pPr>
        <w:tabs>
          <w:tab w:val="left" w:pos="2552"/>
        </w:tabs>
        <w:jc w:val="both"/>
        <w:rPr>
          <w:rFonts w:ascii="Times New Roman" w:hAnsi="Times New Roman" w:cs="Times New Roman"/>
          <w:sz w:val="24"/>
          <w:szCs w:val="24"/>
          <w:lang w:val="pt-BR"/>
        </w:rPr>
      </w:pPr>
    </w:p>
    <w:p w:rsidR="00175F69" w:rsidRPr="00B26A6D" w:rsidRDefault="00DD6C1C" w:rsidP="004B5529">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Tanto os países centrais como os periféricos se beneficiaram largamente da modernização dos transportes, que teve como carro chefe as ferrovias e os navio à vapor. </w:t>
      </w:r>
      <w:r w:rsidR="004B5529" w:rsidRPr="00B26A6D">
        <w:rPr>
          <w:rFonts w:ascii="Times New Roman" w:hAnsi="Times New Roman" w:cs="Times New Roman"/>
          <w:sz w:val="24"/>
          <w:szCs w:val="24"/>
          <w:lang w:val="pt-BR"/>
        </w:rPr>
        <w:t>Conforme</w:t>
      </w:r>
      <w:r w:rsidRPr="00B26A6D">
        <w:rPr>
          <w:rFonts w:ascii="Times New Roman" w:hAnsi="Times New Roman" w:cs="Times New Roman"/>
          <w:sz w:val="24"/>
          <w:szCs w:val="24"/>
          <w:lang w:val="pt-BR"/>
        </w:rPr>
        <w:t xml:space="preserve"> Batista, </w:t>
      </w:r>
      <w:r w:rsidRPr="00B26A6D">
        <w:rPr>
          <w:rFonts w:ascii="Times New Roman" w:hAnsi="Times New Roman" w:cs="Times New Roman"/>
          <w:sz w:val="24"/>
          <w:szCs w:val="24"/>
          <w:lang w:val="pt-BR"/>
        </w:rPr>
        <w:lastRenderedPageBreak/>
        <w:t xml:space="preserve">Barbosa e Godoy (2012), a expansão das estradas de ferro garantiu melhor exatidão no cumprimentos dos horários, encurtaram distancias e reduziram significativamente o custo dos fretes. </w:t>
      </w:r>
    </w:p>
    <w:p w:rsidR="000C2936" w:rsidRPr="00B26A6D" w:rsidRDefault="004B5529" w:rsidP="004B5529">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No Brasil, a expansão das ferrovias esteve intimamente ligada ao desenvolvimento da economia agrário-exportadora, facilitando a exportação dos produtos agrícolas para o mercado externo. Silva (1986), citando o cálculo de Taunay, argumentou que o transporte por ferrovias era seis vezes mais baratos do que por mulas, meio utilizado anteriormente. Estima-se que a economia realizada apenas pela Estrada</w:t>
      </w:r>
      <w:r w:rsidR="00DF042B" w:rsidRPr="00B26A6D">
        <w:rPr>
          <w:rFonts w:ascii="Times New Roman" w:hAnsi="Times New Roman" w:cs="Times New Roman"/>
          <w:sz w:val="24"/>
          <w:szCs w:val="24"/>
          <w:lang w:val="pt-BR"/>
        </w:rPr>
        <w:t xml:space="preserve"> de Ferro Pedro II</w:t>
      </w:r>
      <w:r w:rsidR="00D936CC" w:rsidRPr="00B26A6D">
        <w:rPr>
          <w:rFonts w:ascii="Times New Roman" w:hAnsi="Times New Roman" w:cs="Times New Roman"/>
          <w:sz w:val="24"/>
          <w:szCs w:val="24"/>
          <w:lang w:val="pt-BR"/>
        </w:rPr>
        <w:t xml:space="preserve"> representava cerca de </w:t>
      </w:r>
      <w:r w:rsidR="00DF042B" w:rsidRPr="00B26A6D">
        <w:rPr>
          <w:rFonts w:ascii="Times New Roman" w:hAnsi="Times New Roman" w:cs="Times New Roman"/>
          <w:sz w:val="24"/>
          <w:szCs w:val="24"/>
          <w:lang w:val="pt-BR"/>
        </w:rPr>
        <w:t>10% do valor total das exportações brasileiras de café nessa época.</w:t>
      </w:r>
    </w:p>
    <w:p w:rsidR="00C15E0E" w:rsidRPr="00B26A6D" w:rsidRDefault="00D936CC" w:rsidP="00882287">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Segundo </w:t>
      </w:r>
      <w:r w:rsidR="00175F69" w:rsidRPr="00B26A6D">
        <w:rPr>
          <w:rFonts w:ascii="Times New Roman" w:hAnsi="Times New Roman" w:cs="Times New Roman"/>
          <w:sz w:val="24"/>
          <w:szCs w:val="24"/>
          <w:lang w:val="pt-BR"/>
        </w:rPr>
        <w:t>Batista, Barbosa e Godoy (2012)</w:t>
      </w:r>
      <w:r w:rsidRPr="00B26A6D">
        <w:rPr>
          <w:rFonts w:ascii="Times New Roman" w:hAnsi="Times New Roman" w:cs="Times New Roman"/>
          <w:sz w:val="24"/>
          <w:szCs w:val="24"/>
          <w:lang w:val="pt-BR"/>
        </w:rPr>
        <w:t>,</w:t>
      </w:r>
      <w:r w:rsidR="00175F69" w:rsidRPr="00B26A6D">
        <w:rPr>
          <w:rFonts w:ascii="Times New Roman" w:hAnsi="Times New Roman" w:cs="Times New Roman"/>
          <w:sz w:val="24"/>
          <w:szCs w:val="24"/>
          <w:lang w:val="pt-BR"/>
        </w:rPr>
        <w:t xml:space="preserve"> a direção geográfica da expansão das estradas de fero estava diretamente ligada ao avanço da fronteira agrícola</w:t>
      </w:r>
      <w:r w:rsidR="00945596" w:rsidRPr="00B26A6D">
        <w:rPr>
          <w:rFonts w:ascii="Times New Roman" w:hAnsi="Times New Roman" w:cs="Times New Roman"/>
          <w:sz w:val="24"/>
          <w:szCs w:val="24"/>
          <w:lang w:val="pt-BR"/>
        </w:rPr>
        <w:t>. Segundo eles, do total das rodovias federais, 74% pertencia à São Paulo, Rio de Janeiro, Minas Gerais e Espirito Santo, e das redes estaduais 88% estava nestes mesmos estados. Silva (1986) também registra uma ligação forte entre as ferrovias e a economia agrário-exportadora, com a maior parte das estradas de ferro do período se localizando nas regiões produtoras de café.</w:t>
      </w:r>
      <w:r w:rsidR="007323D0" w:rsidRPr="00B26A6D">
        <w:rPr>
          <w:rFonts w:ascii="Times New Roman" w:hAnsi="Times New Roman" w:cs="Times New Roman"/>
          <w:sz w:val="24"/>
          <w:szCs w:val="24"/>
          <w:lang w:val="pt-BR"/>
        </w:rPr>
        <w:t xml:space="preserve"> Desta forma, </w:t>
      </w:r>
      <w:r w:rsidR="001D7A88" w:rsidRPr="00B26A6D">
        <w:rPr>
          <w:rFonts w:ascii="Times New Roman" w:hAnsi="Times New Roman" w:cs="Times New Roman"/>
          <w:sz w:val="24"/>
          <w:szCs w:val="24"/>
          <w:lang w:val="pt-BR"/>
        </w:rPr>
        <w:t>o papel principal das</w:t>
      </w:r>
      <w:r w:rsidR="007323D0" w:rsidRPr="00B26A6D">
        <w:rPr>
          <w:rFonts w:ascii="Times New Roman" w:hAnsi="Times New Roman" w:cs="Times New Roman"/>
          <w:sz w:val="24"/>
          <w:szCs w:val="24"/>
          <w:lang w:val="pt-BR"/>
        </w:rPr>
        <w:t xml:space="preserve"> </w:t>
      </w:r>
      <w:r w:rsidR="001D7A88" w:rsidRPr="00B26A6D">
        <w:rPr>
          <w:rFonts w:ascii="Times New Roman" w:hAnsi="Times New Roman" w:cs="Times New Roman"/>
          <w:sz w:val="24"/>
          <w:szCs w:val="24"/>
          <w:lang w:val="pt-BR"/>
        </w:rPr>
        <w:t>ferrovias</w:t>
      </w:r>
      <w:r w:rsidR="007323D0" w:rsidRPr="00B26A6D">
        <w:rPr>
          <w:rFonts w:ascii="Times New Roman" w:hAnsi="Times New Roman" w:cs="Times New Roman"/>
          <w:sz w:val="24"/>
          <w:szCs w:val="24"/>
          <w:lang w:val="pt-BR"/>
        </w:rPr>
        <w:t xml:space="preserve"> </w:t>
      </w:r>
      <w:r w:rsidR="001D7A88" w:rsidRPr="00B26A6D">
        <w:rPr>
          <w:rFonts w:ascii="Times New Roman" w:hAnsi="Times New Roman" w:cs="Times New Roman"/>
          <w:sz w:val="24"/>
          <w:szCs w:val="24"/>
          <w:lang w:val="pt-BR"/>
        </w:rPr>
        <w:t>era</w:t>
      </w:r>
      <w:r w:rsidR="007323D0" w:rsidRPr="00B26A6D">
        <w:rPr>
          <w:rFonts w:ascii="Times New Roman" w:hAnsi="Times New Roman" w:cs="Times New Roman"/>
          <w:sz w:val="24"/>
          <w:szCs w:val="24"/>
          <w:lang w:val="pt-BR"/>
        </w:rPr>
        <w:t xml:space="preserve"> ligar as áreas produtora</w:t>
      </w:r>
      <w:r w:rsidR="001D7A88" w:rsidRPr="00B26A6D">
        <w:rPr>
          <w:rFonts w:ascii="Times New Roman" w:hAnsi="Times New Roman" w:cs="Times New Roman"/>
          <w:sz w:val="24"/>
          <w:szCs w:val="24"/>
          <w:lang w:val="pt-BR"/>
        </w:rPr>
        <w:t>s de bens primários aos grandes portos</w:t>
      </w:r>
      <w:r w:rsidR="00C15E0E" w:rsidRPr="00B26A6D">
        <w:rPr>
          <w:rFonts w:ascii="Times New Roman" w:hAnsi="Times New Roman" w:cs="Times New Roman"/>
          <w:sz w:val="24"/>
          <w:szCs w:val="24"/>
          <w:lang w:val="pt-BR"/>
        </w:rPr>
        <w:t xml:space="preserve">, reduzindo o custo dos fretes e </w:t>
      </w:r>
      <w:r w:rsidR="004734CD" w:rsidRPr="00B26A6D">
        <w:rPr>
          <w:rFonts w:ascii="Times New Roman" w:hAnsi="Times New Roman" w:cs="Times New Roman"/>
          <w:sz w:val="24"/>
          <w:szCs w:val="24"/>
          <w:lang w:val="pt-BR"/>
        </w:rPr>
        <w:t>dando mais confiabilidade nas en</w:t>
      </w:r>
      <w:r w:rsidR="00C15E0E" w:rsidRPr="00B26A6D">
        <w:rPr>
          <w:rFonts w:ascii="Times New Roman" w:hAnsi="Times New Roman" w:cs="Times New Roman"/>
          <w:sz w:val="24"/>
          <w:szCs w:val="24"/>
          <w:lang w:val="pt-BR"/>
        </w:rPr>
        <w:t>tregas dos produtos.</w:t>
      </w:r>
    </w:p>
    <w:p w:rsidR="00C15E0E" w:rsidRPr="00B26A6D" w:rsidRDefault="00C15E0E" w:rsidP="00882287">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A expansão das ferrovias também teve significativo impacto na disponibilidade de mão</w:t>
      </w:r>
      <w:r w:rsidR="00AE0477" w:rsidRPr="00B26A6D">
        <w:rPr>
          <w:rFonts w:ascii="Times New Roman" w:hAnsi="Times New Roman" w:cs="Times New Roman"/>
          <w:sz w:val="24"/>
          <w:szCs w:val="24"/>
          <w:lang w:val="pt-BR"/>
        </w:rPr>
        <w:t xml:space="preserve"> </w:t>
      </w:r>
      <w:r w:rsidRPr="00B26A6D">
        <w:rPr>
          <w:rFonts w:ascii="Times New Roman" w:hAnsi="Times New Roman" w:cs="Times New Roman"/>
          <w:sz w:val="24"/>
          <w:szCs w:val="24"/>
          <w:lang w:val="pt-BR"/>
        </w:rPr>
        <w:t xml:space="preserve">de obra para a lavoura de café. Com o advento das estradas de ferro, houve uma significativa liberação de trabalhadores então ocupados com as tropas de mulas para as plantações de café. Entretanto, segundo Lamounier (2000), </w:t>
      </w:r>
      <w:r w:rsidR="004734CD" w:rsidRPr="00B26A6D">
        <w:rPr>
          <w:rFonts w:ascii="Times New Roman" w:hAnsi="Times New Roman" w:cs="Times New Roman"/>
          <w:sz w:val="24"/>
          <w:szCs w:val="24"/>
          <w:lang w:val="pt-BR"/>
        </w:rPr>
        <w:t xml:space="preserve">não há evidencias </w:t>
      </w:r>
      <w:r w:rsidRPr="00B26A6D">
        <w:rPr>
          <w:rFonts w:ascii="Times New Roman" w:hAnsi="Times New Roman" w:cs="Times New Roman"/>
          <w:sz w:val="24"/>
          <w:szCs w:val="24"/>
          <w:lang w:val="pt-BR"/>
        </w:rPr>
        <w:t>de que esse processo tenha sido linear, como parte da historiografia argumenta que foi. Segundo a autora, ainda não foram encont</w:t>
      </w:r>
      <w:r w:rsidR="004734CD" w:rsidRPr="00B26A6D">
        <w:rPr>
          <w:rFonts w:ascii="Times New Roman" w:hAnsi="Times New Roman" w:cs="Times New Roman"/>
          <w:sz w:val="24"/>
          <w:szCs w:val="24"/>
          <w:lang w:val="pt-BR"/>
        </w:rPr>
        <w:t>radas suficientes evidê</w:t>
      </w:r>
      <w:r w:rsidRPr="00B26A6D">
        <w:rPr>
          <w:rFonts w:ascii="Times New Roman" w:hAnsi="Times New Roman" w:cs="Times New Roman"/>
          <w:sz w:val="24"/>
          <w:szCs w:val="24"/>
          <w:lang w:val="pt-BR"/>
        </w:rPr>
        <w:t>ncias de onde e como a ferrovias ajudaram a desconstituir o sistema de transporte em atividade no período. Em alguns locais, os fretes de ferroviárias se mostraram mais caros do que os outros modelos de transporte, principalmente o fluvial, devido à falta de planejamento adequado e a diferença de bitolas, que aumentavam os custos da operação. Devido à falta de planejamento, a necessidade de mão de obra para transportar a produção até estações mal localizadas e para transportar os produtos para outros vagões</w:t>
      </w:r>
      <w:r w:rsidR="004734CD" w:rsidRPr="00B26A6D">
        <w:rPr>
          <w:rFonts w:ascii="Times New Roman" w:hAnsi="Times New Roman" w:cs="Times New Roman"/>
          <w:sz w:val="24"/>
          <w:szCs w:val="24"/>
          <w:lang w:val="pt-BR"/>
        </w:rPr>
        <w:t>,</w:t>
      </w:r>
      <w:r w:rsidRPr="00B26A6D">
        <w:rPr>
          <w:rFonts w:ascii="Times New Roman" w:hAnsi="Times New Roman" w:cs="Times New Roman"/>
          <w:sz w:val="24"/>
          <w:szCs w:val="24"/>
          <w:lang w:val="pt-BR"/>
        </w:rPr>
        <w:t xml:space="preserve"> quando havia troca das bitolas</w:t>
      </w:r>
      <w:r w:rsidR="004734CD" w:rsidRPr="00B26A6D">
        <w:rPr>
          <w:rFonts w:ascii="Times New Roman" w:hAnsi="Times New Roman" w:cs="Times New Roman"/>
          <w:sz w:val="24"/>
          <w:szCs w:val="24"/>
          <w:lang w:val="pt-BR"/>
        </w:rPr>
        <w:t>,</w:t>
      </w:r>
      <w:r w:rsidRPr="00B26A6D">
        <w:rPr>
          <w:rFonts w:ascii="Times New Roman" w:hAnsi="Times New Roman" w:cs="Times New Roman"/>
          <w:sz w:val="24"/>
          <w:szCs w:val="24"/>
          <w:lang w:val="pt-BR"/>
        </w:rPr>
        <w:t xml:space="preserve"> foi significativamente alta. </w:t>
      </w:r>
      <w:r w:rsidR="00AE0477" w:rsidRPr="00B26A6D">
        <w:rPr>
          <w:rFonts w:ascii="Times New Roman" w:hAnsi="Times New Roman" w:cs="Times New Roman"/>
          <w:sz w:val="24"/>
          <w:szCs w:val="24"/>
          <w:lang w:val="pt-BR"/>
        </w:rPr>
        <w:t xml:space="preserve">Além disso, as ferrovias permitiram uma aumento significativo da área plantada em distancias </w:t>
      </w:r>
      <w:r w:rsidR="00AE0477" w:rsidRPr="00B26A6D">
        <w:rPr>
          <w:rFonts w:ascii="Times New Roman" w:hAnsi="Times New Roman" w:cs="Times New Roman"/>
          <w:sz w:val="24"/>
          <w:szCs w:val="24"/>
          <w:lang w:val="pt-BR"/>
        </w:rPr>
        <w:lastRenderedPageBreak/>
        <w:t>cada vez maiores dos portos, o que aumentava a demanda por trabalhadores engajados no transporte do produto.</w:t>
      </w:r>
    </w:p>
    <w:p w:rsidR="00AE0477" w:rsidRPr="00B26A6D" w:rsidRDefault="00AE0477" w:rsidP="00882287">
      <w:pPr>
        <w:spacing w:line="360" w:lineRule="auto"/>
        <w:ind w:firstLine="720"/>
        <w:jc w:val="both"/>
        <w:rPr>
          <w:rFonts w:ascii="Times New Roman" w:hAnsi="Times New Roman" w:cs="Times New Roman"/>
          <w:color w:val="000000" w:themeColor="text1"/>
          <w:sz w:val="24"/>
          <w:szCs w:val="24"/>
          <w:lang w:val="pt-BR"/>
        </w:rPr>
      </w:pPr>
      <w:r w:rsidRPr="00B26A6D">
        <w:rPr>
          <w:rFonts w:ascii="Times New Roman" w:hAnsi="Times New Roman" w:cs="Times New Roman"/>
          <w:color w:val="000000" w:themeColor="text1"/>
          <w:sz w:val="24"/>
          <w:szCs w:val="24"/>
          <w:lang w:val="pt-BR"/>
        </w:rPr>
        <w:t>Ainda assim</w:t>
      </w:r>
      <w:r w:rsidR="00882287" w:rsidRPr="00B26A6D">
        <w:rPr>
          <w:rFonts w:ascii="Times New Roman" w:hAnsi="Times New Roman" w:cs="Times New Roman"/>
          <w:color w:val="000000" w:themeColor="text1"/>
          <w:sz w:val="24"/>
          <w:szCs w:val="24"/>
          <w:lang w:val="pt-BR"/>
        </w:rPr>
        <w:t>, o</w:t>
      </w:r>
      <w:r w:rsidRPr="00B26A6D">
        <w:rPr>
          <w:rFonts w:ascii="Times New Roman" w:hAnsi="Times New Roman" w:cs="Times New Roman"/>
          <w:color w:val="000000" w:themeColor="text1"/>
          <w:sz w:val="24"/>
          <w:szCs w:val="24"/>
          <w:lang w:val="pt-BR"/>
        </w:rPr>
        <w:t xml:space="preserve"> artigo de Batista, Barbosa e Godoy (2012) mostra que</w:t>
      </w:r>
      <w:r w:rsidR="00882287" w:rsidRPr="00B26A6D">
        <w:rPr>
          <w:rFonts w:ascii="Times New Roman" w:hAnsi="Times New Roman" w:cs="Times New Roman"/>
          <w:color w:val="000000" w:themeColor="text1"/>
          <w:sz w:val="24"/>
          <w:szCs w:val="24"/>
          <w:lang w:val="pt-BR"/>
        </w:rPr>
        <w:t xml:space="preserve"> aceitar essa premissa para a implantação das estradas de ferro no Brasil não significa ignorar as </w:t>
      </w:r>
      <w:r w:rsidR="00AE629B" w:rsidRPr="00B26A6D">
        <w:rPr>
          <w:rFonts w:ascii="Times New Roman" w:hAnsi="Times New Roman" w:cs="Times New Roman"/>
          <w:color w:val="000000" w:themeColor="text1"/>
          <w:sz w:val="24"/>
          <w:szCs w:val="24"/>
          <w:lang w:val="pt-BR"/>
        </w:rPr>
        <w:t>especificidades da modernização dos transportes em cada região.</w:t>
      </w:r>
    </w:p>
    <w:p w:rsidR="00193BCB" w:rsidRPr="00B26A6D" w:rsidRDefault="00193BCB" w:rsidP="00882287">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As estradas de ferro do estado de Minas Gerais foram desenvolvidas baseadas num sistema que ligava os portos às áreas de produção agrícola, partindo de um eixo principal assumido pela Estada de Ferro Central do Brasil (Estrada de Ferro Dom Pedro II), que ligava o estado ao porto do Rio de Janeiro. Os poucos momentos em que as ferrovias de minas tentaram se desvencilhar do porto do Rio de Janeiro, o fizeram com o intuito de se ligar à outros portos de exportaçã</w:t>
      </w:r>
      <w:r w:rsidR="00D936CC" w:rsidRPr="00B26A6D">
        <w:rPr>
          <w:rFonts w:ascii="Times New Roman" w:hAnsi="Times New Roman" w:cs="Times New Roman"/>
          <w:sz w:val="24"/>
          <w:szCs w:val="24"/>
          <w:lang w:val="pt-BR"/>
        </w:rPr>
        <w:t xml:space="preserve">o. </w:t>
      </w:r>
      <w:r w:rsidRPr="00B26A6D">
        <w:rPr>
          <w:rFonts w:ascii="Times New Roman" w:hAnsi="Times New Roman" w:cs="Times New Roman"/>
          <w:sz w:val="24"/>
          <w:szCs w:val="24"/>
          <w:lang w:val="pt-BR"/>
        </w:rPr>
        <w:t>Todavia, os sistema implantado pouco fez para resolver o problema de interligação da economia regional do estado, mesmo com sua volumosa expansão, e gerou um grande ônus para as finanças públicas estaduais sem a contrapartida de incentivo ao desenvolvimento regional.</w:t>
      </w:r>
    </w:p>
    <w:p w:rsidR="002D4910" w:rsidRPr="00B26A6D" w:rsidRDefault="00584984" w:rsidP="00882287">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Concluem Batista, Barbosa e Godoy (2012) que </w:t>
      </w:r>
      <w:r w:rsidR="00193BCB" w:rsidRPr="00B26A6D">
        <w:rPr>
          <w:rFonts w:ascii="Times New Roman" w:hAnsi="Times New Roman" w:cs="Times New Roman"/>
          <w:sz w:val="24"/>
          <w:szCs w:val="24"/>
          <w:lang w:val="pt-BR"/>
        </w:rPr>
        <w:t>essa</w:t>
      </w:r>
      <w:r w:rsidR="002D4910" w:rsidRPr="00B26A6D">
        <w:rPr>
          <w:rFonts w:ascii="Times New Roman" w:hAnsi="Times New Roman" w:cs="Times New Roman"/>
          <w:sz w:val="24"/>
          <w:szCs w:val="24"/>
          <w:lang w:val="pt-BR"/>
        </w:rPr>
        <w:t xml:space="preserve"> falta de dinamismo regional facultou ao Estado de Minas Gerais a perda de importância relativa na economia Brasileira</w:t>
      </w:r>
      <w:r w:rsidR="00B40759" w:rsidRPr="00B26A6D">
        <w:rPr>
          <w:rFonts w:ascii="Times New Roman" w:hAnsi="Times New Roman" w:cs="Times New Roman"/>
          <w:sz w:val="24"/>
          <w:szCs w:val="24"/>
          <w:lang w:val="pt-BR"/>
        </w:rPr>
        <w:t xml:space="preserve"> após a transição de uma economia mercantil escravista, no século XIX, para um quadro de mercado interno integrado em bases capitalista. Desta forma, tornou-se</w:t>
      </w:r>
      <w:r w:rsidR="002D4910" w:rsidRPr="00B26A6D">
        <w:rPr>
          <w:rFonts w:ascii="Times New Roman" w:hAnsi="Times New Roman" w:cs="Times New Roman"/>
          <w:sz w:val="24"/>
          <w:szCs w:val="24"/>
          <w:lang w:val="pt-BR"/>
        </w:rPr>
        <w:t xml:space="preserve"> um</w:t>
      </w:r>
      <w:r w:rsidR="00B40759" w:rsidRPr="00B26A6D">
        <w:rPr>
          <w:rFonts w:ascii="Times New Roman" w:hAnsi="Times New Roman" w:cs="Times New Roman"/>
          <w:sz w:val="24"/>
          <w:szCs w:val="24"/>
          <w:lang w:val="pt-BR"/>
        </w:rPr>
        <w:t>a</w:t>
      </w:r>
      <w:r w:rsidR="002D4910" w:rsidRPr="00B26A6D">
        <w:rPr>
          <w:rFonts w:ascii="Times New Roman" w:hAnsi="Times New Roman" w:cs="Times New Roman"/>
          <w:sz w:val="24"/>
          <w:szCs w:val="24"/>
          <w:lang w:val="pt-BR"/>
        </w:rPr>
        <w:t xml:space="preserve"> economia subordinada na divisão inter-regional do trabalho,</w:t>
      </w:r>
      <w:r w:rsidRPr="00B26A6D">
        <w:rPr>
          <w:rFonts w:ascii="Times New Roman" w:hAnsi="Times New Roman" w:cs="Times New Roman"/>
          <w:sz w:val="24"/>
          <w:szCs w:val="24"/>
          <w:lang w:val="pt-BR"/>
        </w:rPr>
        <w:t xml:space="preserve"> algo</w:t>
      </w:r>
      <w:r w:rsidR="002D4910" w:rsidRPr="00B26A6D">
        <w:rPr>
          <w:rFonts w:ascii="Times New Roman" w:hAnsi="Times New Roman" w:cs="Times New Roman"/>
          <w:sz w:val="24"/>
          <w:szCs w:val="24"/>
          <w:lang w:val="pt-BR"/>
        </w:rPr>
        <w:t xml:space="preserve"> que se tornaria irreversível após 1930. </w:t>
      </w:r>
      <w:r w:rsidR="00B40759" w:rsidRPr="00B26A6D">
        <w:rPr>
          <w:rFonts w:ascii="Times New Roman" w:hAnsi="Times New Roman" w:cs="Times New Roman"/>
          <w:sz w:val="24"/>
          <w:szCs w:val="24"/>
          <w:lang w:val="pt-BR"/>
        </w:rPr>
        <w:t xml:space="preserve"> </w:t>
      </w:r>
    </w:p>
    <w:p w:rsidR="00CC2689" w:rsidRPr="00B26A6D" w:rsidRDefault="00E85D3E" w:rsidP="00D936CC">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A falta de planejamentos se mostra, segundo Batista, Barbosa e Godoy (2012),</w:t>
      </w:r>
      <w:r w:rsidR="004734CD" w:rsidRPr="00B26A6D">
        <w:rPr>
          <w:rFonts w:ascii="Times New Roman" w:hAnsi="Times New Roman" w:cs="Times New Roman"/>
          <w:sz w:val="24"/>
          <w:szCs w:val="24"/>
          <w:lang w:val="pt-BR"/>
        </w:rPr>
        <w:t xml:space="preserve"> como</w:t>
      </w:r>
      <w:r w:rsidRPr="00B26A6D">
        <w:rPr>
          <w:rFonts w:ascii="Times New Roman" w:hAnsi="Times New Roman" w:cs="Times New Roman"/>
          <w:sz w:val="24"/>
          <w:szCs w:val="24"/>
          <w:lang w:val="pt-BR"/>
        </w:rPr>
        <w:t xml:space="preserve"> a marca maior do processo de ampliação da malha ferroviária mineira. Essa falta de planejamento </w:t>
      </w:r>
      <w:r w:rsidR="00301B0A" w:rsidRPr="00B26A6D">
        <w:rPr>
          <w:rFonts w:ascii="Times New Roman" w:hAnsi="Times New Roman" w:cs="Times New Roman"/>
          <w:sz w:val="24"/>
          <w:szCs w:val="24"/>
          <w:lang w:val="pt-BR"/>
        </w:rPr>
        <w:t>é</w:t>
      </w:r>
      <w:r w:rsidRPr="00B26A6D">
        <w:rPr>
          <w:rFonts w:ascii="Times New Roman" w:hAnsi="Times New Roman" w:cs="Times New Roman"/>
          <w:sz w:val="24"/>
          <w:szCs w:val="24"/>
          <w:lang w:val="pt-BR"/>
        </w:rPr>
        <w:t xml:space="preserve"> perceptível no desalinhamento entre as especificidades econ</w:t>
      </w:r>
      <w:r w:rsidR="00D936CC" w:rsidRPr="00B26A6D">
        <w:rPr>
          <w:rFonts w:ascii="Times New Roman" w:hAnsi="Times New Roman" w:cs="Times New Roman"/>
          <w:sz w:val="24"/>
          <w:szCs w:val="24"/>
          <w:lang w:val="pt-BR"/>
        </w:rPr>
        <w:t xml:space="preserve">ômicas e geográficas da região. </w:t>
      </w:r>
      <w:r w:rsidRPr="00B26A6D">
        <w:rPr>
          <w:rFonts w:ascii="Times New Roman" w:hAnsi="Times New Roman" w:cs="Times New Roman"/>
          <w:sz w:val="24"/>
          <w:szCs w:val="24"/>
          <w:lang w:val="pt-BR"/>
        </w:rPr>
        <w:t xml:space="preserve">Todavia, o texto mostra a existência de discordâncias no Âmbito da Assembleia Legislativa sobre a política ferroviária. </w:t>
      </w:r>
      <w:r w:rsidR="00D936CC" w:rsidRPr="00B26A6D">
        <w:rPr>
          <w:rFonts w:ascii="Times New Roman" w:hAnsi="Times New Roman" w:cs="Times New Roman"/>
          <w:sz w:val="24"/>
          <w:szCs w:val="24"/>
          <w:lang w:val="pt-BR"/>
        </w:rPr>
        <w:t xml:space="preserve">Essas discordância ocorriam, principalmente no tocante à forma como as concessões eram feitas, na distribuição geográfica dessas ferrovias, que poderia implicaram em sobreposição de áreas de interesse das companhias e na falta de volume industrial significativo </w:t>
      </w:r>
      <w:r w:rsidR="00D936CC" w:rsidRPr="00B26A6D">
        <w:rPr>
          <w:rFonts w:ascii="Times New Roman" w:hAnsi="Times New Roman" w:cs="Times New Roman"/>
          <w:color w:val="000000" w:themeColor="text1"/>
          <w:sz w:val="24"/>
          <w:szCs w:val="24"/>
          <w:lang w:val="pt-BR"/>
        </w:rPr>
        <w:t xml:space="preserve">para viabilizar um processo de implantação de estradas de ferro tão rápido e extenso como o proposto. </w:t>
      </w:r>
    </w:p>
    <w:p w:rsidR="004F33C9" w:rsidRPr="00B26A6D" w:rsidRDefault="004F33C9" w:rsidP="00882287">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Outro destaque que evidencia a falta de um planejamento geral no processo de expansão das ferrovias é a falta de interligação entre os diferentes modais de transporte à época, que era </w:t>
      </w:r>
      <w:r w:rsidRPr="00B26A6D">
        <w:rPr>
          <w:rFonts w:ascii="Times New Roman" w:hAnsi="Times New Roman" w:cs="Times New Roman"/>
          <w:sz w:val="24"/>
          <w:szCs w:val="24"/>
          <w:lang w:val="pt-BR"/>
        </w:rPr>
        <w:lastRenderedPageBreak/>
        <w:t>agravada pelo fato de que, historicamente, a circulação de pessoas e bens foi estruturada em torno das estradas de terra. (Batista, Barbosa e Godoy; 2012).</w:t>
      </w:r>
    </w:p>
    <w:p w:rsidR="004F33C9" w:rsidRPr="00B26A6D" w:rsidRDefault="004F33C9" w:rsidP="00882287">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No tocante à </w:t>
      </w:r>
      <w:r w:rsidR="001D26A1" w:rsidRPr="00B26A6D">
        <w:rPr>
          <w:rFonts w:ascii="Times New Roman" w:hAnsi="Times New Roman" w:cs="Times New Roman"/>
          <w:sz w:val="24"/>
          <w:szCs w:val="24"/>
          <w:lang w:val="pt-BR"/>
        </w:rPr>
        <w:t>origem</w:t>
      </w:r>
      <w:r w:rsidRPr="00B26A6D">
        <w:rPr>
          <w:rFonts w:ascii="Times New Roman" w:hAnsi="Times New Roman" w:cs="Times New Roman"/>
          <w:sz w:val="24"/>
          <w:szCs w:val="24"/>
          <w:lang w:val="pt-BR"/>
        </w:rPr>
        <w:t xml:space="preserve"> dos capitais investidos no processo de modernização </w:t>
      </w:r>
      <w:r w:rsidR="004734CD" w:rsidRPr="00B26A6D">
        <w:rPr>
          <w:rFonts w:ascii="Times New Roman" w:hAnsi="Times New Roman" w:cs="Times New Roman"/>
          <w:sz w:val="24"/>
          <w:szCs w:val="24"/>
          <w:lang w:val="pt-BR"/>
        </w:rPr>
        <w:t>dos transportes em Minas Gerais,</w:t>
      </w:r>
      <w:r w:rsidRPr="00B26A6D">
        <w:rPr>
          <w:rFonts w:ascii="Times New Roman" w:hAnsi="Times New Roman" w:cs="Times New Roman"/>
          <w:sz w:val="24"/>
          <w:szCs w:val="24"/>
          <w:lang w:val="pt-BR"/>
        </w:rPr>
        <w:t xml:space="preserve"> Batista, Barbosa e Godoy (2012) notaram certa heterogeneidade. </w:t>
      </w:r>
      <w:r w:rsidR="001D26A1" w:rsidRPr="00B26A6D">
        <w:rPr>
          <w:rFonts w:ascii="Times New Roman" w:hAnsi="Times New Roman" w:cs="Times New Roman"/>
          <w:sz w:val="24"/>
          <w:szCs w:val="24"/>
          <w:lang w:val="pt-BR"/>
        </w:rPr>
        <w:t xml:space="preserve">Houve uma relevante presença do capital estrangeiro, principalmente inglês e francês, e de capitais nacionais privados, principalmente no início da era ferroviária. Os capitais estrangeiros </w:t>
      </w:r>
      <w:r w:rsidR="004734CD" w:rsidRPr="00B26A6D">
        <w:rPr>
          <w:rFonts w:ascii="Times New Roman" w:hAnsi="Times New Roman" w:cs="Times New Roman"/>
          <w:sz w:val="24"/>
          <w:szCs w:val="24"/>
          <w:lang w:val="pt-BR"/>
        </w:rPr>
        <w:t>estiveram focados</w:t>
      </w:r>
      <w:r w:rsidR="001D26A1" w:rsidRPr="00B26A6D">
        <w:rPr>
          <w:rFonts w:ascii="Times New Roman" w:hAnsi="Times New Roman" w:cs="Times New Roman"/>
          <w:sz w:val="24"/>
          <w:szCs w:val="24"/>
          <w:lang w:val="pt-BR"/>
        </w:rPr>
        <w:t xml:space="preserve"> nas ferrovias ligadas à exportação dos produtos, enquanto os capitais nacionais foram ligeiramente dispersos.</w:t>
      </w:r>
    </w:p>
    <w:p w:rsidR="001D26A1" w:rsidRPr="00B26A6D" w:rsidRDefault="001D26A1" w:rsidP="00882287">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A participação do setor público, porém, foi de grande destaque, e cresceu à medida que a era ferroviária se mostrava menos viável economicamente. Assim, o governo passou de uma papel de financiador, por meio de encargos e concessões, para a atuação direta na administração das ferrovias e na continuidade de sua expansão, à partir de encampações e fusões de companhias. Em regra geral, segundo </w:t>
      </w:r>
      <w:r w:rsidR="008C7AF9" w:rsidRPr="00B26A6D">
        <w:rPr>
          <w:rFonts w:ascii="Times New Roman" w:hAnsi="Times New Roman" w:cs="Times New Roman"/>
          <w:sz w:val="24"/>
          <w:szCs w:val="24"/>
          <w:lang w:val="pt-BR"/>
        </w:rPr>
        <w:t>Batista, Barbosa e Godoy (2012), o Governo Estadual assumia a</w:t>
      </w:r>
      <w:r w:rsidR="004734CD" w:rsidRPr="00B26A6D">
        <w:rPr>
          <w:rFonts w:ascii="Times New Roman" w:hAnsi="Times New Roman" w:cs="Times New Roman"/>
          <w:sz w:val="24"/>
          <w:szCs w:val="24"/>
          <w:lang w:val="pt-BR"/>
        </w:rPr>
        <w:t xml:space="preserve"> responsabilidade de administrar</w:t>
      </w:r>
      <w:r w:rsidR="008C7AF9" w:rsidRPr="00B26A6D">
        <w:rPr>
          <w:rFonts w:ascii="Times New Roman" w:hAnsi="Times New Roman" w:cs="Times New Roman"/>
          <w:sz w:val="24"/>
          <w:szCs w:val="24"/>
          <w:lang w:val="pt-BR"/>
        </w:rPr>
        <w:t xml:space="preserve"> as companhias enquanto o governo federal arcava com os gastos de encampação.  Isso é uma particularidade do caso mineiro, que mostra a força da elite política da região, enquanto apenas 35,8% das estradas de ferro do Estado de São Paulo eram de propriedade ou concedidas pelo governo </w:t>
      </w:r>
      <w:r w:rsidR="00BE2381" w:rsidRPr="00B26A6D">
        <w:rPr>
          <w:rFonts w:ascii="Times New Roman" w:hAnsi="Times New Roman" w:cs="Times New Roman"/>
          <w:sz w:val="24"/>
          <w:szCs w:val="24"/>
          <w:lang w:val="pt-BR"/>
        </w:rPr>
        <w:t>federal, em</w:t>
      </w:r>
      <w:r w:rsidR="008C7AF9" w:rsidRPr="00B26A6D">
        <w:rPr>
          <w:rFonts w:ascii="Times New Roman" w:hAnsi="Times New Roman" w:cs="Times New Roman"/>
          <w:sz w:val="24"/>
          <w:szCs w:val="24"/>
          <w:lang w:val="pt-BR"/>
        </w:rPr>
        <w:t xml:space="preserve"> Minas Gerais esse número c</w:t>
      </w:r>
      <w:r w:rsidR="00193BCB" w:rsidRPr="00B26A6D">
        <w:rPr>
          <w:rFonts w:ascii="Times New Roman" w:hAnsi="Times New Roman" w:cs="Times New Roman"/>
          <w:sz w:val="24"/>
          <w:szCs w:val="24"/>
          <w:lang w:val="pt-BR"/>
        </w:rPr>
        <w:t>h</w:t>
      </w:r>
      <w:r w:rsidR="008C7AF9" w:rsidRPr="00B26A6D">
        <w:rPr>
          <w:rFonts w:ascii="Times New Roman" w:hAnsi="Times New Roman" w:cs="Times New Roman"/>
          <w:sz w:val="24"/>
          <w:szCs w:val="24"/>
          <w:lang w:val="pt-BR"/>
        </w:rPr>
        <w:t>egou a 87,5%, da</w:t>
      </w:r>
      <w:r w:rsidR="004734CD" w:rsidRPr="00B26A6D">
        <w:rPr>
          <w:rFonts w:ascii="Times New Roman" w:hAnsi="Times New Roman" w:cs="Times New Roman"/>
          <w:sz w:val="24"/>
          <w:szCs w:val="24"/>
          <w:lang w:val="pt-BR"/>
        </w:rPr>
        <w:t>n</w:t>
      </w:r>
      <w:r w:rsidR="008C7AF9" w:rsidRPr="00B26A6D">
        <w:rPr>
          <w:rFonts w:ascii="Times New Roman" w:hAnsi="Times New Roman" w:cs="Times New Roman"/>
          <w:sz w:val="24"/>
          <w:szCs w:val="24"/>
          <w:lang w:val="pt-BR"/>
        </w:rPr>
        <w:t>do à era ferroviária mineira um caráter antieconômico e patrimonialista.</w:t>
      </w:r>
    </w:p>
    <w:p w:rsidR="00F06E21" w:rsidRPr="00B26A6D" w:rsidRDefault="00F06E21" w:rsidP="00F06E21">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Ao final do artigo, Batista, Barbosa e Godoy (2012) propõe uma divisão da era ferroviária mineira em seis períodos distintos, baseando-se na evolução da implantação das estradas de ferro no Estado bem como na importância da participação do setor público em cada período e na dinâmica das principais companhias ferroviárias e regiões do estado que caracterizaram a era ferroviária mineira.</w:t>
      </w:r>
    </w:p>
    <w:p w:rsidR="00F06E21" w:rsidRPr="00B26A6D" w:rsidRDefault="00F06E21" w:rsidP="00F06E21">
      <w:pPr>
        <w:spacing w:line="360" w:lineRule="auto"/>
        <w:ind w:firstLine="720"/>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O primeiro período (1869-1878) marca o início da construção de ferrovias no Estado, inicialmente restrito à Zona da Mata e a apenas três companhias (D. Pedro II, Leopoldina e União Mineira) responsáveis por assentar 322km de trilhos. O segundo período </w:t>
      </w:r>
      <w:r w:rsidR="009C1167" w:rsidRPr="00B26A6D">
        <w:rPr>
          <w:rFonts w:ascii="Times New Roman" w:hAnsi="Times New Roman" w:cs="Times New Roman"/>
          <w:sz w:val="24"/>
          <w:szCs w:val="24"/>
          <w:lang w:val="pt-BR"/>
        </w:rPr>
        <w:t>(1879</w:t>
      </w:r>
      <w:r w:rsidRPr="00B26A6D">
        <w:rPr>
          <w:rFonts w:ascii="Times New Roman" w:hAnsi="Times New Roman" w:cs="Times New Roman"/>
          <w:sz w:val="24"/>
          <w:szCs w:val="24"/>
          <w:lang w:val="pt-BR"/>
        </w:rPr>
        <w:t>-1878) já apresenta uma maior rapidez no crescimento da malha ferroviária do Estado, atingindo, ao final do período, 3.567,371 km</w:t>
      </w:r>
      <w:r w:rsidR="003D3612" w:rsidRPr="00B26A6D">
        <w:rPr>
          <w:rFonts w:ascii="Times New Roman" w:hAnsi="Times New Roman" w:cs="Times New Roman"/>
          <w:sz w:val="24"/>
          <w:szCs w:val="24"/>
          <w:lang w:val="pt-BR"/>
        </w:rPr>
        <w:t>, com a malha ferroviária deixando</w:t>
      </w:r>
      <w:r w:rsidR="009C1167" w:rsidRPr="00B26A6D">
        <w:rPr>
          <w:rFonts w:ascii="Times New Roman" w:hAnsi="Times New Roman" w:cs="Times New Roman"/>
          <w:sz w:val="24"/>
          <w:szCs w:val="24"/>
          <w:lang w:val="pt-BR"/>
        </w:rPr>
        <w:t xml:space="preserve"> de ser restrita à Zona da Mata e estende</w:t>
      </w:r>
      <w:r w:rsidR="003D3612" w:rsidRPr="00B26A6D">
        <w:rPr>
          <w:rFonts w:ascii="Times New Roman" w:hAnsi="Times New Roman" w:cs="Times New Roman"/>
          <w:sz w:val="24"/>
          <w:szCs w:val="24"/>
          <w:lang w:val="pt-BR"/>
        </w:rPr>
        <w:t>ndo-</w:t>
      </w:r>
      <w:r w:rsidR="009C1167" w:rsidRPr="00B26A6D">
        <w:rPr>
          <w:rFonts w:ascii="Times New Roman" w:hAnsi="Times New Roman" w:cs="Times New Roman"/>
          <w:sz w:val="24"/>
          <w:szCs w:val="24"/>
          <w:lang w:val="pt-BR"/>
        </w:rPr>
        <w:t>se pelas outras regiões. Apesar de existir uma presença majoritária de empresas privadas no s</w:t>
      </w:r>
      <w:r w:rsidR="00FC5867" w:rsidRPr="00B26A6D">
        <w:rPr>
          <w:rFonts w:ascii="Times New Roman" w:hAnsi="Times New Roman" w:cs="Times New Roman"/>
          <w:sz w:val="24"/>
          <w:szCs w:val="24"/>
          <w:lang w:val="pt-BR"/>
        </w:rPr>
        <w:t xml:space="preserve">etor </w:t>
      </w:r>
      <w:r w:rsidR="00FC5867" w:rsidRPr="00B26A6D">
        <w:rPr>
          <w:rFonts w:ascii="Times New Roman" w:hAnsi="Times New Roman" w:cs="Times New Roman"/>
          <w:sz w:val="24"/>
          <w:szCs w:val="24"/>
          <w:lang w:val="pt-BR"/>
        </w:rPr>
        <w:lastRenderedPageBreak/>
        <w:t>ferroviário neste período</w:t>
      </w:r>
      <w:r w:rsidR="005F28C0" w:rsidRPr="00B26A6D">
        <w:rPr>
          <w:rFonts w:ascii="Times New Roman" w:hAnsi="Times New Roman" w:cs="Times New Roman"/>
          <w:sz w:val="24"/>
          <w:szCs w:val="24"/>
          <w:lang w:val="pt-BR"/>
        </w:rPr>
        <w:t>, a maior parte delas era baseada em</w:t>
      </w:r>
      <w:r w:rsidR="009C1167" w:rsidRPr="00B26A6D">
        <w:rPr>
          <w:rFonts w:ascii="Times New Roman" w:hAnsi="Times New Roman" w:cs="Times New Roman"/>
          <w:sz w:val="24"/>
          <w:szCs w:val="24"/>
          <w:lang w:val="pt-BR"/>
        </w:rPr>
        <w:t xml:space="preserve"> garantias de j</w:t>
      </w:r>
      <w:r w:rsidR="005F28C0" w:rsidRPr="00B26A6D">
        <w:rPr>
          <w:rFonts w:ascii="Times New Roman" w:hAnsi="Times New Roman" w:cs="Times New Roman"/>
          <w:sz w:val="24"/>
          <w:szCs w:val="24"/>
          <w:lang w:val="pt-BR"/>
        </w:rPr>
        <w:t>uros e subvenções quilométricas, com alto prejuízo para as finanças públicas</w:t>
      </w:r>
      <w:r w:rsidR="00FC5867" w:rsidRPr="00B26A6D">
        <w:rPr>
          <w:rFonts w:ascii="Times New Roman" w:hAnsi="Times New Roman" w:cs="Times New Roman"/>
          <w:sz w:val="24"/>
          <w:szCs w:val="24"/>
          <w:lang w:val="pt-BR"/>
        </w:rPr>
        <w:t>. Foram</w:t>
      </w:r>
      <w:r w:rsidR="009C1167" w:rsidRPr="00B26A6D">
        <w:rPr>
          <w:rFonts w:ascii="Times New Roman" w:hAnsi="Times New Roman" w:cs="Times New Roman"/>
          <w:sz w:val="24"/>
          <w:szCs w:val="24"/>
          <w:lang w:val="pt-BR"/>
        </w:rPr>
        <w:t xml:space="preserve"> esses mecanismos que garantiam a rentabilidade dos investimentos, a crença inerente do </w:t>
      </w:r>
      <w:r w:rsidR="00284604" w:rsidRPr="00B26A6D">
        <w:rPr>
          <w:rFonts w:ascii="Times New Roman" w:hAnsi="Times New Roman" w:cs="Times New Roman"/>
          <w:sz w:val="24"/>
          <w:szCs w:val="24"/>
          <w:lang w:val="pt-BR"/>
        </w:rPr>
        <w:t>período</w:t>
      </w:r>
      <w:r w:rsidR="009C1167" w:rsidRPr="00B26A6D">
        <w:rPr>
          <w:rFonts w:ascii="Times New Roman" w:hAnsi="Times New Roman" w:cs="Times New Roman"/>
          <w:sz w:val="24"/>
          <w:szCs w:val="24"/>
          <w:lang w:val="pt-BR"/>
        </w:rPr>
        <w:t xml:space="preserve"> que ligava diretamente as ferrovias à modernidade e a inexistência de interesse da classe dominantes por uma modelo de modernização dos transportes que permitisse o </w:t>
      </w:r>
      <w:r w:rsidR="00284604" w:rsidRPr="00B26A6D">
        <w:rPr>
          <w:rFonts w:ascii="Times New Roman" w:hAnsi="Times New Roman" w:cs="Times New Roman"/>
          <w:sz w:val="24"/>
          <w:szCs w:val="24"/>
          <w:lang w:val="pt-BR"/>
        </w:rPr>
        <w:t>desenvolvimento</w:t>
      </w:r>
      <w:r w:rsidR="009C1167" w:rsidRPr="00B26A6D">
        <w:rPr>
          <w:rFonts w:ascii="Times New Roman" w:hAnsi="Times New Roman" w:cs="Times New Roman"/>
          <w:sz w:val="24"/>
          <w:szCs w:val="24"/>
          <w:lang w:val="pt-BR"/>
        </w:rPr>
        <w:t xml:space="preserve"> regional q</w:t>
      </w:r>
      <w:r w:rsidR="00284604" w:rsidRPr="00B26A6D">
        <w:rPr>
          <w:rFonts w:ascii="Times New Roman" w:hAnsi="Times New Roman" w:cs="Times New Roman"/>
          <w:sz w:val="24"/>
          <w:szCs w:val="24"/>
          <w:lang w:val="pt-BR"/>
        </w:rPr>
        <w:t>ue levaram ao crescimento da malha ferroviária de maneira desarticulada e veloz neste período.</w:t>
      </w:r>
      <w:r w:rsidR="004734CD" w:rsidRPr="00B26A6D">
        <w:rPr>
          <w:rFonts w:ascii="Times New Roman" w:hAnsi="Times New Roman" w:cs="Times New Roman"/>
          <w:sz w:val="24"/>
          <w:szCs w:val="24"/>
          <w:lang w:val="pt-BR"/>
        </w:rPr>
        <w:t xml:space="preserve"> (Batista, Barbosa e Godoy; 2012).</w:t>
      </w:r>
    </w:p>
    <w:p w:rsidR="00CF0FCB" w:rsidRPr="00B26A6D" w:rsidRDefault="00CF0FCB" w:rsidP="00B8246F">
      <w:pPr>
        <w:spacing w:line="360" w:lineRule="auto"/>
        <w:ind w:firstLine="720"/>
        <w:jc w:val="both"/>
        <w:rPr>
          <w:rFonts w:ascii="Times New Roman" w:hAnsi="Times New Roman" w:cs="Times New Roman"/>
          <w:color w:val="000000" w:themeColor="text1"/>
          <w:sz w:val="24"/>
          <w:szCs w:val="24"/>
          <w:lang w:val="pt-BR"/>
        </w:rPr>
      </w:pPr>
      <w:r w:rsidRPr="00B26A6D">
        <w:rPr>
          <w:rFonts w:ascii="Times New Roman" w:hAnsi="Times New Roman" w:cs="Times New Roman"/>
          <w:sz w:val="24"/>
          <w:szCs w:val="24"/>
          <w:lang w:val="pt-BR"/>
        </w:rPr>
        <w:t xml:space="preserve">O terceiro período (1899-1907) registrou uma redução da velocidade de crescimento das estradas de ferro. Neste período o crescimento médio da malha foi de 39,5 km/ano, ante 154 km/ano </w:t>
      </w:r>
      <w:r w:rsidRPr="00B26A6D">
        <w:rPr>
          <w:rFonts w:ascii="Times New Roman" w:hAnsi="Times New Roman" w:cs="Times New Roman"/>
          <w:color w:val="000000" w:themeColor="text1"/>
          <w:sz w:val="24"/>
          <w:szCs w:val="24"/>
          <w:lang w:val="pt-BR"/>
        </w:rPr>
        <w:t>no período anterior. Houve uma forte mudança de domínio das estradas de ferro do setor privado para o público, com o governo do Estado realizando uma forte política de encampação e administração direta. Assim, o peso do processo de modernização das ferrovias sobre as finanças do Estado continuou a aumentar, principalmente pelo fato de a maioria das empresas encampadas não registrarem lucros operacionais. O quarto período (1909-1916) representou o auge da era ferroviária mineira, com um crescime</w:t>
      </w:r>
      <w:r w:rsidR="00FC5867" w:rsidRPr="00B26A6D">
        <w:rPr>
          <w:rFonts w:ascii="Times New Roman" w:hAnsi="Times New Roman" w:cs="Times New Roman"/>
          <w:color w:val="000000" w:themeColor="text1"/>
          <w:sz w:val="24"/>
          <w:szCs w:val="24"/>
          <w:lang w:val="pt-BR"/>
        </w:rPr>
        <w:t>nto dos trilhos de 271,3 km/ano</w:t>
      </w:r>
      <w:r w:rsidR="00B8246F" w:rsidRPr="00B26A6D">
        <w:rPr>
          <w:rFonts w:ascii="Times New Roman" w:hAnsi="Times New Roman" w:cs="Times New Roman"/>
          <w:color w:val="000000" w:themeColor="text1"/>
          <w:sz w:val="24"/>
          <w:szCs w:val="24"/>
          <w:lang w:val="pt-BR"/>
        </w:rPr>
        <w:t>.</w:t>
      </w:r>
      <w:r w:rsidR="004734CD" w:rsidRPr="00B26A6D">
        <w:rPr>
          <w:rFonts w:ascii="Times New Roman" w:hAnsi="Times New Roman" w:cs="Times New Roman"/>
          <w:color w:val="000000" w:themeColor="text1"/>
          <w:sz w:val="24"/>
          <w:szCs w:val="24"/>
          <w:lang w:val="pt-BR"/>
        </w:rPr>
        <w:t xml:space="preserve"> (Batista, Barbosa e Godoy; 2012).</w:t>
      </w:r>
    </w:p>
    <w:p w:rsidR="007E4F0A" w:rsidRPr="00B26A6D" w:rsidRDefault="00B8246F" w:rsidP="007E4F0A">
      <w:pPr>
        <w:spacing w:line="360" w:lineRule="auto"/>
        <w:ind w:firstLine="720"/>
        <w:jc w:val="both"/>
        <w:rPr>
          <w:rFonts w:ascii="Times New Roman" w:hAnsi="Times New Roman" w:cs="Times New Roman"/>
          <w:color w:val="000000" w:themeColor="text1"/>
          <w:sz w:val="24"/>
          <w:szCs w:val="24"/>
          <w:lang w:val="pt-BR"/>
        </w:rPr>
      </w:pPr>
      <w:r w:rsidRPr="00B26A6D">
        <w:rPr>
          <w:rFonts w:ascii="Times New Roman" w:hAnsi="Times New Roman" w:cs="Times New Roman"/>
          <w:color w:val="000000" w:themeColor="text1"/>
          <w:sz w:val="24"/>
          <w:szCs w:val="24"/>
          <w:lang w:val="pt-BR"/>
        </w:rPr>
        <w:t>O quinto período (1917-1927) mostra uma evolução mais lenta das ferrovias, bem como um aumento da preocupação do</w:t>
      </w:r>
      <w:r w:rsidR="0089179E" w:rsidRPr="00B26A6D">
        <w:rPr>
          <w:rFonts w:ascii="Times New Roman" w:hAnsi="Times New Roman" w:cs="Times New Roman"/>
          <w:color w:val="000000" w:themeColor="text1"/>
          <w:sz w:val="24"/>
          <w:szCs w:val="24"/>
          <w:lang w:val="pt-BR"/>
        </w:rPr>
        <w:t xml:space="preserve"> poder público com as rodovias.</w:t>
      </w:r>
      <w:r w:rsidR="007E4F0A" w:rsidRPr="00B26A6D">
        <w:rPr>
          <w:rFonts w:ascii="Times New Roman" w:hAnsi="Times New Roman" w:cs="Times New Roman"/>
          <w:color w:val="000000" w:themeColor="text1"/>
          <w:sz w:val="24"/>
          <w:szCs w:val="24"/>
          <w:lang w:val="pt-BR"/>
        </w:rPr>
        <w:t xml:space="preserve"> </w:t>
      </w:r>
      <w:r w:rsidR="0089179E" w:rsidRPr="00B26A6D">
        <w:rPr>
          <w:rFonts w:ascii="Times New Roman" w:hAnsi="Times New Roman" w:cs="Times New Roman"/>
          <w:color w:val="000000" w:themeColor="text1"/>
          <w:sz w:val="24"/>
          <w:szCs w:val="24"/>
          <w:lang w:val="pt-BR"/>
        </w:rPr>
        <w:t xml:space="preserve"> </w:t>
      </w:r>
      <w:r w:rsidR="007E4F0A" w:rsidRPr="00B26A6D">
        <w:rPr>
          <w:rFonts w:ascii="Times New Roman" w:hAnsi="Times New Roman" w:cs="Times New Roman"/>
          <w:color w:val="000000" w:themeColor="text1"/>
          <w:sz w:val="24"/>
          <w:szCs w:val="24"/>
          <w:lang w:val="pt-BR"/>
        </w:rPr>
        <w:t xml:space="preserve">Percebia-se, nesse momento, a necessidade de se redesenhar parte da malha ferroviária do Estado para atender melhor as necessidade econômicas da região. Isto é percebido, segundo Batista, Barbosa e Godoy (2012), no modo como se desenvolveram as estradas de ferro no período e o fato de Belo Horizonte passar a representar um ponto central do sistema de transportes. As rodovias apareciam ainda apenas de forma complementar às ferrovias, mas não são, de nenhuma forma, irrelevantes. Ao final do período, estas já acumulavam 11.983,8 km de extensão, e continuariam a crescer no período subsequente formando a base para o advento do rodoviarismo na década de 1940. </w:t>
      </w:r>
      <w:r w:rsidR="003D3612" w:rsidRPr="00B26A6D">
        <w:rPr>
          <w:rFonts w:ascii="Times New Roman" w:hAnsi="Times New Roman" w:cs="Times New Roman"/>
          <w:color w:val="000000" w:themeColor="text1"/>
          <w:sz w:val="24"/>
          <w:szCs w:val="24"/>
          <w:lang w:val="pt-BR"/>
        </w:rPr>
        <w:t xml:space="preserve">No período final da era ferroviária (1928-1940), as ferrovias continuaram o processo de perda de relevância diante das rodovias. Todavia, os gastos públicos com as estradas de fero continuaram em crescimento, com a política do governo do Estado de assumir a responsabilidade pelas estradas de ferro em controle da União, exceto a Central do Brasil. O modal rodoviário, por sua vez, continuava em crescimento, formando a base para tornar-se o principal modal de transportes </w:t>
      </w:r>
      <w:r w:rsidR="004734CD" w:rsidRPr="00B26A6D">
        <w:rPr>
          <w:rFonts w:ascii="Times New Roman" w:hAnsi="Times New Roman" w:cs="Times New Roman"/>
          <w:color w:val="000000" w:themeColor="text1"/>
          <w:sz w:val="24"/>
          <w:szCs w:val="24"/>
          <w:lang w:val="pt-BR"/>
        </w:rPr>
        <w:t>do</w:t>
      </w:r>
      <w:r w:rsidR="003D3612" w:rsidRPr="00B26A6D">
        <w:rPr>
          <w:rFonts w:ascii="Times New Roman" w:hAnsi="Times New Roman" w:cs="Times New Roman"/>
          <w:color w:val="000000" w:themeColor="text1"/>
          <w:sz w:val="24"/>
          <w:szCs w:val="24"/>
          <w:lang w:val="pt-BR"/>
        </w:rPr>
        <w:t xml:space="preserve"> Binômio Energia e Transportes</w:t>
      </w:r>
      <w:r w:rsidR="004734CD" w:rsidRPr="00B26A6D">
        <w:rPr>
          <w:rFonts w:ascii="Times New Roman" w:hAnsi="Times New Roman" w:cs="Times New Roman"/>
          <w:color w:val="000000" w:themeColor="text1"/>
          <w:sz w:val="24"/>
          <w:szCs w:val="24"/>
          <w:lang w:val="pt-BR"/>
        </w:rPr>
        <w:t>,</w:t>
      </w:r>
      <w:r w:rsidR="003D3612" w:rsidRPr="00B26A6D">
        <w:rPr>
          <w:rFonts w:ascii="Times New Roman" w:hAnsi="Times New Roman" w:cs="Times New Roman"/>
          <w:color w:val="000000" w:themeColor="text1"/>
          <w:sz w:val="24"/>
          <w:szCs w:val="24"/>
          <w:lang w:val="pt-BR"/>
        </w:rPr>
        <w:t xml:space="preserve"> no Governo Juscelino Kubitschek. </w:t>
      </w:r>
      <w:r w:rsidR="004734CD" w:rsidRPr="00B26A6D">
        <w:rPr>
          <w:rFonts w:ascii="Times New Roman" w:hAnsi="Times New Roman" w:cs="Times New Roman"/>
          <w:color w:val="000000" w:themeColor="text1"/>
          <w:sz w:val="24"/>
          <w:szCs w:val="24"/>
          <w:lang w:val="pt-BR"/>
        </w:rPr>
        <w:t>(Batista, Barbosa e Godoy; 2012).</w:t>
      </w:r>
    </w:p>
    <w:p w:rsidR="004734CD" w:rsidRPr="00B26A6D" w:rsidRDefault="004734CD" w:rsidP="004734CD">
      <w:pPr>
        <w:ind w:firstLine="720"/>
        <w:jc w:val="both"/>
        <w:rPr>
          <w:rFonts w:ascii="Times New Roman" w:hAnsi="Times New Roman" w:cs="Times New Roman"/>
          <w:color w:val="000000" w:themeColor="text1"/>
          <w:sz w:val="24"/>
          <w:szCs w:val="24"/>
          <w:lang w:val="pt-BR"/>
        </w:rPr>
      </w:pPr>
    </w:p>
    <w:p w:rsidR="004734CD" w:rsidRPr="00B26A6D" w:rsidRDefault="004734CD" w:rsidP="004734CD">
      <w:pPr>
        <w:ind w:firstLine="720"/>
        <w:jc w:val="both"/>
        <w:rPr>
          <w:rFonts w:ascii="Times New Roman" w:hAnsi="Times New Roman" w:cs="Times New Roman"/>
          <w:b/>
          <w:color w:val="000000" w:themeColor="text1"/>
          <w:sz w:val="24"/>
          <w:szCs w:val="24"/>
          <w:lang w:val="pt-BR"/>
        </w:rPr>
      </w:pPr>
      <w:r w:rsidRPr="00B26A6D">
        <w:rPr>
          <w:rFonts w:ascii="Times New Roman" w:hAnsi="Times New Roman" w:cs="Times New Roman"/>
          <w:b/>
          <w:color w:val="000000" w:themeColor="text1"/>
          <w:sz w:val="24"/>
          <w:szCs w:val="24"/>
          <w:lang w:val="pt-BR"/>
        </w:rPr>
        <w:t>3 CONCLUSÂO</w:t>
      </w:r>
    </w:p>
    <w:p w:rsidR="004734CD" w:rsidRPr="00B26A6D" w:rsidRDefault="004734CD" w:rsidP="004734CD">
      <w:pPr>
        <w:ind w:firstLine="720"/>
        <w:jc w:val="both"/>
        <w:rPr>
          <w:rFonts w:ascii="Times New Roman" w:hAnsi="Times New Roman" w:cs="Times New Roman"/>
          <w:color w:val="000000" w:themeColor="text1"/>
          <w:sz w:val="24"/>
          <w:szCs w:val="24"/>
          <w:lang w:val="pt-BR"/>
        </w:rPr>
      </w:pPr>
    </w:p>
    <w:p w:rsidR="003D3612" w:rsidRPr="00B26A6D" w:rsidRDefault="00846C72" w:rsidP="007E4F0A">
      <w:pPr>
        <w:spacing w:line="360" w:lineRule="auto"/>
        <w:ind w:firstLine="720"/>
        <w:jc w:val="both"/>
        <w:rPr>
          <w:rFonts w:ascii="Times New Roman" w:hAnsi="Times New Roman" w:cs="Times New Roman"/>
          <w:color w:val="000000" w:themeColor="text1"/>
          <w:sz w:val="24"/>
          <w:szCs w:val="24"/>
          <w:lang w:val="pt-BR"/>
        </w:rPr>
      </w:pPr>
      <w:r w:rsidRPr="00B26A6D">
        <w:rPr>
          <w:rFonts w:ascii="Times New Roman" w:hAnsi="Times New Roman" w:cs="Times New Roman"/>
          <w:color w:val="000000" w:themeColor="text1"/>
          <w:sz w:val="24"/>
          <w:szCs w:val="24"/>
          <w:lang w:val="pt-BR"/>
        </w:rPr>
        <w:t xml:space="preserve">O artigo, e as conclusões, de Batista, Barbosa e Godoy (2012) mostram que apesar de existir uma ligação forte entre o processo de modernização dos transportes no Brasil, ligado diretamente ao crescimento </w:t>
      </w:r>
      <w:r w:rsidR="00A649A8" w:rsidRPr="00B26A6D">
        <w:rPr>
          <w:rFonts w:ascii="Times New Roman" w:hAnsi="Times New Roman" w:cs="Times New Roman"/>
          <w:color w:val="000000" w:themeColor="text1"/>
          <w:sz w:val="24"/>
          <w:szCs w:val="24"/>
          <w:lang w:val="pt-BR"/>
        </w:rPr>
        <w:t>da economia agrário-exportadora, as características regionais não podem ser desconsideradas na análise do processo de modernização dos transportes.</w:t>
      </w:r>
      <w:r w:rsidRPr="00B26A6D">
        <w:rPr>
          <w:rFonts w:ascii="Times New Roman" w:hAnsi="Times New Roman" w:cs="Times New Roman"/>
          <w:color w:val="000000" w:themeColor="text1"/>
          <w:sz w:val="24"/>
          <w:szCs w:val="24"/>
          <w:lang w:val="pt-BR"/>
        </w:rPr>
        <w:t xml:space="preserve"> </w:t>
      </w:r>
    </w:p>
    <w:p w:rsidR="009B38CD" w:rsidRPr="00B26A6D" w:rsidRDefault="009B38CD" w:rsidP="009B38CD">
      <w:pPr>
        <w:spacing w:line="360" w:lineRule="auto"/>
        <w:ind w:firstLine="720"/>
        <w:jc w:val="both"/>
        <w:rPr>
          <w:rFonts w:ascii="Times New Roman" w:hAnsi="Times New Roman" w:cs="Times New Roman"/>
          <w:color w:val="000000" w:themeColor="text1"/>
          <w:lang w:val="pt-BR"/>
        </w:rPr>
      </w:pPr>
      <w:r w:rsidRPr="00B26A6D">
        <w:rPr>
          <w:rFonts w:ascii="Times New Roman" w:eastAsia="Times New Roman" w:hAnsi="Times New Roman" w:cs="Times New Roman"/>
          <w:color w:val="000000" w:themeColor="text1"/>
          <w:sz w:val="24"/>
          <w:lang w:val="pt-BR"/>
        </w:rPr>
        <w:t>De início o plano de construção das ferrovias se mostrou eficiente, provocando uma economia de tempo e capitais relevantes. Entretanto a   falta de planejamento na concepção e execução dos planos de realização das ferrovias e de não serem levados em consideração os fatores topográficos e as peculiaridades regionais bem como, segundo Queiroz (1999),  uma análise econômica fria, que desaconselharia a construção  ferroviária no pais , devido à inadequação entre o grande porte dos empreendimentos ferroviários e a modéstia dos volumes a transportar levou o que era para ser um grande salto para o futuro para um grande fracasso.</w:t>
      </w:r>
    </w:p>
    <w:p w:rsidR="009B38CD" w:rsidRPr="00B26A6D" w:rsidRDefault="009B38CD" w:rsidP="009B38CD">
      <w:pPr>
        <w:spacing w:line="360" w:lineRule="auto"/>
        <w:ind w:firstLine="720"/>
        <w:jc w:val="both"/>
        <w:rPr>
          <w:rFonts w:ascii="Times New Roman" w:hAnsi="Times New Roman" w:cs="Times New Roman"/>
          <w:color w:val="000000" w:themeColor="text1"/>
          <w:lang w:val="pt-BR"/>
        </w:rPr>
      </w:pPr>
      <w:r w:rsidRPr="00B26A6D">
        <w:rPr>
          <w:rFonts w:ascii="Times New Roman" w:eastAsia="Times New Roman" w:hAnsi="Times New Roman" w:cs="Times New Roman"/>
          <w:color w:val="000000" w:themeColor="text1"/>
          <w:sz w:val="24"/>
          <w:lang w:val="pt-BR"/>
        </w:rPr>
        <w:t>A experiência ferroviária em Minas Gerais mostra que a generalização desse processo; por não levar em conta as particularidade regionais e realizar uma interligação do mercado interno do Estado, bem como basear-se intensamente numa crença ideologia de que a ferrovia era incontestavelmente ligada ao progresso; resultou em deixa-lo numa posição periférica na dinâmica economia do país.</w:t>
      </w:r>
      <w:r w:rsidR="00B566B5" w:rsidRPr="00B26A6D">
        <w:rPr>
          <w:rFonts w:ascii="Times New Roman" w:eastAsia="Times New Roman" w:hAnsi="Times New Roman" w:cs="Times New Roman"/>
          <w:color w:val="000000" w:themeColor="text1"/>
          <w:sz w:val="24"/>
          <w:lang w:val="pt-BR"/>
        </w:rPr>
        <w:t xml:space="preserve"> (Batista, Barbosa e Godoy; 2012).</w:t>
      </w:r>
    </w:p>
    <w:p w:rsidR="009B38CD" w:rsidRPr="00B26A6D" w:rsidRDefault="009B38CD" w:rsidP="009B38CD">
      <w:pPr>
        <w:spacing w:line="360" w:lineRule="auto"/>
        <w:ind w:firstLine="720"/>
        <w:jc w:val="both"/>
        <w:rPr>
          <w:rFonts w:ascii="Times New Roman" w:hAnsi="Times New Roman" w:cs="Times New Roman"/>
          <w:color w:val="000000" w:themeColor="text1"/>
          <w:lang w:val="pt-BR"/>
        </w:rPr>
      </w:pPr>
      <w:r w:rsidRPr="00B26A6D">
        <w:rPr>
          <w:rFonts w:ascii="Times New Roman" w:eastAsia="Times New Roman" w:hAnsi="Times New Roman" w:cs="Times New Roman"/>
          <w:color w:val="000000" w:themeColor="text1"/>
          <w:sz w:val="24"/>
          <w:lang w:val="pt-BR"/>
        </w:rPr>
        <w:t>À esses problemas, segundo Batista, Barbosa e Godoy (2012), soma-se outro fator de importância que prejudicou o devido planejamento da era ferroviária mineira e conduziu esse processo à ineficiência, que foi a forma como as ferrovias foram inicialmente implantadas. A oferta de grandes incentivos atraíram capitais que não necessariamente foram eficiente em construir uma rede ferroviária que trouxesse desenvolvimento ao Estado. Ainda, quando estes empresas privadas se mostraram incapazes de obter lucros, o estado decidiu por encampa-las.</w:t>
      </w:r>
    </w:p>
    <w:p w:rsidR="009B38CD" w:rsidRPr="00B26A6D" w:rsidRDefault="009B38CD" w:rsidP="009B38CD">
      <w:pPr>
        <w:spacing w:line="360" w:lineRule="auto"/>
        <w:ind w:firstLine="720"/>
        <w:jc w:val="both"/>
        <w:rPr>
          <w:rFonts w:ascii="Times New Roman" w:hAnsi="Times New Roman" w:cs="Times New Roman"/>
          <w:color w:val="000000" w:themeColor="text1"/>
          <w:lang w:val="pt-BR"/>
        </w:rPr>
      </w:pPr>
      <w:r w:rsidRPr="00B26A6D">
        <w:rPr>
          <w:rFonts w:ascii="Times New Roman" w:eastAsia="Times New Roman" w:hAnsi="Times New Roman" w:cs="Times New Roman"/>
          <w:color w:val="000000" w:themeColor="text1"/>
          <w:sz w:val="24"/>
          <w:lang w:val="pt-BR"/>
        </w:rPr>
        <w:t>Salientamos então que o resultado ineficiente da instalação das ferrovias em nosso país se deu por fatores internos principalmente a falta de planejamento e demasiado fascínio com as ferrovias dissociado das reais necessidades brasileiras como por exemplo a quantidade de carga a ser transportada e a ligação com outras formas de transporte já existentes.</w:t>
      </w:r>
    </w:p>
    <w:p w:rsidR="00193BCB" w:rsidRPr="00B26A6D" w:rsidRDefault="009B38CD" w:rsidP="007762C4">
      <w:pPr>
        <w:spacing w:line="360" w:lineRule="auto"/>
        <w:ind w:firstLine="720"/>
        <w:jc w:val="both"/>
        <w:rPr>
          <w:rFonts w:ascii="Times New Roman" w:hAnsi="Times New Roman" w:cs="Times New Roman"/>
          <w:b/>
          <w:sz w:val="24"/>
          <w:szCs w:val="24"/>
          <w:lang w:val="pt-BR"/>
        </w:rPr>
      </w:pPr>
      <w:r w:rsidRPr="00B26A6D">
        <w:rPr>
          <w:rFonts w:ascii="Times New Roman" w:eastAsia="Times New Roman" w:hAnsi="Times New Roman" w:cs="Times New Roman"/>
          <w:color w:val="000000" w:themeColor="text1"/>
          <w:sz w:val="24"/>
          <w:lang w:val="pt-BR"/>
        </w:rPr>
        <w:lastRenderedPageBreak/>
        <w:t>E não se pode atribuir os problemas a falta de mão de obra pois como bem disse Lamounier (2000) as evidências, demonstram que as companhias ferroviárias estavam bem supridas de mão-de-obra. Havia escassez de trabalhadores apenas em regiões desertas como a Amazônia. Também havia falta de mão-de-obra para aquelas tarefas consideradas muito difíceis, árduas ou perigosas. No Nordeste, assim como no Sudeste, os empreiteiros encontraram uma força de trabalho que podia ser recrutada localmente e que podia ser rapidamente treinada para desempenhar tarefas semiespecializadas. Nem a falta de financiamento pois houve uma relevante presença do capital estrangeiro, principalmente inglês e francês, e de capitais nacionais privados, principalmente no início da era ferroviária. Os capitais estrangeiros estiveram focados nas ferrovias ligadas à exportação dos produtos, enquanto os capitais nacionais foram ligeiramente dispersos.</w:t>
      </w:r>
    </w:p>
    <w:p w:rsidR="00E9568A" w:rsidRPr="00B26A6D" w:rsidRDefault="00E9568A" w:rsidP="00E9568A">
      <w:pPr>
        <w:jc w:val="center"/>
        <w:rPr>
          <w:rFonts w:ascii="Times New Roman" w:hAnsi="Times New Roman" w:cs="Times New Roman"/>
          <w:b/>
          <w:sz w:val="24"/>
          <w:szCs w:val="24"/>
          <w:lang w:val="pt-BR"/>
        </w:rPr>
      </w:pPr>
      <w:r w:rsidRPr="00B26A6D">
        <w:rPr>
          <w:rFonts w:ascii="Times New Roman" w:hAnsi="Times New Roman" w:cs="Times New Roman"/>
          <w:b/>
          <w:sz w:val="24"/>
          <w:szCs w:val="24"/>
          <w:lang w:val="pt-BR"/>
        </w:rPr>
        <w:t>REFERENCIAS</w:t>
      </w:r>
    </w:p>
    <w:p w:rsidR="00E9568A" w:rsidRPr="00B26A6D" w:rsidRDefault="00E9568A" w:rsidP="00E9568A">
      <w:pPr>
        <w:jc w:val="center"/>
        <w:rPr>
          <w:rFonts w:ascii="Times New Roman" w:hAnsi="Times New Roman" w:cs="Times New Roman"/>
          <w:b/>
          <w:sz w:val="24"/>
          <w:szCs w:val="24"/>
          <w:lang w:val="pt-BR"/>
        </w:rPr>
      </w:pPr>
    </w:p>
    <w:p w:rsidR="00E9568A" w:rsidRPr="00B26A6D" w:rsidRDefault="00E9568A" w:rsidP="00250A9E">
      <w:pPr>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BATISTA, Felipe Alvarenga de; BARBOSA, Lidiany Silva; GODOY, Marcelo Magalhães. </w:t>
      </w:r>
      <w:r w:rsidRPr="00B26A6D">
        <w:rPr>
          <w:rFonts w:ascii="Times New Roman" w:hAnsi="Times New Roman" w:cs="Times New Roman"/>
          <w:b/>
          <w:sz w:val="24"/>
          <w:szCs w:val="24"/>
          <w:lang w:val="pt-BR"/>
        </w:rPr>
        <w:t xml:space="preserve">Transportes, modernização e formação regional: subsídios a história da era ferroviária mineira, 1870-1940. </w:t>
      </w:r>
      <w:r w:rsidRPr="00B26A6D">
        <w:rPr>
          <w:rFonts w:ascii="Times New Roman" w:hAnsi="Times New Roman" w:cs="Times New Roman"/>
          <w:sz w:val="24"/>
          <w:szCs w:val="24"/>
          <w:lang w:val="pt-BR"/>
        </w:rPr>
        <w:t>Belo Horizonte: UFMG/CEDEPLAR, 2012</w:t>
      </w:r>
      <w:r w:rsidR="00250A9E" w:rsidRPr="00B26A6D">
        <w:rPr>
          <w:rFonts w:ascii="Times New Roman" w:hAnsi="Times New Roman" w:cs="Times New Roman"/>
          <w:sz w:val="24"/>
          <w:szCs w:val="24"/>
          <w:lang w:val="pt-BR"/>
        </w:rPr>
        <w:t>. (Textos para Discussão, 458)</w:t>
      </w:r>
    </w:p>
    <w:p w:rsidR="00250A9E" w:rsidRPr="00B26A6D" w:rsidRDefault="00250A9E" w:rsidP="00250A9E">
      <w:pPr>
        <w:jc w:val="both"/>
        <w:rPr>
          <w:rFonts w:ascii="Times New Roman" w:hAnsi="Times New Roman" w:cs="Times New Roman"/>
          <w:sz w:val="24"/>
          <w:szCs w:val="24"/>
          <w:lang w:val="pt-BR"/>
        </w:rPr>
      </w:pPr>
    </w:p>
    <w:p w:rsidR="00460796" w:rsidRPr="00B26A6D" w:rsidRDefault="00D64D09" w:rsidP="000C2936">
      <w:pPr>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LAMOUNIER, Maria Lúcia. </w:t>
      </w:r>
      <w:r w:rsidRPr="00B26A6D">
        <w:rPr>
          <w:rFonts w:ascii="Times New Roman" w:hAnsi="Times New Roman" w:cs="Times New Roman"/>
          <w:b/>
          <w:sz w:val="24"/>
          <w:szCs w:val="24"/>
          <w:lang w:val="pt-BR"/>
        </w:rPr>
        <w:t>Ferrovias, agricultura de exportação e mão-de-obra no Brasil no século XIX</w:t>
      </w:r>
      <w:r w:rsidRPr="00B26A6D">
        <w:rPr>
          <w:rFonts w:ascii="Times New Roman" w:hAnsi="Times New Roman" w:cs="Times New Roman"/>
          <w:sz w:val="24"/>
          <w:szCs w:val="24"/>
          <w:lang w:val="pt-BR"/>
        </w:rPr>
        <w:t>. História Econômica &amp; História de Empresas, 2000, vol. 3, p.  43-76.</w:t>
      </w:r>
    </w:p>
    <w:p w:rsidR="00CC379D" w:rsidRPr="00B26A6D" w:rsidRDefault="00CC379D" w:rsidP="000C2936">
      <w:pPr>
        <w:jc w:val="both"/>
        <w:rPr>
          <w:rFonts w:ascii="Times New Roman" w:hAnsi="Times New Roman" w:cs="Times New Roman"/>
          <w:sz w:val="24"/>
          <w:szCs w:val="24"/>
          <w:lang w:val="pt-BR"/>
        </w:rPr>
      </w:pPr>
    </w:p>
    <w:p w:rsidR="00CC379D" w:rsidRPr="00B26A6D" w:rsidRDefault="00CC379D" w:rsidP="00CC379D">
      <w:pPr>
        <w:autoSpaceDE w:val="0"/>
        <w:autoSpaceDN w:val="0"/>
        <w:adjustRightInd w:val="0"/>
        <w:spacing w:after="0" w:line="240" w:lineRule="auto"/>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QUEIROZ, Paulo Roberto Cimó. </w:t>
      </w:r>
      <w:r w:rsidRPr="00B26A6D">
        <w:rPr>
          <w:rFonts w:ascii="Times New Roman" w:hAnsi="Times New Roman" w:cs="Times New Roman"/>
          <w:b/>
          <w:bCs/>
          <w:sz w:val="24"/>
          <w:szCs w:val="24"/>
          <w:lang w:val="pt-BR"/>
        </w:rPr>
        <w:t>Notas sobre a experiência das ferrovias no Brasil.</w:t>
      </w:r>
      <w:r w:rsidRPr="00B26A6D">
        <w:rPr>
          <w:rFonts w:ascii="Times New Roman" w:hAnsi="Times New Roman" w:cs="Times New Roman"/>
          <w:sz w:val="24"/>
          <w:szCs w:val="24"/>
          <w:lang w:val="pt-BR"/>
        </w:rPr>
        <w:t xml:space="preserve"> História Econômica &amp; História de Empresas, 1999,</w:t>
      </w:r>
      <w:r w:rsidR="008628D5" w:rsidRPr="00B26A6D">
        <w:rPr>
          <w:rFonts w:ascii="Times New Roman" w:hAnsi="Times New Roman" w:cs="Times New Roman"/>
          <w:sz w:val="24"/>
          <w:szCs w:val="24"/>
          <w:lang w:val="pt-BR"/>
        </w:rPr>
        <w:t xml:space="preserve"> vol. </w:t>
      </w:r>
      <w:r w:rsidR="00895FAB" w:rsidRPr="00B26A6D">
        <w:rPr>
          <w:rFonts w:ascii="Times New Roman" w:hAnsi="Times New Roman" w:cs="Times New Roman"/>
          <w:sz w:val="24"/>
          <w:szCs w:val="24"/>
          <w:lang w:val="pt-BR"/>
        </w:rPr>
        <w:t>2, p.</w:t>
      </w:r>
      <w:r w:rsidRPr="00B26A6D">
        <w:rPr>
          <w:rFonts w:ascii="Times New Roman" w:hAnsi="Times New Roman" w:cs="Times New Roman"/>
          <w:sz w:val="24"/>
          <w:szCs w:val="24"/>
          <w:lang w:val="pt-BR"/>
        </w:rPr>
        <w:t xml:space="preserve"> 91-111.</w:t>
      </w:r>
    </w:p>
    <w:p w:rsidR="00DB492B" w:rsidRPr="00B26A6D" w:rsidRDefault="00DB492B" w:rsidP="000C2936">
      <w:pPr>
        <w:jc w:val="both"/>
        <w:rPr>
          <w:rFonts w:ascii="Times New Roman" w:hAnsi="Times New Roman" w:cs="Times New Roman"/>
          <w:sz w:val="24"/>
          <w:szCs w:val="24"/>
          <w:lang w:val="pt-BR"/>
        </w:rPr>
      </w:pPr>
    </w:p>
    <w:p w:rsidR="00DB492B" w:rsidRPr="00B26A6D" w:rsidRDefault="00DB492B" w:rsidP="00DB492B">
      <w:pPr>
        <w:jc w:val="both"/>
        <w:rPr>
          <w:rFonts w:ascii="Times New Roman" w:hAnsi="Times New Roman" w:cs="Times New Roman"/>
          <w:sz w:val="24"/>
          <w:szCs w:val="24"/>
          <w:lang w:val="pt-BR"/>
        </w:rPr>
      </w:pPr>
      <w:r w:rsidRPr="00B26A6D">
        <w:rPr>
          <w:rFonts w:ascii="Times New Roman" w:hAnsi="Times New Roman" w:cs="Times New Roman"/>
          <w:sz w:val="24"/>
          <w:szCs w:val="24"/>
          <w:lang w:val="pt-BR"/>
        </w:rPr>
        <w:t xml:space="preserve">SILVA, Sérgio. </w:t>
      </w:r>
      <w:r w:rsidRPr="00B26A6D">
        <w:rPr>
          <w:rFonts w:ascii="Times New Roman" w:hAnsi="Times New Roman" w:cs="Times New Roman"/>
          <w:b/>
          <w:sz w:val="24"/>
          <w:szCs w:val="24"/>
          <w:lang w:val="pt-BR"/>
        </w:rPr>
        <w:t>Expansão cafeeira e origens da indústria no Brasil</w:t>
      </w:r>
      <w:r w:rsidRPr="00B26A6D">
        <w:rPr>
          <w:rFonts w:ascii="Times New Roman" w:hAnsi="Times New Roman" w:cs="Times New Roman"/>
          <w:sz w:val="24"/>
          <w:szCs w:val="24"/>
          <w:lang w:val="pt-BR"/>
        </w:rPr>
        <w:t>. 7a ed. São Paulo: Alfa-Omega, 1986. 114p.</w:t>
      </w:r>
      <w:r w:rsidRPr="00B26A6D">
        <w:rPr>
          <w:rFonts w:ascii="Times New Roman" w:hAnsi="Times New Roman" w:cs="Times New Roman"/>
          <w:sz w:val="24"/>
          <w:szCs w:val="24"/>
          <w:lang w:val="pt-BR"/>
        </w:rPr>
        <w:cr/>
      </w:r>
    </w:p>
    <w:p w:rsidR="00DB492B" w:rsidRPr="00B26A6D" w:rsidRDefault="00DB492B" w:rsidP="00DB492B">
      <w:pPr>
        <w:jc w:val="both"/>
        <w:rPr>
          <w:rFonts w:ascii="Times New Roman" w:hAnsi="Times New Roman" w:cs="Times New Roman"/>
          <w:sz w:val="24"/>
          <w:szCs w:val="24"/>
          <w:lang w:val="pt-BR"/>
        </w:rPr>
      </w:pPr>
    </w:p>
    <w:sectPr w:rsidR="00DB492B" w:rsidRPr="00B26A6D" w:rsidSect="00992A13">
      <w:headerReference w:type="default" r:id="rId8"/>
      <w:footerReference w:type="default" r:id="rId9"/>
      <w:headerReference w:type="first" r:id="rId10"/>
      <w:footerReference w:type="first" r:id="rId11"/>
      <w:pgSz w:w="12240" w:h="15840"/>
      <w:pgMar w:top="1699" w:right="1138" w:bottom="1138" w:left="1699"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2E" w:rsidRDefault="000C572E" w:rsidP="006C39C7">
      <w:pPr>
        <w:spacing w:after="0" w:line="240" w:lineRule="auto"/>
      </w:pPr>
      <w:r>
        <w:separator/>
      </w:r>
    </w:p>
  </w:endnote>
  <w:endnote w:type="continuationSeparator" w:id="0">
    <w:p w:rsidR="000C572E" w:rsidRDefault="000C572E" w:rsidP="006C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A13" w:rsidRDefault="00992A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CB9" w:rsidRDefault="00612C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2E" w:rsidRDefault="000C572E" w:rsidP="006C39C7">
      <w:pPr>
        <w:spacing w:after="0" w:line="240" w:lineRule="auto"/>
      </w:pPr>
      <w:r>
        <w:separator/>
      </w:r>
    </w:p>
  </w:footnote>
  <w:footnote w:type="continuationSeparator" w:id="0">
    <w:p w:rsidR="000C572E" w:rsidRDefault="000C572E" w:rsidP="006C3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07866"/>
      <w:docPartObj>
        <w:docPartGallery w:val="Page Numbers (Top of Page)"/>
        <w:docPartUnique/>
      </w:docPartObj>
    </w:sdtPr>
    <w:sdtEndPr/>
    <w:sdtContent>
      <w:p w:rsidR="00992A13" w:rsidRDefault="00992A13" w:rsidP="009F2219">
        <w:pPr>
          <w:pStyle w:val="Cabealho"/>
          <w:jc w:val="right"/>
        </w:pPr>
        <w:r w:rsidRPr="009F2219">
          <w:rPr>
            <w:rFonts w:ascii="Times New Roman" w:hAnsi="Times New Roman" w:cs="Times New Roman"/>
            <w:sz w:val="20"/>
          </w:rPr>
          <w:fldChar w:fldCharType="begin"/>
        </w:r>
        <w:r w:rsidRPr="009F2219">
          <w:rPr>
            <w:rFonts w:ascii="Times New Roman" w:hAnsi="Times New Roman" w:cs="Times New Roman"/>
            <w:sz w:val="20"/>
          </w:rPr>
          <w:instrText>PAGE   \* MERGEFORMAT</w:instrText>
        </w:r>
        <w:r w:rsidRPr="009F2219">
          <w:rPr>
            <w:rFonts w:ascii="Times New Roman" w:hAnsi="Times New Roman" w:cs="Times New Roman"/>
            <w:sz w:val="20"/>
          </w:rPr>
          <w:fldChar w:fldCharType="separate"/>
        </w:r>
        <w:r w:rsidR="007369C8" w:rsidRPr="007369C8">
          <w:rPr>
            <w:rFonts w:ascii="Times New Roman" w:hAnsi="Times New Roman" w:cs="Times New Roman"/>
            <w:noProof/>
            <w:sz w:val="20"/>
            <w:lang w:val="pt-BR"/>
          </w:rPr>
          <w:t>7</w:t>
        </w:r>
        <w:r w:rsidRPr="009F2219">
          <w:rPr>
            <w:rFonts w:ascii="Times New Roman" w:hAnsi="Times New Roman" w:cs="Times New Roman"/>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104116"/>
      <w:docPartObj>
        <w:docPartGallery w:val="Page Numbers (Top of Page)"/>
        <w:docPartUnique/>
      </w:docPartObj>
    </w:sdtPr>
    <w:sdtEndPr/>
    <w:sdtContent>
      <w:p w:rsidR="00612CB9" w:rsidRDefault="00612CB9">
        <w:pPr>
          <w:pStyle w:val="Cabealho"/>
          <w:jc w:val="right"/>
        </w:pPr>
        <w:r>
          <w:fldChar w:fldCharType="begin"/>
        </w:r>
        <w:r>
          <w:instrText>PAGE   \* MERGEFORMAT</w:instrText>
        </w:r>
        <w:r>
          <w:fldChar w:fldCharType="separate"/>
        </w:r>
        <w:r w:rsidR="007369C8" w:rsidRPr="007369C8">
          <w:rPr>
            <w:noProof/>
            <w:lang w:val="pt-BR"/>
          </w:rPr>
          <w:t>1</w:t>
        </w:r>
        <w:r>
          <w:fldChar w:fldCharType="end"/>
        </w:r>
      </w:p>
    </w:sdtContent>
  </w:sdt>
  <w:p w:rsidR="00E374EE" w:rsidRDefault="00E374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76A89"/>
    <w:multiLevelType w:val="multilevel"/>
    <w:tmpl w:val="960CBF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68A561F"/>
    <w:multiLevelType w:val="hybridMultilevel"/>
    <w:tmpl w:val="627C86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06A5D4F"/>
    <w:multiLevelType w:val="hybridMultilevel"/>
    <w:tmpl w:val="DAC0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87323DB"/>
    <w:multiLevelType w:val="hybridMultilevel"/>
    <w:tmpl w:val="8DA8F3C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C7"/>
    <w:rsid w:val="00001E52"/>
    <w:rsid w:val="00006C32"/>
    <w:rsid w:val="00047EFB"/>
    <w:rsid w:val="000529F7"/>
    <w:rsid w:val="00054A12"/>
    <w:rsid w:val="00090620"/>
    <w:rsid w:val="00091960"/>
    <w:rsid w:val="00093870"/>
    <w:rsid w:val="000C2936"/>
    <w:rsid w:val="000C572E"/>
    <w:rsid w:val="000D568C"/>
    <w:rsid w:val="00102999"/>
    <w:rsid w:val="001138D9"/>
    <w:rsid w:val="001175B4"/>
    <w:rsid w:val="0013066A"/>
    <w:rsid w:val="001439D8"/>
    <w:rsid w:val="001676A6"/>
    <w:rsid w:val="001678CB"/>
    <w:rsid w:val="00175F69"/>
    <w:rsid w:val="00184F66"/>
    <w:rsid w:val="0018598B"/>
    <w:rsid w:val="00193BCB"/>
    <w:rsid w:val="001956A3"/>
    <w:rsid w:val="001B3D5A"/>
    <w:rsid w:val="001C5E2B"/>
    <w:rsid w:val="001D26A1"/>
    <w:rsid w:val="001D7A88"/>
    <w:rsid w:val="001E0D4B"/>
    <w:rsid w:val="00202716"/>
    <w:rsid w:val="00205046"/>
    <w:rsid w:val="002113E1"/>
    <w:rsid w:val="00215AEE"/>
    <w:rsid w:val="002243D2"/>
    <w:rsid w:val="0022654A"/>
    <w:rsid w:val="00243195"/>
    <w:rsid w:val="002467DF"/>
    <w:rsid w:val="0024682D"/>
    <w:rsid w:val="00250A9E"/>
    <w:rsid w:val="002674E8"/>
    <w:rsid w:val="0027000C"/>
    <w:rsid w:val="002713C8"/>
    <w:rsid w:val="00272217"/>
    <w:rsid w:val="00283C6A"/>
    <w:rsid w:val="00284604"/>
    <w:rsid w:val="00294A8C"/>
    <w:rsid w:val="0029541A"/>
    <w:rsid w:val="00295A68"/>
    <w:rsid w:val="00297469"/>
    <w:rsid w:val="002A4A9D"/>
    <w:rsid w:val="002B34D8"/>
    <w:rsid w:val="002B3ACC"/>
    <w:rsid w:val="002C468C"/>
    <w:rsid w:val="002C4CFB"/>
    <w:rsid w:val="002D0532"/>
    <w:rsid w:val="002D4910"/>
    <w:rsid w:val="002D50B6"/>
    <w:rsid w:val="00301B0A"/>
    <w:rsid w:val="003269F8"/>
    <w:rsid w:val="003315F2"/>
    <w:rsid w:val="003322FB"/>
    <w:rsid w:val="0035303F"/>
    <w:rsid w:val="00356ACF"/>
    <w:rsid w:val="00364B42"/>
    <w:rsid w:val="00372E99"/>
    <w:rsid w:val="003968E0"/>
    <w:rsid w:val="003A368F"/>
    <w:rsid w:val="003D3612"/>
    <w:rsid w:val="003E6F44"/>
    <w:rsid w:val="003E7355"/>
    <w:rsid w:val="003F1CDA"/>
    <w:rsid w:val="003F49C7"/>
    <w:rsid w:val="004058E0"/>
    <w:rsid w:val="00410DEF"/>
    <w:rsid w:val="00414642"/>
    <w:rsid w:val="00435A81"/>
    <w:rsid w:val="00435EF3"/>
    <w:rsid w:val="004531FD"/>
    <w:rsid w:val="00460796"/>
    <w:rsid w:val="00471ADD"/>
    <w:rsid w:val="004734CD"/>
    <w:rsid w:val="00474505"/>
    <w:rsid w:val="00476819"/>
    <w:rsid w:val="00483D29"/>
    <w:rsid w:val="00483F8A"/>
    <w:rsid w:val="004903B5"/>
    <w:rsid w:val="004909D6"/>
    <w:rsid w:val="00491DE4"/>
    <w:rsid w:val="004B409A"/>
    <w:rsid w:val="004B5529"/>
    <w:rsid w:val="004C0BBB"/>
    <w:rsid w:val="004C50EC"/>
    <w:rsid w:val="004E538D"/>
    <w:rsid w:val="004E5AF6"/>
    <w:rsid w:val="004F33C9"/>
    <w:rsid w:val="00507565"/>
    <w:rsid w:val="00512E05"/>
    <w:rsid w:val="00514ED0"/>
    <w:rsid w:val="00533C88"/>
    <w:rsid w:val="005340AF"/>
    <w:rsid w:val="005626AB"/>
    <w:rsid w:val="00583855"/>
    <w:rsid w:val="00584984"/>
    <w:rsid w:val="00591369"/>
    <w:rsid w:val="00596226"/>
    <w:rsid w:val="005B5D58"/>
    <w:rsid w:val="005D5A91"/>
    <w:rsid w:val="005E29F7"/>
    <w:rsid w:val="005E6197"/>
    <w:rsid w:val="005F28C0"/>
    <w:rsid w:val="005F3EF3"/>
    <w:rsid w:val="0060215D"/>
    <w:rsid w:val="006050C4"/>
    <w:rsid w:val="00612CB9"/>
    <w:rsid w:val="006746C9"/>
    <w:rsid w:val="006A3A42"/>
    <w:rsid w:val="006C39C7"/>
    <w:rsid w:val="006D7E1E"/>
    <w:rsid w:val="006E5216"/>
    <w:rsid w:val="006E66A9"/>
    <w:rsid w:val="006F5961"/>
    <w:rsid w:val="006F6AE4"/>
    <w:rsid w:val="00712AEA"/>
    <w:rsid w:val="00727EAF"/>
    <w:rsid w:val="007306EC"/>
    <w:rsid w:val="007323D0"/>
    <w:rsid w:val="007369C8"/>
    <w:rsid w:val="00762377"/>
    <w:rsid w:val="00765716"/>
    <w:rsid w:val="007675E7"/>
    <w:rsid w:val="007762C4"/>
    <w:rsid w:val="00786602"/>
    <w:rsid w:val="007A2A52"/>
    <w:rsid w:val="007A5DB0"/>
    <w:rsid w:val="007B2BE3"/>
    <w:rsid w:val="007C4557"/>
    <w:rsid w:val="007C49F0"/>
    <w:rsid w:val="007D3FC1"/>
    <w:rsid w:val="007E1F0E"/>
    <w:rsid w:val="007E4F0A"/>
    <w:rsid w:val="007E5902"/>
    <w:rsid w:val="007F22C3"/>
    <w:rsid w:val="007F65CF"/>
    <w:rsid w:val="00833EF6"/>
    <w:rsid w:val="00845174"/>
    <w:rsid w:val="00846C72"/>
    <w:rsid w:val="008623D4"/>
    <w:rsid w:val="008628D5"/>
    <w:rsid w:val="00882287"/>
    <w:rsid w:val="0089179E"/>
    <w:rsid w:val="00892F9B"/>
    <w:rsid w:val="00895FAB"/>
    <w:rsid w:val="008B029B"/>
    <w:rsid w:val="008B5995"/>
    <w:rsid w:val="008C7AF9"/>
    <w:rsid w:val="008D0C61"/>
    <w:rsid w:val="008E00DA"/>
    <w:rsid w:val="008E26BC"/>
    <w:rsid w:val="0090071D"/>
    <w:rsid w:val="00910EAA"/>
    <w:rsid w:val="00917A6B"/>
    <w:rsid w:val="0093100A"/>
    <w:rsid w:val="009400B3"/>
    <w:rsid w:val="00945596"/>
    <w:rsid w:val="00963E59"/>
    <w:rsid w:val="0097465E"/>
    <w:rsid w:val="009764D2"/>
    <w:rsid w:val="00976F0C"/>
    <w:rsid w:val="00992A13"/>
    <w:rsid w:val="009A7498"/>
    <w:rsid w:val="009B38CD"/>
    <w:rsid w:val="009B7F6B"/>
    <w:rsid w:val="009C1129"/>
    <w:rsid w:val="009C1167"/>
    <w:rsid w:val="009C2BD7"/>
    <w:rsid w:val="009C2C41"/>
    <w:rsid w:val="009E2576"/>
    <w:rsid w:val="009F2219"/>
    <w:rsid w:val="00A02E8B"/>
    <w:rsid w:val="00A116AB"/>
    <w:rsid w:val="00A14394"/>
    <w:rsid w:val="00A23F05"/>
    <w:rsid w:val="00A35971"/>
    <w:rsid w:val="00A649A8"/>
    <w:rsid w:val="00A81B69"/>
    <w:rsid w:val="00AA1DCC"/>
    <w:rsid w:val="00AA1F23"/>
    <w:rsid w:val="00AA333E"/>
    <w:rsid w:val="00AA45B7"/>
    <w:rsid w:val="00AC345A"/>
    <w:rsid w:val="00AC7D7E"/>
    <w:rsid w:val="00AC7DDF"/>
    <w:rsid w:val="00AD45DE"/>
    <w:rsid w:val="00AD5C09"/>
    <w:rsid w:val="00AD61D1"/>
    <w:rsid w:val="00AD7919"/>
    <w:rsid w:val="00AE0477"/>
    <w:rsid w:val="00AE629B"/>
    <w:rsid w:val="00AF06F8"/>
    <w:rsid w:val="00AF0E20"/>
    <w:rsid w:val="00B01EBE"/>
    <w:rsid w:val="00B06804"/>
    <w:rsid w:val="00B26A6D"/>
    <w:rsid w:val="00B3492F"/>
    <w:rsid w:val="00B40759"/>
    <w:rsid w:val="00B4721F"/>
    <w:rsid w:val="00B47EEB"/>
    <w:rsid w:val="00B566B5"/>
    <w:rsid w:val="00B8246F"/>
    <w:rsid w:val="00B86E08"/>
    <w:rsid w:val="00BB19D8"/>
    <w:rsid w:val="00BC2C8F"/>
    <w:rsid w:val="00BC4C2D"/>
    <w:rsid w:val="00BC7D78"/>
    <w:rsid w:val="00BE2381"/>
    <w:rsid w:val="00BE42D1"/>
    <w:rsid w:val="00BF4CAA"/>
    <w:rsid w:val="00C133F5"/>
    <w:rsid w:val="00C15E0E"/>
    <w:rsid w:val="00C51691"/>
    <w:rsid w:val="00C532EF"/>
    <w:rsid w:val="00C53CB3"/>
    <w:rsid w:val="00C56B7C"/>
    <w:rsid w:val="00C61D78"/>
    <w:rsid w:val="00C626AC"/>
    <w:rsid w:val="00C82D39"/>
    <w:rsid w:val="00CA2874"/>
    <w:rsid w:val="00CB69AF"/>
    <w:rsid w:val="00CC2689"/>
    <w:rsid w:val="00CC379D"/>
    <w:rsid w:val="00CC635B"/>
    <w:rsid w:val="00CE6092"/>
    <w:rsid w:val="00CF0FCB"/>
    <w:rsid w:val="00CF263B"/>
    <w:rsid w:val="00D05E90"/>
    <w:rsid w:val="00D15187"/>
    <w:rsid w:val="00D3577A"/>
    <w:rsid w:val="00D369B2"/>
    <w:rsid w:val="00D44A54"/>
    <w:rsid w:val="00D51799"/>
    <w:rsid w:val="00D62020"/>
    <w:rsid w:val="00D64C65"/>
    <w:rsid w:val="00D64D09"/>
    <w:rsid w:val="00D66834"/>
    <w:rsid w:val="00D75E65"/>
    <w:rsid w:val="00D936CC"/>
    <w:rsid w:val="00D94103"/>
    <w:rsid w:val="00D94712"/>
    <w:rsid w:val="00D960CB"/>
    <w:rsid w:val="00DB492B"/>
    <w:rsid w:val="00DB5890"/>
    <w:rsid w:val="00DC4333"/>
    <w:rsid w:val="00DD24F9"/>
    <w:rsid w:val="00DD2F40"/>
    <w:rsid w:val="00DD6C1C"/>
    <w:rsid w:val="00DF042B"/>
    <w:rsid w:val="00E170AD"/>
    <w:rsid w:val="00E2019E"/>
    <w:rsid w:val="00E30C37"/>
    <w:rsid w:val="00E34D86"/>
    <w:rsid w:val="00E374EE"/>
    <w:rsid w:val="00E4467A"/>
    <w:rsid w:val="00E50E49"/>
    <w:rsid w:val="00E5644B"/>
    <w:rsid w:val="00E67CC0"/>
    <w:rsid w:val="00E713BF"/>
    <w:rsid w:val="00E85D3E"/>
    <w:rsid w:val="00E9568A"/>
    <w:rsid w:val="00ED0CF9"/>
    <w:rsid w:val="00EE2D84"/>
    <w:rsid w:val="00EE40F9"/>
    <w:rsid w:val="00EF038B"/>
    <w:rsid w:val="00EF0CA0"/>
    <w:rsid w:val="00F06E21"/>
    <w:rsid w:val="00F502F2"/>
    <w:rsid w:val="00F843CD"/>
    <w:rsid w:val="00FB3CE7"/>
    <w:rsid w:val="00FC33C2"/>
    <w:rsid w:val="00FC5867"/>
    <w:rsid w:val="00FD0B91"/>
    <w:rsid w:val="00FE53CA"/>
    <w:rsid w:val="00FF7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5FB8B-0CE2-4799-AB26-9AAC1E45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02"/>
  </w:style>
  <w:style w:type="paragraph" w:styleId="Ttulo1">
    <w:name w:val="heading 1"/>
    <w:basedOn w:val="Normal"/>
    <w:next w:val="Normal"/>
    <w:link w:val="Ttulo1Char"/>
    <w:uiPriority w:val="9"/>
    <w:qFormat/>
    <w:rsid w:val="00F502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E4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BE42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E5902"/>
    <w:rPr>
      <w:color w:val="0000FF" w:themeColor="hyperlink"/>
      <w:u w:val="single"/>
    </w:rPr>
  </w:style>
  <w:style w:type="paragraph" w:styleId="PargrafodaLista">
    <w:name w:val="List Paragraph"/>
    <w:basedOn w:val="Normal"/>
    <w:uiPriority w:val="34"/>
    <w:qFormat/>
    <w:rsid w:val="003A368F"/>
    <w:pPr>
      <w:ind w:left="720"/>
      <w:contextualSpacing/>
    </w:pPr>
  </w:style>
  <w:style w:type="character" w:customStyle="1" w:styleId="Ttulo1Char">
    <w:name w:val="Título 1 Char"/>
    <w:basedOn w:val="Fontepargpadro"/>
    <w:link w:val="Ttulo1"/>
    <w:uiPriority w:val="9"/>
    <w:rsid w:val="00F502F2"/>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F502F2"/>
    <w:pPr>
      <w:outlineLvl w:val="9"/>
    </w:pPr>
  </w:style>
  <w:style w:type="paragraph" w:styleId="Textodebalo">
    <w:name w:val="Balloon Text"/>
    <w:basedOn w:val="Normal"/>
    <w:link w:val="TextodebaloChar"/>
    <w:uiPriority w:val="99"/>
    <w:semiHidden/>
    <w:unhideWhenUsed/>
    <w:rsid w:val="00F50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02F2"/>
    <w:rPr>
      <w:rFonts w:ascii="Tahoma" w:hAnsi="Tahoma" w:cs="Tahoma"/>
      <w:sz w:val="16"/>
      <w:szCs w:val="16"/>
    </w:rPr>
  </w:style>
  <w:style w:type="paragraph" w:styleId="Sumrio1">
    <w:name w:val="toc 1"/>
    <w:basedOn w:val="Normal"/>
    <w:next w:val="Normal"/>
    <w:autoRedefine/>
    <w:uiPriority w:val="39"/>
    <w:unhideWhenUsed/>
    <w:rsid w:val="00BE42D1"/>
    <w:pPr>
      <w:spacing w:after="100"/>
    </w:pPr>
  </w:style>
  <w:style w:type="character" w:customStyle="1" w:styleId="Ttulo2Char">
    <w:name w:val="Título 2 Char"/>
    <w:basedOn w:val="Fontepargpadro"/>
    <w:link w:val="Ttulo2"/>
    <w:uiPriority w:val="9"/>
    <w:rsid w:val="00BE42D1"/>
    <w:rPr>
      <w:rFonts w:asciiTheme="majorHAnsi" w:eastAsiaTheme="majorEastAsia" w:hAnsiTheme="majorHAnsi" w:cstheme="majorBidi"/>
      <w:b/>
      <w:bCs/>
      <w:color w:val="4F81BD" w:themeColor="accent1"/>
      <w:sz w:val="26"/>
      <w:szCs w:val="26"/>
    </w:rPr>
  </w:style>
  <w:style w:type="paragraph" w:styleId="Sumrio2">
    <w:name w:val="toc 2"/>
    <w:basedOn w:val="Normal"/>
    <w:next w:val="Normal"/>
    <w:autoRedefine/>
    <w:uiPriority w:val="39"/>
    <w:unhideWhenUsed/>
    <w:rsid w:val="00BE42D1"/>
    <w:pPr>
      <w:spacing w:after="100"/>
      <w:ind w:left="220"/>
    </w:pPr>
  </w:style>
  <w:style w:type="character" w:customStyle="1" w:styleId="Ttulo3Char">
    <w:name w:val="Título 3 Char"/>
    <w:basedOn w:val="Fontepargpadro"/>
    <w:link w:val="Ttulo3"/>
    <w:uiPriority w:val="9"/>
    <w:rsid w:val="00BE42D1"/>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rsid w:val="00BE42D1"/>
    <w:pPr>
      <w:spacing w:after="100"/>
      <w:ind w:left="440"/>
    </w:pPr>
  </w:style>
  <w:style w:type="paragraph" w:styleId="Cabealho">
    <w:name w:val="header"/>
    <w:basedOn w:val="Normal"/>
    <w:link w:val="CabealhoChar"/>
    <w:uiPriority w:val="99"/>
    <w:unhideWhenUsed/>
    <w:rsid w:val="006C39C7"/>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C39C7"/>
  </w:style>
  <w:style w:type="paragraph" w:styleId="Rodap">
    <w:name w:val="footer"/>
    <w:basedOn w:val="Normal"/>
    <w:link w:val="RodapChar"/>
    <w:uiPriority w:val="99"/>
    <w:unhideWhenUsed/>
    <w:rsid w:val="006C39C7"/>
    <w:pPr>
      <w:tabs>
        <w:tab w:val="center" w:pos="4680"/>
        <w:tab w:val="right" w:pos="9360"/>
      </w:tabs>
      <w:spacing w:after="0" w:line="240" w:lineRule="auto"/>
    </w:pPr>
  </w:style>
  <w:style w:type="character" w:customStyle="1" w:styleId="RodapChar">
    <w:name w:val="Rodapé Char"/>
    <w:basedOn w:val="Fontepargpadro"/>
    <w:link w:val="Rodap"/>
    <w:uiPriority w:val="99"/>
    <w:rsid w:val="006C3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91987">
      <w:bodyDiv w:val="1"/>
      <w:marLeft w:val="0"/>
      <w:marRight w:val="0"/>
      <w:marTop w:val="0"/>
      <w:marBottom w:val="0"/>
      <w:divBdr>
        <w:top w:val="none" w:sz="0" w:space="0" w:color="auto"/>
        <w:left w:val="none" w:sz="0" w:space="0" w:color="auto"/>
        <w:bottom w:val="none" w:sz="0" w:space="0" w:color="auto"/>
        <w:right w:val="none" w:sz="0" w:space="0" w:color="auto"/>
      </w:divBdr>
    </w:div>
    <w:div w:id="1322658481">
      <w:bodyDiv w:val="1"/>
      <w:marLeft w:val="0"/>
      <w:marRight w:val="0"/>
      <w:marTop w:val="0"/>
      <w:marBottom w:val="0"/>
      <w:divBdr>
        <w:top w:val="none" w:sz="0" w:space="0" w:color="auto"/>
        <w:left w:val="none" w:sz="0" w:space="0" w:color="auto"/>
        <w:bottom w:val="none" w:sz="0" w:space="0" w:color="auto"/>
        <w:right w:val="none" w:sz="0" w:space="0" w:color="auto"/>
      </w:divBdr>
    </w:div>
    <w:div w:id="20121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92AA-1A72-49DA-A039-2E780414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2460</Words>
  <Characters>13288</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Tarso</dc:creator>
  <cp:lastModifiedBy>OMAR DE SOUZA BARROS NETO </cp:lastModifiedBy>
  <cp:revision>36</cp:revision>
  <cp:lastPrinted>2014-05-19T13:14:00Z</cp:lastPrinted>
  <dcterms:created xsi:type="dcterms:W3CDTF">2014-11-01T16:15:00Z</dcterms:created>
  <dcterms:modified xsi:type="dcterms:W3CDTF">2015-09-14T15:56:00Z</dcterms:modified>
</cp:coreProperties>
</file>