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22" w:rsidRPr="00082322" w:rsidRDefault="00082322" w:rsidP="00082322">
      <w:pPr>
        <w:pageBreakBefore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082322">
        <w:rPr>
          <w:rFonts w:ascii="Times New Roman" w:hAnsi="Times New Roman" w:cs="Times New Roman"/>
          <w:bCs/>
          <w:sz w:val="28"/>
          <w:szCs w:val="28"/>
        </w:rPr>
        <w:t>AS LICITAÇÕES E AS EMPRESAS ESTATAIS EXPLORADORAS DA ATIVIDADE ECONÔMICA</w:t>
      </w:r>
    </w:p>
    <w:bookmarkEnd w:id="0"/>
    <w:p w:rsidR="00082322" w:rsidRDefault="00082322" w:rsidP="00082322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82322" w:rsidRDefault="00082322" w:rsidP="00082322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 resumo a licitação é definida</w:t>
      </w:r>
      <w:r w:rsidRPr="005B3956">
        <w:rPr>
          <w:rFonts w:ascii="Arial" w:hAnsi="Arial" w:cs="Arial"/>
          <w:bCs/>
          <w:sz w:val="24"/>
          <w:szCs w:val="24"/>
        </w:rPr>
        <w:t xml:space="preserve"> como procedimento administrativo, de caráter vinculado,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B3956">
        <w:rPr>
          <w:rFonts w:ascii="Arial" w:hAnsi="Arial" w:cs="Arial"/>
          <w:bCs/>
          <w:sz w:val="24"/>
          <w:szCs w:val="24"/>
        </w:rPr>
        <w:t xml:space="preserve">visa a </w:t>
      </w:r>
      <w:r>
        <w:rPr>
          <w:rFonts w:ascii="Arial" w:hAnsi="Arial" w:cs="Arial"/>
          <w:bCs/>
          <w:sz w:val="24"/>
          <w:szCs w:val="24"/>
        </w:rPr>
        <w:t xml:space="preserve">regular a relação de contratação entre os </w:t>
      </w:r>
      <w:r w:rsidRPr="005B3956">
        <w:rPr>
          <w:rFonts w:ascii="Arial" w:hAnsi="Arial" w:cs="Arial"/>
          <w:bCs/>
          <w:sz w:val="24"/>
          <w:szCs w:val="24"/>
        </w:rPr>
        <w:t xml:space="preserve">administrados </w:t>
      </w:r>
      <w:r>
        <w:rPr>
          <w:rFonts w:ascii="Arial" w:hAnsi="Arial" w:cs="Arial"/>
          <w:bCs/>
          <w:sz w:val="24"/>
          <w:szCs w:val="24"/>
        </w:rPr>
        <w:t>e</w:t>
      </w:r>
      <w:r w:rsidRPr="005B3956">
        <w:rPr>
          <w:rFonts w:ascii="Arial" w:hAnsi="Arial" w:cs="Arial"/>
          <w:bCs/>
          <w:sz w:val="24"/>
          <w:szCs w:val="24"/>
        </w:rPr>
        <w:t xml:space="preserve"> a </w:t>
      </w:r>
      <w:r>
        <w:rPr>
          <w:rFonts w:ascii="Arial" w:hAnsi="Arial" w:cs="Arial"/>
          <w:bCs/>
          <w:sz w:val="24"/>
          <w:szCs w:val="24"/>
        </w:rPr>
        <w:t>Administração Pública, de forma que seja possibilitado proporcionar o</w:t>
      </w:r>
      <w:r w:rsidRPr="005B3956">
        <w:rPr>
          <w:rFonts w:ascii="Arial" w:hAnsi="Arial" w:cs="Arial"/>
          <w:bCs/>
          <w:sz w:val="24"/>
          <w:szCs w:val="24"/>
        </w:rPr>
        <w:t xml:space="preserve"> negócio mais favorável ao interesse público, </w:t>
      </w:r>
      <w:r>
        <w:rPr>
          <w:rFonts w:ascii="Arial" w:hAnsi="Arial" w:cs="Arial"/>
          <w:bCs/>
          <w:sz w:val="24"/>
          <w:szCs w:val="24"/>
        </w:rPr>
        <w:t xml:space="preserve">respeitando os princípios da administração, sobretudo, os da transparência e </w:t>
      </w:r>
      <w:r w:rsidRPr="005B3956">
        <w:rPr>
          <w:rFonts w:ascii="Arial" w:hAnsi="Arial" w:cs="Arial"/>
          <w:bCs/>
          <w:sz w:val="24"/>
          <w:szCs w:val="24"/>
        </w:rPr>
        <w:t xml:space="preserve">o da isonomia entre os participantes. </w:t>
      </w:r>
    </w:p>
    <w:p w:rsidR="00082322" w:rsidRPr="005B3956" w:rsidRDefault="00082322" w:rsidP="00082322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Pr="005B3956">
        <w:rPr>
          <w:rFonts w:ascii="Arial" w:hAnsi="Arial" w:cs="Arial"/>
          <w:bCs/>
          <w:sz w:val="24"/>
          <w:szCs w:val="24"/>
        </w:rPr>
        <w:t>egundo</w:t>
      </w:r>
      <w:r>
        <w:rPr>
          <w:rFonts w:ascii="Arial" w:hAnsi="Arial" w:cs="Arial"/>
          <w:bCs/>
          <w:sz w:val="24"/>
          <w:szCs w:val="24"/>
        </w:rPr>
        <w:t xml:space="preserve"> o</w:t>
      </w:r>
      <w:r w:rsidRPr="005B395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5B3956">
        <w:rPr>
          <w:rFonts w:ascii="Arial" w:hAnsi="Arial" w:cs="Arial"/>
          <w:bCs/>
          <w:sz w:val="24"/>
          <w:szCs w:val="24"/>
        </w:rPr>
        <w:t>rt. 37 da Constituição Federal,</w:t>
      </w:r>
      <w:r>
        <w:rPr>
          <w:rFonts w:ascii="Arial" w:hAnsi="Arial" w:cs="Arial"/>
          <w:bCs/>
          <w:sz w:val="24"/>
          <w:szCs w:val="24"/>
        </w:rPr>
        <w:t xml:space="preserve"> a utilização do procedimento licitatório</w:t>
      </w:r>
      <w:r w:rsidRPr="005B395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constitui instrumento de</w:t>
      </w:r>
      <w:r w:rsidRPr="005B3956">
        <w:rPr>
          <w:rFonts w:ascii="Arial" w:hAnsi="Arial" w:cs="Arial"/>
          <w:bCs/>
          <w:sz w:val="24"/>
          <w:szCs w:val="24"/>
        </w:rPr>
        <w:t xml:space="preserve"> caráter obrigatório a todos os sujeitos da Administração Pública, </w:t>
      </w:r>
      <w:r>
        <w:rPr>
          <w:rFonts w:ascii="Arial" w:hAnsi="Arial" w:cs="Arial"/>
          <w:bCs/>
          <w:sz w:val="24"/>
          <w:szCs w:val="24"/>
        </w:rPr>
        <w:t>seja</w:t>
      </w:r>
      <w:r w:rsidRPr="005B3956">
        <w:rPr>
          <w:rFonts w:ascii="Arial" w:hAnsi="Arial" w:cs="Arial"/>
          <w:bCs/>
          <w:sz w:val="24"/>
          <w:szCs w:val="24"/>
        </w:rPr>
        <w:t xml:space="preserve"> direta </w:t>
      </w:r>
      <w:r>
        <w:rPr>
          <w:rFonts w:ascii="Arial" w:hAnsi="Arial" w:cs="Arial"/>
          <w:bCs/>
          <w:sz w:val="24"/>
          <w:szCs w:val="24"/>
        </w:rPr>
        <w:t>ou</w:t>
      </w:r>
      <w:r w:rsidRPr="005B3956">
        <w:rPr>
          <w:rFonts w:ascii="Arial" w:hAnsi="Arial" w:cs="Arial"/>
          <w:bCs/>
          <w:sz w:val="24"/>
          <w:szCs w:val="24"/>
        </w:rPr>
        <w:t xml:space="preserve"> indireta, </w:t>
      </w:r>
      <w:r>
        <w:rPr>
          <w:rFonts w:ascii="Arial" w:hAnsi="Arial" w:cs="Arial"/>
          <w:bCs/>
          <w:sz w:val="24"/>
          <w:szCs w:val="24"/>
        </w:rPr>
        <w:t>importando elemento</w:t>
      </w:r>
      <w:r w:rsidRPr="005B3956">
        <w:rPr>
          <w:rFonts w:ascii="Arial" w:hAnsi="Arial" w:cs="Arial"/>
          <w:bCs/>
          <w:sz w:val="24"/>
          <w:szCs w:val="24"/>
        </w:rPr>
        <w:t xml:space="preserve"> necessário ao estabelecimento de relações jurídicas </w:t>
      </w:r>
      <w:r>
        <w:rPr>
          <w:rFonts w:ascii="Arial" w:hAnsi="Arial" w:cs="Arial"/>
          <w:bCs/>
          <w:sz w:val="24"/>
          <w:szCs w:val="24"/>
        </w:rPr>
        <w:t>que envolve as finanças do Estado</w:t>
      </w:r>
      <w:r w:rsidRPr="005B3956">
        <w:rPr>
          <w:rFonts w:ascii="Arial" w:hAnsi="Arial" w:cs="Arial"/>
          <w:bCs/>
          <w:sz w:val="24"/>
          <w:szCs w:val="24"/>
        </w:rPr>
        <w:t>.</w:t>
      </w:r>
    </w:p>
    <w:p w:rsidR="00082322" w:rsidRPr="005B3956" w:rsidRDefault="00082322" w:rsidP="00082322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61B72">
        <w:rPr>
          <w:rFonts w:ascii="Arial" w:hAnsi="Arial" w:cs="Arial"/>
          <w:bCs/>
          <w:sz w:val="24"/>
          <w:szCs w:val="24"/>
        </w:rPr>
        <w:t>Com base nesse entendimento, o certame licitatório</w:t>
      </w:r>
      <w:r>
        <w:rPr>
          <w:rFonts w:ascii="Arial" w:hAnsi="Arial" w:cs="Arial"/>
          <w:bCs/>
          <w:sz w:val="24"/>
          <w:szCs w:val="24"/>
        </w:rPr>
        <w:t xml:space="preserve"> toma forma </w:t>
      </w:r>
      <w:r w:rsidRPr="005B3956">
        <w:rPr>
          <w:rFonts w:ascii="Arial" w:hAnsi="Arial" w:cs="Arial"/>
          <w:bCs/>
          <w:sz w:val="24"/>
          <w:szCs w:val="24"/>
        </w:rPr>
        <w:t>como</w:t>
      </w:r>
      <w:r>
        <w:rPr>
          <w:rFonts w:ascii="Arial" w:hAnsi="Arial" w:cs="Arial"/>
          <w:bCs/>
          <w:sz w:val="24"/>
          <w:szCs w:val="24"/>
        </w:rPr>
        <w:t xml:space="preserve"> consagração</w:t>
      </w:r>
      <w:r w:rsidRPr="005B3956">
        <w:rPr>
          <w:rFonts w:ascii="Arial" w:hAnsi="Arial" w:cs="Arial"/>
          <w:bCs/>
          <w:sz w:val="24"/>
          <w:szCs w:val="24"/>
        </w:rPr>
        <w:t xml:space="preserve"> clara do regi</w:t>
      </w:r>
      <w:r>
        <w:rPr>
          <w:rFonts w:ascii="Arial" w:hAnsi="Arial" w:cs="Arial"/>
          <w:bCs/>
          <w:sz w:val="24"/>
          <w:szCs w:val="24"/>
        </w:rPr>
        <w:t>me jurídico de direito público,</w:t>
      </w:r>
      <w:r w:rsidRPr="005B3956">
        <w:rPr>
          <w:rFonts w:ascii="Arial" w:hAnsi="Arial" w:cs="Arial"/>
          <w:bCs/>
          <w:sz w:val="24"/>
          <w:szCs w:val="24"/>
        </w:rPr>
        <w:t xml:space="preserve"> enquanto expressão de </w:t>
      </w:r>
      <w:r>
        <w:rPr>
          <w:rFonts w:ascii="Arial" w:hAnsi="Arial" w:cs="Arial"/>
          <w:bCs/>
          <w:sz w:val="24"/>
          <w:szCs w:val="24"/>
        </w:rPr>
        <w:t>interesse</w:t>
      </w:r>
      <w:r w:rsidRPr="005B3956">
        <w:rPr>
          <w:rFonts w:ascii="Arial" w:hAnsi="Arial" w:cs="Arial"/>
          <w:bCs/>
          <w:sz w:val="24"/>
          <w:szCs w:val="24"/>
        </w:rPr>
        <w:t xml:space="preserve"> público, fundada </w:t>
      </w:r>
      <w:r>
        <w:rPr>
          <w:rFonts w:ascii="Arial" w:hAnsi="Arial" w:cs="Arial"/>
          <w:bCs/>
          <w:sz w:val="24"/>
          <w:szCs w:val="24"/>
        </w:rPr>
        <w:t>em</w:t>
      </w:r>
      <w:r w:rsidRPr="005B3956">
        <w:rPr>
          <w:rFonts w:ascii="Arial" w:hAnsi="Arial" w:cs="Arial"/>
          <w:bCs/>
          <w:sz w:val="24"/>
          <w:szCs w:val="24"/>
        </w:rPr>
        <w:t xml:space="preserve"> princípios,</w:t>
      </w:r>
      <w:r>
        <w:rPr>
          <w:rFonts w:ascii="Arial" w:hAnsi="Arial" w:cs="Arial"/>
          <w:bCs/>
          <w:sz w:val="24"/>
          <w:szCs w:val="24"/>
        </w:rPr>
        <w:t xml:space="preserve"> cujo materialização</w:t>
      </w:r>
      <w:r w:rsidRPr="005B395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envolve aspectos de um formalismo extremamente rígido e com inúmeros pressupostos a serem preenchidos,</w:t>
      </w:r>
      <w:r w:rsidRPr="005B395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findando</w:t>
      </w:r>
      <w:r w:rsidRPr="005B395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num processo complexo, burocrático e bastante</w:t>
      </w:r>
      <w:r w:rsidRPr="005B3956">
        <w:rPr>
          <w:rFonts w:ascii="Arial" w:hAnsi="Arial" w:cs="Arial"/>
          <w:bCs/>
          <w:sz w:val="24"/>
          <w:szCs w:val="24"/>
        </w:rPr>
        <w:t xml:space="preserve"> moros</w:t>
      </w:r>
      <w:r>
        <w:rPr>
          <w:rFonts w:ascii="Arial" w:hAnsi="Arial" w:cs="Arial"/>
          <w:bCs/>
          <w:sz w:val="24"/>
          <w:szCs w:val="24"/>
        </w:rPr>
        <w:t>o</w:t>
      </w:r>
      <w:r w:rsidRPr="005B3956">
        <w:rPr>
          <w:rFonts w:ascii="Arial" w:hAnsi="Arial" w:cs="Arial"/>
          <w:bCs/>
          <w:sz w:val="24"/>
          <w:szCs w:val="24"/>
        </w:rPr>
        <w:t xml:space="preserve"> do certame como um todo. </w:t>
      </w:r>
    </w:p>
    <w:p w:rsidR="00082322" w:rsidRPr="005B3956" w:rsidRDefault="00082322" w:rsidP="00082322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Diante desse cenário de um procedimento protocolar e formalista</w:t>
      </w:r>
      <w:r w:rsidRPr="005B395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é impossível não refletir acerca d</w:t>
      </w:r>
      <w:r w:rsidRPr="005B3956">
        <w:rPr>
          <w:rFonts w:ascii="Arial" w:hAnsi="Arial" w:cs="Arial"/>
          <w:bCs/>
          <w:sz w:val="24"/>
          <w:szCs w:val="24"/>
        </w:rPr>
        <w:t xml:space="preserve">a incompatibilidade </w:t>
      </w:r>
      <w:r>
        <w:rPr>
          <w:rFonts w:ascii="Arial" w:hAnsi="Arial" w:cs="Arial"/>
          <w:bCs/>
          <w:sz w:val="24"/>
          <w:szCs w:val="24"/>
        </w:rPr>
        <w:t>d</w:t>
      </w:r>
      <w:r w:rsidRPr="005B3956">
        <w:rPr>
          <w:rFonts w:ascii="Arial" w:hAnsi="Arial" w:cs="Arial"/>
          <w:bCs/>
          <w:sz w:val="24"/>
          <w:szCs w:val="24"/>
        </w:rPr>
        <w:t xml:space="preserve">entre </w:t>
      </w:r>
      <w:r>
        <w:rPr>
          <w:rFonts w:ascii="Arial" w:hAnsi="Arial" w:cs="Arial"/>
          <w:bCs/>
          <w:sz w:val="24"/>
          <w:szCs w:val="24"/>
        </w:rPr>
        <w:t>o</w:t>
      </w:r>
      <w:r w:rsidRPr="005B3956">
        <w:rPr>
          <w:rFonts w:ascii="Arial" w:hAnsi="Arial" w:cs="Arial"/>
          <w:bCs/>
          <w:sz w:val="24"/>
          <w:szCs w:val="24"/>
        </w:rPr>
        <w:t xml:space="preserve"> procedimento</w:t>
      </w:r>
      <w:r>
        <w:rPr>
          <w:rFonts w:ascii="Arial" w:hAnsi="Arial" w:cs="Arial"/>
          <w:bCs/>
          <w:sz w:val="24"/>
          <w:szCs w:val="24"/>
        </w:rPr>
        <w:t xml:space="preserve"> de licitação e o regime de exploração de</w:t>
      </w:r>
      <w:r w:rsidRPr="005B3956">
        <w:rPr>
          <w:rFonts w:ascii="Arial" w:hAnsi="Arial" w:cs="Arial"/>
          <w:bCs/>
          <w:sz w:val="24"/>
          <w:szCs w:val="24"/>
        </w:rPr>
        <w:t xml:space="preserve"> atividade econômica</w:t>
      </w:r>
      <w:r>
        <w:rPr>
          <w:rFonts w:ascii="Arial" w:hAnsi="Arial" w:cs="Arial"/>
          <w:bCs/>
          <w:sz w:val="24"/>
          <w:szCs w:val="24"/>
        </w:rPr>
        <w:t xml:space="preserve"> exercida</w:t>
      </w:r>
      <w:r w:rsidRPr="005B3956">
        <w:rPr>
          <w:rFonts w:ascii="Arial" w:hAnsi="Arial" w:cs="Arial"/>
          <w:bCs/>
          <w:sz w:val="24"/>
          <w:szCs w:val="24"/>
        </w:rPr>
        <w:t xml:space="preserve"> pelas empresas estatais, em especial, </w:t>
      </w:r>
      <w:r>
        <w:rPr>
          <w:rFonts w:ascii="Arial" w:hAnsi="Arial" w:cs="Arial"/>
          <w:bCs/>
          <w:sz w:val="24"/>
          <w:szCs w:val="24"/>
        </w:rPr>
        <w:t>aquelas inseridas sob forma de competição econômica.</w:t>
      </w:r>
      <w:r w:rsidRPr="005B395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Muito embora, </w:t>
      </w:r>
      <w:r w:rsidRPr="005B3956">
        <w:rPr>
          <w:rFonts w:ascii="Arial" w:hAnsi="Arial" w:cs="Arial"/>
          <w:bCs/>
          <w:sz w:val="24"/>
          <w:szCs w:val="24"/>
        </w:rPr>
        <w:t>segundo o Art. 37 citado</w:t>
      </w:r>
      <w:r>
        <w:rPr>
          <w:rFonts w:ascii="Arial" w:hAnsi="Arial" w:cs="Arial"/>
          <w:bCs/>
          <w:sz w:val="24"/>
          <w:szCs w:val="24"/>
        </w:rPr>
        <w:t xml:space="preserve"> e o próprio art. 1º da Lei nº 8.666/93</w:t>
      </w:r>
      <w:r w:rsidRPr="005B395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sejam</w:t>
      </w:r>
      <w:r>
        <w:rPr>
          <w:rFonts w:ascii="Arial" w:hAnsi="Arial" w:cs="Arial"/>
          <w:bCs/>
          <w:sz w:val="24"/>
          <w:szCs w:val="24"/>
        </w:rPr>
        <w:t xml:space="preserve"> imperativo</w:t>
      </w:r>
      <w:r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determinar que</w:t>
      </w:r>
      <w:r>
        <w:rPr>
          <w:rFonts w:ascii="Arial" w:hAnsi="Arial" w:cs="Arial"/>
          <w:bCs/>
          <w:sz w:val="24"/>
          <w:szCs w:val="24"/>
        </w:rPr>
        <w:t xml:space="preserve"> tais entidades tenham o dever de observar procedimento da licitação, apesar da</w:t>
      </w:r>
      <w:r w:rsidRPr="005B3956">
        <w:rPr>
          <w:rFonts w:ascii="Arial" w:hAnsi="Arial" w:cs="Arial"/>
          <w:bCs/>
          <w:sz w:val="24"/>
          <w:szCs w:val="24"/>
        </w:rPr>
        <w:t xml:space="preserve"> dinamicidade</w:t>
      </w:r>
      <w:r>
        <w:rPr>
          <w:rFonts w:ascii="Arial" w:hAnsi="Arial" w:cs="Arial"/>
          <w:bCs/>
          <w:sz w:val="24"/>
          <w:szCs w:val="24"/>
        </w:rPr>
        <w:t xml:space="preserve"> do mercado competitivo, o que vai de encontro ao preceito da livre concorrência, visto que essas empresas sofrem com o excesso de formalidades e, de modo ideal, deveriam concorrer </w:t>
      </w:r>
      <w:r w:rsidRPr="005B3956">
        <w:rPr>
          <w:rFonts w:ascii="Arial" w:hAnsi="Arial" w:cs="Arial"/>
          <w:bCs/>
          <w:sz w:val="24"/>
          <w:szCs w:val="24"/>
        </w:rPr>
        <w:t>em iguais condições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B3956">
        <w:rPr>
          <w:rFonts w:ascii="Arial" w:hAnsi="Arial" w:cs="Arial"/>
          <w:bCs/>
          <w:sz w:val="24"/>
          <w:szCs w:val="24"/>
        </w:rPr>
        <w:t>com os particulares.</w:t>
      </w:r>
    </w:p>
    <w:p w:rsidR="00082322" w:rsidRDefault="00082322" w:rsidP="00082322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Feitas as devidas considerações acerca da natureza jurídica que envolve as atividades meio e fim, das </w:t>
      </w:r>
      <w:r w:rsidRPr="005B3956">
        <w:rPr>
          <w:rFonts w:ascii="Arial" w:hAnsi="Arial" w:cs="Arial"/>
          <w:bCs/>
          <w:sz w:val="24"/>
          <w:szCs w:val="24"/>
        </w:rPr>
        <w:t xml:space="preserve">empresas estatais exploradoras de atividade </w:t>
      </w:r>
      <w:r w:rsidRPr="005B3956">
        <w:rPr>
          <w:rFonts w:ascii="Arial" w:hAnsi="Arial" w:cs="Arial"/>
          <w:bCs/>
          <w:sz w:val="24"/>
          <w:szCs w:val="24"/>
        </w:rPr>
        <w:lastRenderedPageBreak/>
        <w:t xml:space="preserve">econômica, </w:t>
      </w:r>
      <w:r>
        <w:rPr>
          <w:rFonts w:ascii="Arial" w:hAnsi="Arial" w:cs="Arial"/>
          <w:bCs/>
          <w:sz w:val="24"/>
          <w:szCs w:val="24"/>
        </w:rPr>
        <w:t>é plenamente aceito pela doutrina que no</w:t>
      </w:r>
      <w:r w:rsidRPr="005B3956">
        <w:rPr>
          <w:rFonts w:ascii="Arial" w:hAnsi="Arial" w:cs="Arial"/>
          <w:bCs/>
          <w:sz w:val="24"/>
          <w:szCs w:val="24"/>
        </w:rPr>
        <w:t xml:space="preserve"> desempenho de suas </w:t>
      </w:r>
      <w:proofErr w:type="spellStart"/>
      <w:r w:rsidRPr="005B3956">
        <w:rPr>
          <w:rFonts w:ascii="Arial" w:hAnsi="Arial" w:cs="Arial"/>
          <w:bCs/>
          <w:sz w:val="24"/>
          <w:szCs w:val="24"/>
        </w:rPr>
        <w:t>atividades-fins</w:t>
      </w:r>
      <w:proofErr w:type="spellEnd"/>
      <w:r w:rsidRPr="005B395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estas empresas </w:t>
      </w:r>
      <w:r w:rsidRPr="005B3956">
        <w:rPr>
          <w:rFonts w:ascii="Arial" w:hAnsi="Arial" w:cs="Arial"/>
          <w:bCs/>
          <w:sz w:val="24"/>
          <w:szCs w:val="24"/>
        </w:rPr>
        <w:t>não deveriam licitar ou deveriam seguir um procedimento simplificado</w:t>
      </w:r>
      <w:r>
        <w:rPr>
          <w:rFonts w:ascii="Arial" w:hAnsi="Arial" w:cs="Arial"/>
          <w:bCs/>
          <w:sz w:val="24"/>
          <w:szCs w:val="24"/>
        </w:rPr>
        <w:t xml:space="preserve"> no que ficou conhecido como atuação concorrencial</w:t>
      </w:r>
      <w:r w:rsidRPr="005B3956">
        <w:rPr>
          <w:rFonts w:ascii="Arial" w:hAnsi="Arial" w:cs="Arial"/>
          <w:bCs/>
          <w:sz w:val="24"/>
          <w:szCs w:val="24"/>
        </w:rPr>
        <w:t xml:space="preserve">. </w:t>
      </w:r>
    </w:p>
    <w:p w:rsidR="00082322" w:rsidRPr="005B3956" w:rsidRDefault="00082322" w:rsidP="00082322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Ist</w:t>
      </w:r>
      <w:r w:rsidRPr="005B3956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, por conta d</w:t>
      </w:r>
      <w:r w:rsidRPr="005B3956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previsto no art.</w:t>
      </w:r>
      <w:r w:rsidRPr="005B3956">
        <w:rPr>
          <w:rFonts w:ascii="Arial" w:hAnsi="Arial" w:cs="Arial"/>
          <w:bCs/>
          <w:sz w:val="24"/>
          <w:szCs w:val="24"/>
        </w:rPr>
        <w:t xml:space="preserve"> 173</w:t>
      </w:r>
      <w:r>
        <w:rPr>
          <w:rFonts w:ascii="Arial" w:hAnsi="Arial" w:cs="Arial"/>
          <w:bCs/>
          <w:sz w:val="24"/>
          <w:szCs w:val="24"/>
        </w:rPr>
        <w:t xml:space="preserve"> da CF</w:t>
      </w:r>
      <w:r w:rsidRPr="005B395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que</w:t>
      </w:r>
      <w:r w:rsidRPr="005B3956">
        <w:rPr>
          <w:rFonts w:ascii="Arial" w:hAnsi="Arial" w:cs="Arial"/>
          <w:bCs/>
          <w:sz w:val="24"/>
          <w:szCs w:val="24"/>
        </w:rPr>
        <w:t xml:space="preserve"> em seu parágrafo primeiro, </w:t>
      </w:r>
      <w:r>
        <w:rPr>
          <w:rFonts w:ascii="Arial" w:hAnsi="Arial" w:cs="Arial"/>
          <w:bCs/>
          <w:sz w:val="24"/>
          <w:szCs w:val="24"/>
        </w:rPr>
        <w:t xml:space="preserve">observa a atuação dessas empresas </w:t>
      </w:r>
      <w:r w:rsidRPr="005B3956">
        <w:rPr>
          <w:rFonts w:ascii="Arial" w:hAnsi="Arial" w:cs="Arial"/>
          <w:bCs/>
          <w:sz w:val="24"/>
          <w:szCs w:val="24"/>
        </w:rPr>
        <w:t>em</w:t>
      </w:r>
      <w:r>
        <w:rPr>
          <w:rFonts w:ascii="Arial" w:hAnsi="Arial" w:cs="Arial"/>
          <w:bCs/>
          <w:sz w:val="24"/>
          <w:szCs w:val="24"/>
        </w:rPr>
        <w:t xml:space="preserve"> margem de</w:t>
      </w:r>
      <w:r w:rsidRPr="005B3956">
        <w:rPr>
          <w:rFonts w:ascii="Arial" w:hAnsi="Arial" w:cs="Arial"/>
          <w:bCs/>
          <w:sz w:val="24"/>
          <w:szCs w:val="24"/>
        </w:rPr>
        <w:t xml:space="preserve"> igualdade de condições com a iniciativa privada, </w:t>
      </w:r>
      <w:r>
        <w:rPr>
          <w:rFonts w:ascii="Arial" w:hAnsi="Arial" w:cs="Arial"/>
          <w:bCs/>
          <w:sz w:val="24"/>
          <w:szCs w:val="24"/>
        </w:rPr>
        <w:t xml:space="preserve">inclusive no que tange </w:t>
      </w:r>
      <w:r w:rsidRPr="005B3956">
        <w:rPr>
          <w:rFonts w:ascii="Arial" w:hAnsi="Arial" w:cs="Arial"/>
          <w:bCs/>
          <w:sz w:val="24"/>
          <w:szCs w:val="24"/>
        </w:rPr>
        <w:t xml:space="preserve">as obrigações civis, trabalhistas, previdenciárias </w:t>
      </w:r>
      <w:r>
        <w:rPr>
          <w:rFonts w:ascii="Arial" w:hAnsi="Arial" w:cs="Arial"/>
          <w:bCs/>
          <w:sz w:val="24"/>
          <w:szCs w:val="24"/>
        </w:rPr>
        <w:t>e tributárias, sem quaisquer benesses do Estado que sirvam de anteparo à competitividade.</w:t>
      </w:r>
    </w:p>
    <w:p w:rsidR="00082322" w:rsidRPr="005B3956" w:rsidRDefault="00082322" w:rsidP="00082322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Buscando desenvolver um encadeamento histórico sobre o tema, trazemos à tona o marco da publicação da Lei Federal nº</w:t>
      </w:r>
      <w:r w:rsidRPr="005B3956">
        <w:rPr>
          <w:rFonts w:ascii="Arial" w:hAnsi="Arial" w:cs="Arial"/>
          <w:bCs/>
          <w:sz w:val="24"/>
          <w:szCs w:val="24"/>
        </w:rPr>
        <w:t xml:space="preserve"> 9.478/97 que, no caso específico da</w:t>
      </w:r>
      <w:r>
        <w:rPr>
          <w:rFonts w:ascii="Arial" w:hAnsi="Arial" w:cs="Arial"/>
          <w:bCs/>
          <w:sz w:val="24"/>
          <w:szCs w:val="24"/>
        </w:rPr>
        <w:t xml:space="preserve"> empresa</w:t>
      </w:r>
      <w:r w:rsidRPr="005B3956">
        <w:rPr>
          <w:rFonts w:ascii="Arial" w:hAnsi="Arial" w:cs="Arial"/>
          <w:bCs/>
          <w:sz w:val="24"/>
          <w:szCs w:val="24"/>
        </w:rPr>
        <w:t xml:space="preserve"> Petrobrás, determinou que </w:t>
      </w:r>
      <w:r>
        <w:rPr>
          <w:rFonts w:ascii="Arial" w:hAnsi="Arial" w:cs="Arial"/>
          <w:bCs/>
          <w:sz w:val="24"/>
          <w:szCs w:val="24"/>
        </w:rPr>
        <w:t xml:space="preserve">por meio de </w:t>
      </w:r>
      <w:r w:rsidRPr="005B3956">
        <w:rPr>
          <w:rFonts w:ascii="Arial" w:hAnsi="Arial" w:cs="Arial"/>
          <w:bCs/>
          <w:sz w:val="24"/>
          <w:szCs w:val="24"/>
        </w:rPr>
        <w:t xml:space="preserve">decreto presidencial </w:t>
      </w:r>
      <w:r>
        <w:rPr>
          <w:rFonts w:ascii="Arial" w:hAnsi="Arial" w:cs="Arial"/>
          <w:bCs/>
          <w:sz w:val="24"/>
          <w:szCs w:val="24"/>
        </w:rPr>
        <w:t>seria estabelecido</w:t>
      </w:r>
      <w:r w:rsidRPr="005B3956">
        <w:rPr>
          <w:rFonts w:ascii="Arial" w:hAnsi="Arial" w:cs="Arial"/>
          <w:bCs/>
          <w:sz w:val="24"/>
          <w:szCs w:val="24"/>
        </w:rPr>
        <w:t xml:space="preserve"> seu regime licitatório simplifi</w:t>
      </w:r>
      <w:r>
        <w:rPr>
          <w:rFonts w:ascii="Arial" w:hAnsi="Arial" w:cs="Arial"/>
          <w:bCs/>
          <w:sz w:val="24"/>
          <w:szCs w:val="24"/>
        </w:rPr>
        <w:t xml:space="preserve">cado. Tal decreto teve sua publicação ocorrida no ano de 1998, o Decreto Federal nº 2.745/98, entrando em vigor na data de sua publicação, o dia 24 de agosto de 1998.  </w:t>
      </w:r>
    </w:p>
    <w:p w:rsidR="00082322" w:rsidRDefault="00082322" w:rsidP="00082322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entanto, ampla discussão </w:t>
      </w:r>
      <w:r w:rsidRPr="00B2666B">
        <w:rPr>
          <w:rFonts w:ascii="Arial" w:hAnsi="Arial" w:cs="Arial"/>
          <w:bCs/>
          <w:sz w:val="24"/>
          <w:szCs w:val="24"/>
        </w:rPr>
        <w:t>se instaurou por</w:t>
      </w:r>
      <w:r>
        <w:rPr>
          <w:rFonts w:ascii="Arial" w:hAnsi="Arial" w:cs="Arial"/>
          <w:bCs/>
          <w:sz w:val="24"/>
          <w:szCs w:val="24"/>
        </w:rPr>
        <w:t xml:space="preserve"> conta da promulgação</w:t>
      </w:r>
      <w:r w:rsidRPr="00B2666B">
        <w:rPr>
          <w:rFonts w:ascii="Arial" w:hAnsi="Arial" w:cs="Arial"/>
          <w:bCs/>
          <w:sz w:val="24"/>
          <w:szCs w:val="24"/>
        </w:rPr>
        <w:t xml:space="preserve"> da E</w:t>
      </w:r>
      <w:r>
        <w:rPr>
          <w:rFonts w:ascii="Arial" w:hAnsi="Arial" w:cs="Arial"/>
          <w:bCs/>
          <w:sz w:val="24"/>
          <w:szCs w:val="24"/>
        </w:rPr>
        <w:t xml:space="preserve">menda </w:t>
      </w:r>
      <w:r w:rsidRPr="00B2666B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 xml:space="preserve">onstitucional nº 19/1998, ocorrida em 5 de junho de 1998, portanto antes da edição do referido </w:t>
      </w:r>
      <w:r w:rsidRPr="00B2666B">
        <w:rPr>
          <w:rFonts w:ascii="Arial" w:hAnsi="Arial" w:cs="Arial"/>
          <w:bCs/>
          <w:sz w:val="24"/>
          <w:szCs w:val="24"/>
        </w:rPr>
        <w:t>decreto</w:t>
      </w:r>
      <w:r>
        <w:rPr>
          <w:rFonts w:ascii="Arial" w:hAnsi="Arial" w:cs="Arial"/>
          <w:bCs/>
          <w:sz w:val="24"/>
          <w:szCs w:val="24"/>
        </w:rPr>
        <w:t>,</w:t>
      </w:r>
      <w:r w:rsidRPr="00B2666B">
        <w:rPr>
          <w:rFonts w:ascii="Arial" w:hAnsi="Arial" w:cs="Arial"/>
          <w:bCs/>
          <w:sz w:val="24"/>
          <w:szCs w:val="24"/>
        </w:rPr>
        <w:t xml:space="preserve"> que</w:t>
      </w:r>
      <w:r>
        <w:rPr>
          <w:rFonts w:ascii="Arial" w:hAnsi="Arial" w:cs="Arial"/>
          <w:bCs/>
          <w:sz w:val="24"/>
          <w:szCs w:val="24"/>
        </w:rPr>
        <w:t xml:space="preserve"> além da competência privativa da União,</w:t>
      </w:r>
      <w:r w:rsidRPr="00B2666B">
        <w:rPr>
          <w:rFonts w:ascii="Arial" w:hAnsi="Arial" w:cs="Arial"/>
          <w:bCs/>
          <w:sz w:val="24"/>
          <w:szCs w:val="24"/>
        </w:rPr>
        <w:t xml:space="preserve"> teria</w:t>
      </w:r>
      <w:r w:rsidRPr="005B3956">
        <w:rPr>
          <w:rFonts w:ascii="Arial" w:hAnsi="Arial" w:cs="Arial"/>
          <w:bCs/>
          <w:sz w:val="24"/>
          <w:szCs w:val="24"/>
        </w:rPr>
        <w:t xml:space="preserve"> exigido</w:t>
      </w:r>
      <w:r>
        <w:rPr>
          <w:rFonts w:ascii="Arial" w:hAnsi="Arial" w:cs="Arial"/>
          <w:bCs/>
          <w:sz w:val="24"/>
          <w:szCs w:val="24"/>
        </w:rPr>
        <w:t xml:space="preserve"> a edição de L</w:t>
      </w:r>
      <w:r w:rsidRPr="005B3956">
        <w:rPr>
          <w:rFonts w:ascii="Arial" w:hAnsi="Arial" w:cs="Arial"/>
          <w:bCs/>
          <w:sz w:val="24"/>
          <w:szCs w:val="24"/>
        </w:rPr>
        <w:t>ei nacional</w:t>
      </w:r>
      <w:r>
        <w:rPr>
          <w:rFonts w:ascii="Arial" w:hAnsi="Arial" w:cs="Arial"/>
          <w:bCs/>
          <w:sz w:val="24"/>
          <w:szCs w:val="24"/>
        </w:rPr>
        <w:t xml:space="preserve"> especifica</w:t>
      </w:r>
      <w:r w:rsidRPr="00D4303D">
        <w:t xml:space="preserve"> </w:t>
      </w:r>
      <w:r>
        <w:rPr>
          <w:rFonts w:ascii="Arial" w:hAnsi="Arial" w:cs="Arial"/>
          <w:bCs/>
          <w:sz w:val="24"/>
          <w:szCs w:val="24"/>
        </w:rPr>
        <w:t>estabelecendo</w:t>
      </w:r>
      <w:r w:rsidRPr="00D4303D">
        <w:rPr>
          <w:rFonts w:ascii="Arial" w:hAnsi="Arial" w:cs="Arial"/>
          <w:bCs/>
          <w:sz w:val="24"/>
          <w:szCs w:val="24"/>
        </w:rPr>
        <w:t xml:space="preserve"> o estatuto jurídico da empresa pública, da sociedade de economia mista e de suas subsidiárias que explorem atividade econômica de produção ou comercialização de bens ou de prestação de serviços,</w:t>
      </w:r>
      <w:r w:rsidRPr="005B395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tratando, portanto, da formação de</w:t>
      </w:r>
      <w:r w:rsidRPr="005B395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um</w:t>
      </w:r>
      <w:r w:rsidRPr="005B3956">
        <w:rPr>
          <w:rFonts w:ascii="Arial" w:hAnsi="Arial" w:cs="Arial"/>
          <w:bCs/>
          <w:sz w:val="24"/>
          <w:szCs w:val="24"/>
        </w:rPr>
        <w:t xml:space="preserve"> regime licitatório diferenciado.</w:t>
      </w:r>
      <w:r>
        <w:rPr>
          <w:rFonts w:ascii="Arial" w:hAnsi="Arial" w:cs="Arial"/>
          <w:bCs/>
          <w:sz w:val="24"/>
          <w:szCs w:val="24"/>
        </w:rPr>
        <w:t xml:space="preserve"> Todavia, o</w:t>
      </w:r>
      <w:r w:rsidRPr="005B3956">
        <w:rPr>
          <w:rFonts w:ascii="Arial" w:hAnsi="Arial" w:cs="Arial"/>
          <w:bCs/>
          <w:sz w:val="24"/>
          <w:szCs w:val="24"/>
        </w:rPr>
        <w:t xml:space="preserve"> TCU declarou inconstitucional esse regime.</w:t>
      </w:r>
    </w:p>
    <w:p w:rsidR="00082322" w:rsidRDefault="00082322" w:rsidP="00082322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Sob uma perspectiva formal quanto ao caso, a questão foi submetida</w:t>
      </w:r>
      <w:r w:rsidRPr="005B3956">
        <w:rPr>
          <w:rFonts w:ascii="Arial" w:hAnsi="Arial" w:cs="Arial"/>
          <w:bCs/>
          <w:sz w:val="24"/>
          <w:szCs w:val="24"/>
        </w:rPr>
        <w:t xml:space="preserve"> ao S</w:t>
      </w:r>
      <w:r>
        <w:rPr>
          <w:rFonts w:ascii="Arial" w:hAnsi="Arial" w:cs="Arial"/>
          <w:bCs/>
          <w:sz w:val="24"/>
          <w:szCs w:val="24"/>
        </w:rPr>
        <w:t xml:space="preserve">upremo Tribunal </w:t>
      </w:r>
      <w:r w:rsidRPr="005B3956">
        <w:rPr>
          <w:rFonts w:ascii="Arial" w:hAnsi="Arial" w:cs="Arial"/>
          <w:bCs/>
          <w:sz w:val="24"/>
          <w:szCs w:val="24"/>
        </w:rPr>
        <w:t>F</w:t>
      </w:r>
      <w:r>
        <w:rPr>
          <w:rFonts w:ascii="Arial" w:hAnsi="Arial" w:cs="Arial"/>
          <w:bCs/>
          <w:sz w:val="24"/>
          <w:szCs w:val="24"/>
        </w:rPr>
        <w:t xml:space="preserve">ederal, que em primeiro momento entendeu que </w:t>
      </w:r>
      <w:r w:rsidRPr="005B3956">
        <w:rPr>
          <w:rFonts w:ascii="Arial" w:hAnsi="Arial" w:cs="Arial"/>
          <w:bCs/>
          <w:sz w:val="24"/>
          <w:szCs w:val="24"/>
        </w:rPr>
        <w:t>o T</w:t>
      </w:r>
      <w:r>
        <w:rPr>
          <w:rFonts w:ascii="Arial" w:hAnsi="Arial" w:cs="Arial"/>
          <w:bCs/>
          <w:sz w:val="24"/>
          <w:szCs w:val="24"/>
        </w:rPr>
        <w:t xml:space="preserve">ribunal de Contas da União </w:t>
      </w:r>
      <w:r w:rsidRPr="005B3956">
        <w:rPr>
          <w:rFonts w:ascii="Arial" w:hAnsi="Arial" w:cs="Arial"/>
          <w:bCs/>
          <w:sz w:val="24"/>
          <w:szCs w:val="24"/>
        </w:rPr>
        <w:t xml:space="preserve">não poderia declarar a inconstitucionalidade de ato normativo. </w:t>
      </w:r>
      <w:r>
        <w:rPr>
          <w:rFonts w:ascii="Arial" w:hAnsi="Arial" w:cs="Arial"/>
          <w:bCs/>
          <w:sz w:val="24"/>
          <w:szCs w:val="24"/>
        </w:rPr>
        <w:t>Entendimento modificado posteriormente com a emissão da</w:t>
      </w:r>
      <w:r w:rsidRPr="005B3956">
        <w:rPr>
          <w:rFonts w:ascii="Arial" w:hAnsi="Arial" w:cs="Arial"/>
          <w:bCs/>
          <w:sz w:val="24"/>
          <w:szCs w:val="24"/>
        </w:rPr>
        <w:t xml:space="preserve"> súmula</w:t>
      </w:r>
      <w:r>
        <w:rPr>
          <w:rFonts w:ascii="Arial" w:hAnsi="Arial" w:cs="Arial"/>
          <w:bCs/>
          <w:sz w:val="24"/>
          <w:szCs w:val="24"/>
        </w:rPr>
        <w:t xml:space="preserve"> nº</w:t>
      </w:r>
      <w:r w:rsidRPr="005B3956">
        <w:rPr>
          <w:rFonts w:ascii="Arial" w:hAnsi="Arial" w:cs="Arial"/>
          <w:bCs/>
          <w:sz w:val="24"/>
          <w:szCs w:val="24"/>
        </w:rPr>
        <w:t xml:space="preserve"> 347</w:t>
      </w:r>
      <w:r>
        <w:rPr>
          <w:rFonts w:ascii="Arial" w:hAnsi="Arial" w:cs="Arial"/>
          <w:bCs/>
          <w:sz w:val="24"/>
          <w:szCs w:val="24"/>
        </w:rPr>
        <w:t xml:space="preserve"> que</w:t>
      </w:r>
      <w:r w:rsidRPr="005B3956">
        <w:rPr>
          <w:rFonts w:ascii="Arial" w:hAnsi="Arial" w:cs="Arial"/>
          <w:bCs/>
          <w:sz w:val="24"/>
          <w:szCs w:val="24"/>
        </w:rPr>
        <w:t xml:space="preserve"> daria atribuição ao Tribunal</w:t>
      </w:r>
      <w:r>
        <w:rPr>
          <w:rFonts w:ascii="Arial" w:hAnsi="Arial" w:cs="Arial"/>
          <w:bCs/>
          <w:sz w:val="24"/>
          <w:szCs w:val="24"/>
        </w:rPr>
        <w:t xml:space="preserve"> de Contas,</w:t>
      </w:r>
      <w:r w:rsidRPr="005B3956">
        <w:rPr>
          <w:rFonts w:ascii="Arial" w:hAnsi="Arial" w:cs="Arial"/>
          <w:bCs/>
          <w:sz w:val="24"/>
          <w:szCs w:val="24"/>
        </w:rPr>
        <w:t xml:space="preserve"> </w:t>
      </w:r>
      <w:r w:rsidRPr="0032353D">
        <w:rPr>
          <w:rFonts w:ascii="Arial" w:hAnsi="Arial" w:cs="Arial"/>
          <w:bCs/>
          <w:sz w:val="24"/>
          <w:szCs w:val="24"/>
        </w:rPr>
        <w:t>no exercício de suas atribuições, pode</w:t>
      </w:r>
      <w:r>
        <w:rPr>
          <w:rFonts w:ascii="Arial" w:hAnsi="Arial" w:cs="Arial"/>
          <w:bCs/>
          <w:sz w:val="24"/>
          <w:szCs w:val="24"/>
        </w:rPr>
        <w:t>ria</w:t>
      </w:r>
      <w:r w:rsidRPr="0032353D">
        <w:rPr>
          <w:rFonts w:ascii="Arial" w:hAnsi="Arial" w:cs="Arial"/>
          <w:bCs/>
          <w:sz w:val="24"/>
          <w:szCs w:val="24"/>
        </w:rPr>
        <w:t xml:space="preserve"> apreciar a constitucionalidade das leis e dos atos do poder público.</w:t>
      </w:r>
    </w:p>
    <w:p w:rsidR="00082322" w:rsidRPr="005B3956" w:rsidRDefault="00082322" w:rsidP="00082322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5F04">
        <w:rPr>
          <w:rFonts w:ascii="Arial" w:hAnsi="Arial" w:cs="Arial"/>
          <w:bCs/>
          <w:sz w:val="24"/>
          <w:szCs w:val="24"/>
        </w:rPr>
        <w:t xml:space="preserve">Nos últimos anos as decisões do Supremo Tribunal Federal passaram a um entendimento diverso, e passaram a entender que, no caso específico da </w:t>
      </w:r>
      <w:r w:rsidRPr="00395F04">
        <w:rPr>
          <w:rFonts w:ascii="Arial" w:hAnsi="Arial" w:cs="Arial"/>
          <w:bCs/>
          <w:sz w:val="24"/>
          <w:szCs w:val="24"/>
        </w:rPr>
        <w:lastRenderedPageBreak/>
        <w:t>PETROBRÁS, com inexistência do monopólio, é visto com bons olhos a competência para o estabelecimento do regime licitatório diferenciado estabelecido por meio de decreto, cujo interesse toma forma da própria necessidade de manter a competitividade da estatal.</w:t>
      </w:r>
    </w:p>
    <w:p w:rsidR="00082322" w:rsidRDefault="00082322" w:rsidP="00082322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74CC5">
        <w:rPr>
          <w:rFonts w:ascii="Arial" w:hAnsi="Arial" w:cs="Arial"/>
          <w:bCs/>
          <w:sz w:val="24"/>
          <w:szCs w:val="24"/>
        </w:rPr>
        <w:t>Desta feita, a construção da jurisprudência verteu-se no sentido de que as empresas estatais exploradoras de atividade econômica deveriam seguir um regime licitatório diferenciado, conforme segue as ementas abaixo:</w:t>
      </w:r>
    </w:p>
    <w:p w:rsidR="00082322" w:rsidRPr="00274CC5" w:rsidRDefault="00082322" w:rsidP="00082322">
      <w:pPr>
        <w:spacing w:before="120" w:after="120" w:line="360" w:lineRule="auto"/>
        <w:ind w:left="2268"/>
        <w:jc w:val="both"/>
        <w:rPr>
          <w:rFonts w:ascii="Arial" w:hAnsi="Arial" w:cs="Arial"/>
          <w:bCs/>
          <w:sz w:val="24"/>
          <w:szCs w:val="24"/>
        </w:rPr>
      </w:pPr>
    </w:p>
    <w:p w:rsidR="00082322" w:rsidRPr="00E71F27" w:rsidRDefault="00082322" w:rsidP="00082322">
      <w:pPr>
        <w:spacing w:before="120" w:after="120" w:line="360" w:lineRule="auto"/>
        <w:ind w:left="2268"/>
        <w:jc w:val="both"/>
        <w:rPr>
          <w:rFonts w:ascii="Arial" w:hAnsi="Arial" w:cs="Arial"/>
          <w:bCs/>
          <w:i/>
          <w:szCs w:val="24"/>
        </w:rPr>
      </w:pPr>
      <w:r w:rsidRPr="00E71F27">
        <w:rPr>
          <w:rFonts w:ascii="Arial" w:hAnsi="Arial" w:cs="Arial"/>
          <w:bCs/>
          <w:i/>
          <w:szCs w:val="24"/>
        </w:rPr>
        <w:t>EMENTA: AGRAVO REGIMENTAL EM MANDADO DE SEGURANÇA. PETRÓLEO BRASILEIRO S/A PETROBRAS. OBRAS E SERVIÇOS. CONTRATAÇÃO PELO PROCEDIMENTO LICITATÓRIO SIMPLIFICADO. DETERMINAÇÃO DE ESPECIFICAÇÃO NO PLANO DIRETOR A QUE SE REFERE CADA CONTRAÇÃO REALIZADA. ALEGAÇÃO DE APLICABILIDADE DO DECRETO N. 2.745/1998 EM VEZ DA LEI N. 8.666/1993: FUNDAMENTAÇÃO DIVERSA DO ATO ATACADO. AUSÊNCIA DE UTILIDADE DA IMPETRAÇÃO. AGRAVO REGIMENTAL AO QUAL SE NEGA PROVIMENTO.</w:t>
      </w:r>
    </w:p>
    <w:p w:rsidR="00082322" w:rsidRPr="00E71F27" w:rsidRDefault="00082322" w:rsidP="00082322">
      <w:pPr>
        <w:spacing w:before="120" w:after="120" w:line="360" w:lineRule="auto"/>
        <w:ind w:left="2268"/>
        <w:jc w:val="both"/>
        <w:rPr>
          <w:rFonts w:ascii="Arial" w:hAnsi="Arial" w:cs="Arial"/>
          <w:bCs/>
          <w:szCs w:val="24"/>
        </w:rPr>
      </w:pPr>
      <w:r w:rsidRPr="00E71F27">
        <w:rPr>
          <w:rFonts w:ascii="Arial" w:hAnsi="Arial" w:cs="Arial"/>
          <w:bCs/>
          <w:i/>
          <w:szCs w:val="24"/>
        </w:rPr>
        <w:t xml:space="preserve">(MS 30358 </w:t>
      </w:r>
      <w:proofErr w:type="spellStart"/>
      <w:r w:rsidRPr="00E71F27">
        <w:rPr>
          <w:rFonts w:ascii="Arial" w:hAnsi="Arial" w:cs="Arial"/>
          <w:bCs/>
          <w:i/>
          <w:szCs w:val="24"/>
        </w:rPr>
        <w:t>AgR</w:t>
      </w:r>
      <w:proofErr w:type="spellEnd"/>
      <w:r w:rsidRPr="00E71F27">
        <w:rPr>
          <w:rFonts w:ascii="Arial" w:hAnsi="Arial" w:cs="Arial"/>
          <w:bCs/>
          <w:i/>
          <w:szCs w:val="24"/>
        </w:rPr>
        <w:t xml:space="preserve">, </w:t>
      </w:r>
      <w:proofErr w:type="gramStart"/>
      <w:r w:rsidRPr="00E71F27">
        <w:rPr>
          <w:rFonts w:ascii="Arial" w:hAnsi="Arial" w:cs="Arial"/>
          <w:bCs/>
          <w:i/>
          <w:szCs w:val="24"/>
        </w:rPr>
        <w:t>Relator(</w:t>
      </w:r>
      <w:proofErr w:type="gramEnd"/>
      <w:r w:rsidRPr="00E71F27">
        <w:rPr>
          <w:rFonts w:ascii="Arial" w:hAnsi="Arial" w:cs="Arial"/>
          <w:bCs/>
          <w:i/>
          <w:szCs w:val="24"/>
        </w:rPr>
        <w:t>a):  Min. CÁRMEN LÚCIA, Segunda Turma, julgado em 18/09/2012, PROCESSO ELETRÔNICO DJe-201 DIVULG 11-10-2012 PUBLIC 15-10-2012)</w:t>
      </w:r>
    </w:p>
    <w:p w:rsidR="00082322" w:rsidRPr="00E71F27" w:rsidRDefault="00082322" w:rsidP="00082322">
      <w:pPr>
        <w:spacing w:before="120" w:after="120" w:line="360" w:lineRule="auto"/>
        <w:ind w:left="2268"/>
        <w:jc w:val="both"/>
        <w:rPr>
          <w:rFonts w:ascii="Arial" w:hAnsi="Arial" w:cs="Arial"/>
          <w:bCs/>
          <w:szCs w:val="24"/>
        </w:rPr>
      </w:pPr>
    </w:p>
    <w:p w:rsidR="00082322" w:rsidRPr="00E71F27" w:rsidRDefault="00082322" w:rsidP="00082322">
      <w:pPr>
        <w:spacing w:before="120" w:after="120" w:line="360" w:lineRule="auto"/>
        <w:ind w:left="2268"/>
        <w:jc w:val="both"/>
        <w:rPr>
          <w:rFonts w:ascii="Arial" w:hAnsi="Arial" w:cs="Arial"/>
          <w:bCs/>
          <w:i/>
          <w:szCs w:val="24"/>
        </w:rPr>
      </w:pPr>
      <w:r w:rsidRPr="00E71F27">
        <w:rPr>
          <w:rFonts w:ascii="Arial" w:hAnsi="Arial" w:cs="Arial"/>
          <w:bCs/>
          <w:i/>
          <w:szCs w:val="24"/>
        </w:rPr>
        <w:t>EMENTA: AGRAVO REGIMENTAL NO RECURSO EXTRAORDINÁRIO COM AGRAVO. ADMINISTRATIVO. LICITAÇÃO. 1) AUSÊNCIA DE PREQUESTIONAMENTO. SÚMULAS N. 282 E 356 DO SUPREMO TRIBUNAL FEDERAL. 2) CONTROVÉRSIA SOBRE A NORMA APLICÁVEL: LEI N. 8.666/1993 OU DECRETO N. 2.745/1998. MATÉRIA INFRACONSTITUCIONAL. OFENSA CONSTITUCIONAL INDIRETA. AGRAVO REGIMENTAL AO QUAL SE NEGA PROVIMENTO.</w:t>
      </w:r>
    </w:p>
    <w:p w:rsidR="00082322" w:rsidRPr="00E71F27" w:rsidRDefault="00082322" w:rsidP="00082322">
      <w:pPr>
        <w:spacing w:before="120" w:after="120" w:line="360" w:lineRule="auto"/>
        <w:ind w:left="2268"/>
        <w:jc w:val="both"/>
        <w:rPr>
          <w:rFonts w:ascii="Arial" w:hAnsi="Arial" w:cs="Arial"/>
          <w:bCs/>
          <w:sz w:val="24"/>
          <w:szCs w:val="24"/>
        </w:rPr>
      </w:pPr>
      <w:r w:rsidRPr="00E71F27">
        <w:rPr>
          <w:rFonts w:ascii="Arial" w:hAnsi="Arial" w:cs="Arial"/>
          <w:bCs/>
          <w:i/>
          <w:szCs w:val="24"/>
        </w:rPr>
        <w:lastRenderedPageBreak/>
        <w:t xml:space="preserve">(ARE 767997 </w:t>
      </w:r>
      <w:proofErr w:type="spellStart"/>
      <w:r w:rsidRPr="00E71F27">
        <w:rPr>
          <w:rFonts w:ascii="Arial" w:hAnsi="Arial" w:cs="Arial"/>
          <w:bCs/>
          <w:i/>
          <w:szCs w:val="24"/>
        </w:rPr>
        <w:t>AgR</w:t>
      </w:r>
      <w:proofErr w:type="spellEnd"/>
      <w:r w:rsidRPr="00E71F27">
        <w:rPr>
          <w:rFonts w:ascii="Arial" w:hAnsi="Arial" w:cs="Arial"/>
          <w:bCs/>
          <w:i/>
          <w:szCs w:val="24"/>
        </w:rPr>
        <w:t xml:space="preserve">, </w:t>
      </w:r>
      <w:proofErr w:type="gramStart"/>
      <w:r w:rsidRPr="00E71F27">
        <w:rPr>
          <w:rFonts w:ascii="Arial" w:hAnsi="Arial" w:cs="Arial"/>
          <w:bCs/>
          <w:i/>
          <w:szCs w:val="24"/>
        </w:rPr>
        <w:t>Relator(</w:t>
      </w:r>
      <w:proofErr w:type="gramEnd"/>
      <w:r w:rsidRPr="00E71F27">
        <w:rPr>
          <w:rFonts w:ascii="Arial" w:hAnsi="Arial" w:cs="Arial"/>
          <w:bCs/>
          <w:i/>
          <w:szCs w:val="24"/>
        </w:rPr>
        <w:t>a):  Min. CÁRMEN LÚCIA, Segunda Turma, julgado em 26/11/2013, ACÓRDÃO ELETRÔNICO DJe-236 DIVULG 29-11-2013 PUBLIC 02-12-2013)</w:t>
      </w:r>
    </w:p>
    <w:p w:rsidR="00082322" w:rsidRDefault="00082322" w:rsidP="00082322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082322" w:rsidRPr="005B3956" w:rsidRDefault="00082322" w:rsidP="00082322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Assim, com base na ressalva da jurisprudência, diversas </w:t>
      </w:r>
      <w:r w:rsidRPr="005B3956">
        <w:rPr>
          <w:rFonts w:ascii="Arial" w:hAnsi="Arial" w:cs="Arial"/>
          <w:bCs/>
          <w:sz w:val="24"/>
          <w:szCs w:val="24"/>
        </w:rPr>
        <w:t>empr</w:t>
      </w:r>
      <w:r>
        <w:rPr>
          <w:rFonts w:ascii="Arial" w:hAnsi="Arial" w:cs="Arial"/>
          <w:bCs/>
          <w:sz w:val="24"/>
          <w:szCs w:val="24"/>
        </w:rPr>
        <w:t>esas estatais,</w:t>
      </w:r>
      <w:r w:rsidRPr="005B3956">
        <w:rPr>
          <w:rFonts w:ascii="Arial" w:hAnsi="Arial" w:cs="Arial"/>
          <w:bCs/>
          <w:sz w:val="24"/>
          <w:szCs w:val="24"/>
        </w:rPr>
        <w:t xml:space="preserve"> passaram a ter regime licitatório diferenciado, </w:t>
      </w:r>
      <w:r>
        <w:rPr>
          <w:rFonts w:ascii="Arial" w:hAnsi="Arial" w:cs="Arial"/>
          <w:bCs/>
          <w:sz w:val="24"/>
          <w:szCs w:val="24"/>
        </w:rPr>
        <w:t>como o caso da ELETROBRÁS cujo regime encontra-se estabelecido na Lei nº</w:t>
      </w:r>
      <w:r w:rsidRPr="005B3956">
        <w:rPr>
          <w:rFonts w:ascii="Arial" w:hAnsi="Arial" w:cs="Arial"/>
          <w:bCs/>
          <w:sz w:val="24"/>
          <w:szCs w:val="24"/>
        </w:rPr>
        <w:t xml:space="preserve"> 11.943/09.</w:t>
      </w:r>
    </w:p>
    <w:p w:rsidR="00082322" w:rsidRDefault="00082322" w:rsidP="00082322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82322">
        <w:rPr>
          <w:rFonts w:ascii="Arial" w:hAnsi="Arial" w:cs="Arial"/>
          <w:bCs/>
          <w:sz w:val="24"/>
          <w:szCs w:val="24"/>
        </w:rPr>
        <w:t>Nesse contexto,</w:t>
      </w:r>
      <w:r>
        <w:rPr>
          <w:rFonts w:ascii="Arial" w:hAnsi="Arial" w:cs="Arial"/>
          <w:bCs/>
          <w:sz w:val="24"/>
          <w:szCs w:val="24"/>
        </w:rPr>
        <w:t xml:space="preserve"> ficou-se consagrado </w:t>
      </w:r>
      <w:r w:rsidRPr="00082322">
        <w:rPr>
          <w:rFonts w:ascii="Arial" w:hAnsi="Arial" w:cs="Arial"/>
          <w:bCs/>
          <w:sz w:val="24"/>
          <w:szCs w:val="24"/>
        </w:rPr>
        <w:t>que as empresas públicas e sociedades de economia mista exploradoras de atividade econômica</w:t>
      </w:r>
      <w:r>
        <w:rPr>
          <w:rFonts w:ascii="Arial" w:hAnsi="Arial" w:cs="Arial"/>
          <w:bCs/>
          <w:sz w:val="24"/>
          <w:szCs w:val="24"/>
        </w:rPr>
        <w:t xml:space="preserve"> devem se submeter</w:t>
      </w:r>
      <w:r w:rsidRPr="00082322">
        <w:rPr>
          <w:rFonts w:ascii="Arial" w:hAnsi="Arial" w:cs="Arial"/>
          <w:bCs/>
          <w:sz w:val="24"/>
          <w:szCs w:val="24"/>
        </w:rPr>
        <w:t xml:space="preserve"> a regime</w:t>
      </w:r>
      <w:r>
        <w:rPr>
          <w:rFonts w:ascii="Arial" w:hAnsi="Arial" w:cs="Arial"/>
          <w:bCs/>
          <w:sz w:val="24"/>
          <w:szCs w:val="24"/>
        </w:rPr>
        <w:t xml:space="preserve"> ímpar de licitação, visto participarem</w:t>
      </w:r>
      <w:r w:rsidRPr="00082322">
        <w:rPr>
          <w:rFonts w:ascii="Arial" w:hAnsi="Arial" w:cs="Arial"/>
          <w:bCs/>
          <w:sz w:val="24"/>
          <w:szCs w:val="24"/>
        </w:rPr>
        <w:t xml:space="preserve"> de</w:t>
      </w:r>
      <w:r>
        <w:rPr>
          <w:rFonts w:ascii="Arial" w:hAnsi="Arial" w:cs="Arial"/>
          <w:bCs/>
          <w:sz w:val="24"/>
          <w:szCs w:val="24"/>
        </w:rPr>
        <w:t xml:space="preserve"> mercado sob a égide da</w:t>
      </w:r>
      <w:r w:rsidRPr="00082322">
        <w:rPr>
          <w:rFonts w:ascii="Arial" w:hAnsi="Arial" w:cs="Arial"/>
          <w:bCs/>
          <w:sz w:val="24"/>
          <w:szCs w:val="24"/>
        </w:rPr>
        <w:t xml:space="preserve"> livre concorrência, </w:t>
      </w:r>
      <w:r>
        <w:rPr>
          <w:rFonts w:ascii="Arial" w:hAnsi="Arial" w:cs="Arial"/>
          <w:bCs/>
          <w:sz w:val="24"/>
          <w:szCs w:val="24"/>
        </w:rPr>
        <w:t>sendo-lhe, portanto,</w:t>
      </w:r>
      <w:r w:rsidRPr="00082322">
        <w:rPr>
          <w:rFonts w:ascii="Arial" w:hAnsi="Arial" w:cs="Arial"/>
          <w:bCs/>
          <w:sz w:val="24"/>
          <w:szCs w:val="24"/>
        </w:rPr>
        <w:t xml:space="preserve"> prejudicial a submissão integral ao regime jurídico previsto pela Lei 8666/93, tendo em vista que as empresas concorrentes não têm que se sujeitar a regras de licitação, quebrando a isonomia que deve reger a concorrência na iniciativa privada.</w:t>
      </w:r>
      <w:r w:rsidRPr="001F765B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</w:p>
    <w:p w:rsidR="00082322" w:rsidRPr="000D7A30" w:rsidRDefault="00082322" w:rsidP="00082322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</w:t>
      </w:r>
      <w:r>
        <w:rPr>
          <w:rFonts w:ascii="Arial" w:hAnsi="Arial" w:cs="Arial"/>
          <w:bCs/>
          <w:sz w:val="24"/>
          <w:szCs w:val="24"/>
        </w:rPr>
        <w:t xml:space="preserve"> mesmo compasso, citemos a criação a instituição d</w:t>
      </w:r>
      <w:r w:rsidRPr="000D7A30">
        <w:rPr>
          <w:rFonts w:ascii="Arial" w:hAnsi="Arial" w:cs="Arial"/>
          <w:bCs/>
          <w:sz w:val="24"/>
          <w:szCs w:val="24"/>
        </w:rPr>
        <w:t xml:space="preserve">o capítulo I da Lei nº 12.462, de 5 de agosto de 2011, </w:t>
      </w:r>
      <w:r>
        <w:rPr>
          <w:rFonts w:ascii="Arial" w:hAnsi="Arial" w:cs="Arial"/>
          <w:bCs/>
          <w:sz w:val="24"/>
          <w:szCs w:val="24"/>
        </w:rPr>
        <w:t xml:space="preserve">que </w:t>
      </w:r>
      <w:r w:rsidRPr="000D7A30">
        <w:rPr>
          <w:rFonts w:ascii="Arial" w:hAnsi="Arial" w:cs="Arial"/>
          <w:bCs/>
          <w:sz w:val="24"/>
          <w:szCs w:val="24"/>
        </w:rPr>
        <w:t>regulamentado pelo Decreto nº 7.581, de 11 de outubro de 2011,</w:t>
      </w:r>
      <w:r>
        <w:rPr>
          <w:rFonts w:ascii="Arial" w:hAnsi="Arial" w:cs="Arial"/>
          <w:bCs/>
          <w:sz w:val="24"/>
          <w:szCs w:val="24"/>
        </w:rPr>
        <w:t xml:space="preserve"> resultou na criação d</w:t>
      </w:r>
      <w:r w:rsidRPr="000D7A30">
        <w:rPr>
          <w:rFonts w:ascii="Arial" w:hAnsi="Arial" w:cs="Arial"/>
          <w:bCs/>
          <w:sz w:val="24"/>
          <w:szCs w:val="24"/>
        </w:rPr>
        <w:t>o Regime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7A30">
        <w:rPr>
          <w:rFonts w:ascii="Arial" w:hAnsi="Arial" w:cs="Arial"/>
          <w:bCs/>
          <w:sz w:val="24"/>
          <w:szCs w:val="24"/>
        </w:rPr>
        <w:t>Diferenciado de</w:t>
      </w:r>
      <w:r>
        <w:rPr>
          <w:rFonts w:ascii="Arial" w:hAnsi="Arial" w:cs="Arial"/>
          <w:bCs/>
          <w:sz w:val="24"/>
          <w:szCs w:val="24"/>
        </w:rPr>
        <w:t xml:space="preserve"> Contratações Públicas (RDC), que </w:t>
      </w:r>
      <w:r w:rsidRPr="000D7A30">
        <w:rPr>
          <w:rFonts w:ascii="Arial" w:hAnsi="Arial" w:cs="Arial"/>
          <w:bCs/>
          <w:sz w:val="24"/>
          <w:szCs w:val="24"/>
        </w:rPr>
        <w:t>constitui disciplina excepcional 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7A30">
        <w:rPr>
          <w:rFonts w:ascii="Arial" w:hAnsi="Arial" w:cs="Arial"/>
          <w:bCs/>
          <w:sz w:val="24"/>
          <w:szCs w:val="24"/>
        </w:rPr>
        <w:t>transitória facultativamente aplicável às licitações e aos contratos no âmbito 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7A30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dministração pública brasileira, se restringindo </w:t>
      </w:r>
      <w:r w:rsidRPr="000D7A30">
        <w:rPr>
          <w:rFonts w:ascii="Arial" w:hAnsi="Arial" w:cs="Arial"/>
          <w:bCs/>
          <w:sz w:val="24"/>
          <w:szCs w:val="24"/>
        </w:rPr>
        <w:t>“exclusivamente às licitações e contratos necessários à realização”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7A30">
        <w:rPr>
          <w:rFonts w:ascii="Arial" w:hAnsi="Arial" w:cs="Arial"/>
          <w:bCs/>
          <w:sz w:val="24"/>
          <w:szCs w:val="24"/>
        </w:rPr>
        <w:t>Jogos Olímp</w:t>
      </w:r>
      <w:r>
        <w:rPr>
          <w:rFonts w:ascii="Arial" w:hAnsi="Arial" w:cs="Arial"/>
          <w:bCs/>
          <w:sz w:val="24"/>
          <w:szCs w:val="24"/>
        </w:rPr>
        <w:t xml:space="preserve">icos e Paraolímpicos de 2016, </w:t>
      </w:r>
      <w:r w:rsidRPr="000D7A30">
        <w:rPr>
          <w:rFonts w:ascii="Arial" w:hAnsi="Arial" w:cs="Arial"/>
          <w:bCs/>
          <w:sz w:val="24"/>
          <w:szCs w:val="24"/>
        </w:rPr>
        <w:t>da Copa das Confederações</w:t>
      </w:r>
      <w:r>
        <w:rPr>
          <w:rFonts w:ascii="Arial" w:hAnsi="Arial" w:cs="Arial"/>
          <w:bCs/>
          <w:sz w:val="24"/>
          <w:szCs w:val="24"/>
        </w:rPr>
        <w:t xml:space="preserve"> e da Copa do Mundo, além das </w:t>
      </w:r>
      <w:r w:rsidRPr="000D7A30">
        <w:rPr>
          <w:rFonts w:ascii="Arial" w:hAnsi="Arial" w:cs="Arial"/>
          <w:bCs/>
          <w:sz w:val="24"/>
          <w:szCs w:val="24"/>
        </w:rPr>
        <w:t>obras de infraestrutura 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7A30">
        <w:rPr>
          <w:rFonts w:ascii="Arial" w:hAnsi="Arial" w:cs="Arial"/>
          <w:bCs/>
          <w:sz w:val="24"/>
          <w:szCs w:val="24"/>
        </w:rPr>
        <w:t>contratação de serviços em aeroportos próximos às cidades que sediarão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7A30">
        <w:rPr>
          <w:rFonts w:ascii="Arial" w:hAnsi="Arial" w:cs="Arial"/>
          <w:bCs/>
          <w:sz w:val="24"/>
          <w:szCs w:val="24"/>
        </w:rPr>
        <w:t>esses eventos esportivos</w:t>
      </w:r>
      <w:r>
        <w:rPr>
          <w:rFonts w:ascii="Arial" w:hAnsi="Arial" w:cs="Arial"/>
          <w:bCs/>
          <w:sz w:val="24"/>
          <w:szCs w:val="24"/>
        </w:rPr>
        <w:t>.</w:t>
      </w:r>
    </w:p>
    <w:p w:rsidR="00082322" w:rsidRDefault="00082322" w:rsidP="00082322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que pressupõe não somente uma priorização do Estado na realização desses eventos turísticos citados, mas sobretudo, a corroboração de que para se ter um resultado satisfatoriamente eficaz nos gastos foi necessário se impor uma </w:t>
      </w:r>
      <w:r w:rsidRPr="000119AD">
        <w:rPr>
          <w:rFonts w:ascii="Arial" w:hAnsi="Arial" w:cs="Arial"/>
          <w:bCs/>
          <w:sz w:val="24"/>
          <w:szCs w:val="24"/>
        </w:rPr>
        <w:t>maior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19AD">
        <w:rPr>
          <w:rFonts w:ascii="Arial" w:hAnsi="Arial" w:cs="Arial"/>
          <w:bCs/>
          <w:sz w:val="24"/>
          <w:szCs w:val="24"/>
        </w:rPr>
        <w:t>simplificação</w:t>
      </w:r>
      <w:r>
        <w:rPr>
          <w:rFonts w:ascii="Arial" w:hAnsi="Arial" w:cs="Arial"/>
          <w:bCs/>
          <w:sz w:val="24"/>
          <w:szCs w:val="24"/>
        </w:rPr>
        <w:t>, celeridade e</w:t>
      </w:r>
      <w:r w:rsidRPr="000119AD">
        <w:rPr>
          <w:rFonts w:ascii="Arial" w:hAnsi="Arial" w:cs="Arial"/>
          <w:bCs/>
          <w:sz w:val="24"/>
          <w:szCs w:val="24"/>
        </w:rPr>
        <w:t xml:space="preserve"> transparência nos procedimentos para</w:t>
      </w:r>
      <w:r>
        <w:rPr>
          <w:rFonts w:ascii="Arial" w:hAnsi="Arial" w:cs="Arial"/>
          <w:bCs/>
          <w:sz w:val="24"/>
          <w:szCs w:val="24"/>
        </w:rPr>
        <w:t xml:space="preserve"> dispêndio de recursos públicos, visando eliminar percalços burocráticos.</w:t>
      </w:r>
    </w:p>
    <w:p w:rsidR="00082322" w:rsidRDefault="00082322" w:rsidP="00082322">
      <w:pPr>
        <w:spacing w:before="120"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 sentido</w:t>
      </w:r>
      <w:r>
        <w:rPr>
          <w:rFonts w:ascii="Arial" w:hAnsi="Arial" w:cs="Arial"/>
          <w:bCs/>
          <w:sz w:val="24"/>
          <w:szCs w:val="24"/>
        </w:rPr>
        <w:t xml:space="preserve">, fica-se demonstrado que o próprio Estado já volta seus olhos </w:t>
      </w:r>
      <w:r w:rsidRPr="005B3956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necessidade de renovação do atual regime licitatório, que de forma inequívoca, </w:t>
      </w:r>
      <w:r w:rsidRPr="005B3956">
        <w:rPr>
          <w:rFonts w:ascii="Arial" w:hAnsi="Arial" w:cs="Arial"/>
          <w:bCs/>
          <w:sz w:val="24"/>
          <w:szCs w:val="24"/>
        </w:rPr>
        <w:t>não</w:t>
      </w:r>
      <w:r>
        <w:rPr>
          <w:rFonts w:ascii="Arial" w:hAnsi="Arial" w:cs="Arial"/>
          <w:bCs/>
          <w:sz w:val="24"/>
          <w:szCs w:val="24"/>
        </w:rPr>
        <w:t xml:space="preserve"> é compatível a realidade de mercado e não pode ser entrave </w:t>
      </w:r>
      <w:r>
        <w:rPr>
          <w:rFonts w:ascii="Arial" w:hAnsi="Arial" w:cs="Arial"/>
          <w:bCs/>
          <w:sz w:val="24"/>
          <w:szCs w:val="24"/>
        </w:rPr>
        <w:lastRenderedPageBreak/>
        <w:t>para</w:t>
      </w:r>
      <w:r w:rsidRPr="005B3956">
        <w:rPr>
          <w:rFonts w:ascii="Arial" w:hAnsi="Arial" w:cs="Arial"/>
          <w:bCs/>
          <w:sz w:val="24"/>
          <w:szCs w:val="24"/>
        </w:rPr>
        <w:t xml:space="preserve"> o des</w:t>
      </w:r>
      <w:r>
        <w:rPr>
          <w:rFonts w:ascii="Arial" w:hAnsi="Arial" w:cs="Arial"/>
          <w:bCs/>
          <w:sz w:val="24"/>
          <w:szCs w:val="24"/>
        </w:rPr>
        <w:t>envolvimento das atividades desenvolvidas por empresas estatais, especialmente, as que atuam no mercado de capitais.</w:t>
      </w:r>
    </w:p>
    <w:p w:rsidR="00A53D1C" w:rsidRDefault="00A53D1C"/>
    <w:sectPr w:rsidR="00A53D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2"/>
    <w:rsid w:val="00082322"/>
    <w:rsid w:val="00721B1E"/>
    <w:rsid w:val="00A53D1C"/>
    <w:rsid w:val="00A61AA1"/>
    <w:rsid w:val="00F6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BD3EA-52F1-4EBE-A4C3-59335AFF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1248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Chaves</dc:creator>
  <cp:keywords/>
  <dc:description/>
  <cp:lastModifiedBy>Rafael Chaves</cp:lastModifiedBy>
  <cp:revision>1</cp:revision>
  <dcterms:created xsi:type="dcterms:W3CDTF">2015-06-12T03:03:00Z</dcterms:created>
  <dcterms:modified xsi:type="dcterms:W3CDTF">2015-06-12T03:14:00Z</dcterms:modified>
</cp:coreProperties>
</file>