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FD" w:rsidRPr="00141AA9" w:rsidRDefault="0059689B" w:rsidP="0059689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9689B">
        <w:rPr>
          <w:rFonts w:ascii="Times New Roman" w:hAnsi="Times New Roman" w:cs="Times New Roman"/>
          <w:b/>
          <w:sz w:val="24"/>
        </w:rPr>
        <w:t>A HERMENÊUTICA JURÍDICA COMO INSTRUMENTO DE TRANSFORMAÇÃO SOCIAL:</w:t>
      </w:r>
      <w:r>
        <w:rPr>
          <w:rFonts w:ascii="Times New Roman" w:hAnsi="Times New Roman" w:cs="Times New Roman"/>
          <w:sz w:val="24"/>
        </w:rPr>
        <w:t xml:space="preserve"> A EFETIVAÇÃO DE DIREITOS FUNDAMENTAIS E A IMPORTÂNCIA DA INTERPRETAÇÃO</w:t>
      </w:r>
    </w:p>
    <w:p w:rsidR="0084561E" w:rsidRDefault="0059689B" w:rsidP="0059689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Evandro Ferreira de Araújo Costa Netto</w:t>
      </w:r>
      <w:r w:rsidR="0084561E" w:rsidRPr="0084561E">
        <w:rPr>
          <w:rStyle w:val="Refdenotaderodap"/>
          <w:rFonts w:ascii="Times New Roman" w:hAnsi="Times New Roman" w:cs="Times New Roman"/>
          <w:i/>
          <w:sz w:val="20"/>
          <w:szCs w:val="20"/>
        </w:rPr>
        <w:footnoteReference w:id="1"/>
      </w:r>
    </w:p>
    <w:p w:rsidR="007F4C63" w:rsidRDefault="007F4C63" w:rsidP="0059689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Larissa Saraiva Garrido Carneiro</w:t>
      </w:r>
      <w:r>
        <w:rPr>
          <w:rStyle w:val="Refdenotaderodap"/>
          <w:rFonts w:ascii="Times New Roman" w:hAnsi="Times New Roman" w:cs="Times New Roman"/>
          <w:i/>
          <w:sz w:val="20"/>
          <w:szCs w:val="20"/>
        </w:rPr>
        <w:footnoteReference w:id="2"/>
      </w:r>
    </w:p>
    <w:p w:rsidR="0084561E" w:rsidRPr="0084561E" w:rsidRDefault="0084400B" w:rsidP="0084561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Jayme Camargo da Silva</w:t>
      </w:r>
      <w:r w:rsidR="0084561E">
        <w:rPr>
          <w:rStyle w:val="Refdenotaderodap"/>
          <w:rFonts w:ascii="Times New Roman" w:hAnsi="Times New Roman" w:cs="Times New Roman"/>
          <w:i/>
          <w:sz w:val="20"/>
          <w:szCs w:val="20"/>
        </w:rPr>
        <w:footnoteReference w:id="3"/>
      </w:r>
    </w:p>
    <w:p w:rsidR="001F08FD" w:rsidRDefault="001F08FD" w:rsidP="00970E35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84561E" w:rsidRDefault="0084561E" w:rsidP="00141A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Sumário: </w:t>
      </w:r>
      <w:r>
        <w:rPr>
          <w:rFonts w:ascii="Times New Roman" w:hAnsi="Times New Roman" w:cs="Times New Roman"/>
          <w:sz w:val="20"/>
          <w:szCs w:val="20"/>
        </w:rPr>
        <w:t xml:space="preserve">Introdução; </w:t>
      </w:r>
      <w:r w:rsidR="0084400B">
        <w:rPr>
          <w:rFonts w:ascii="Times New Roman" w:hAnsi="Times New Roman" w:cs="Times New Roman"/>
          <w:sz w:val="20"/>
          <w:szCs w:val="20"/>
        </w:rPr>
        <w:t xml:space="preserve">1 O Positivismo Jurídico; 2 Dogmática e Interpretação; 2.1 O círculo hermenêutico: pré-compreensão e compreensão; 2.2. “Vontade da Lei” e “Vontade do Legislador”; 2.3 O intérprete autêntico: lições de Kelsen; 3 Hermenêutica Jurídica como instrumento de transformação social; 3.1 Crise do Direito; 3.2 Efetivação de Direitos Fundamentais; </w:t>
      </w:r>
      <w:r w:rsidR="005E4D30">
        <w:rPr>
          <w:rFonts w:ascii="Times New Roman" w:hAnsi="Times New Roman" w:cs="Times New Roman"/>
          <w:sz w:val="20"/>
          <w:szCs w:val="20"/>
        </w:rPr>
        <w:t>Conclusão; Referências.</w:t>
      </w:r>
    </w:p>
    <w:p w:rsidR="005E4D30" w:rsidRDefault="005E4D30" w:rsidP="00141A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5E4D30" w:rsidRDefault="005E4D30" w:rsidP="00141A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4D30" w:rsidRDefault="005E4D30" w:rsidP="005E4D30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</w:rPr>
      </w:pPr>
    </w:p>
    <w:p w:rsidR="005E4D30" w:rsidRDefault="005E4D30" w:rsidP="005E4D30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</w:rPr>
      </w:pPr>
    </w:p>
    <w:p w:rsidR="005E4D30" w:rsidRDefault="005E4D30" w:rsidP="005E4D30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</w:rPr>
      </w:pPr>
    </w:p>
    <w:p w:rsidR="005E4D30" w:rsidRPr="00B26B1D" w:rsidRDefault="005E4D30" w:rsidP="005E4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B1D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5E4D30" w:rsidRDefault="005E4D30" w:rsidP="005E4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9E7" w:rsidRDefault="00B26B1D" w:rsidP="007200FC">
      <w:pPr>
        <w:pStyle w:val="NormalWeb"/>
        <w:spacing w:before="0" w:beforeAutospacing="0" w:after="0" w:afterAutospacing="0"/>
        <w:jc w:val="both"/>
      </w:pPr>
      <w:r w:rsidRPr="007200FC">
        <w:t xml:space="preserve">O presente </w:t>
      </w:r>
      <w:r w:rsidRPr="007200FC">
        <w:rPr>
          <w:i/>
        </w:rPr>
        <w:t>paper</w:t>
      </w:r>
      <w:r w:rsidRPr="007200FC">
        <w:t xml:space="preserve"> tem como enfoque a </w:t>
      </w:r>
      <w:r w:rsidR="007200FC" w:rsidRPr="007200FC">
        <w:t xml:space="preserve">evidente </w:t>
      </w:r>
      <w:r w:rsidR="007200FC">
        <w:t>crise no D</w:t>
      </w:r>
      <w:r w:rsidR="007200FC" w:rsidRPr="007200FC">
        <w:t xml:space="preserve">ireito e como este pode ser objeto de </w:t>
      </w:r>
      <w:r w:rsidR="007200FC">
        <w:t xml:space="preserve">gradativas melhorias através dos métodos de interpretação hermenêuticos. O Direito deve ser objeto de constantes atualizações pelo intérprete autêntico, figura de grande relevância para a construção deste estudo. </w:t>
      </w:r>
      <w:r w:rsidR="00E508D8">
        <w:t>Feita de forma adequada, esta dinâmica permite que o direito e a hermenêutica jurídica sejam eficientes instrumentos de transformação social.</w:t>
      </w:r>
    </w:p>
    <w:p w:rsidR="00E508D8" w:rsidRPr="007200FC" w:rsidRDefault="00E508D8" w:rsidP="007200FC">
      <w:pPr>
        <w:pStyle w:val="NormalWeb"/>
        <w:spacing w:before="0" w:beforeAutospacing="0" w:after="0" w:afterAutospacing="0"/>
        <w:jc w:val="both"/>
      </w:pPr>
      <w:r>
        <w:t>A crise do direito está compreendida em valores erroneamente arraigados e é um grave problema que se estende até os dias atuais, pela proliferação do ensino incorreto (ou falta de ensino) da hermenêutica.</w:t>
      </w:r>
    </w:p>
    <w:p w:rsidR="004D4ED0" w:rsidRDefault="004D4ED0" w:rsidP="004D4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30" w:rsidRDefault="005E4D30" w:rsidP="00B2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D30" w:rsidRPr="00B26B1D" w:rsidRDefault="005E4D30" w:rsidP="005E4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B1D">
        <w:rPr>
          <w:rFonts w:ascii="Times New Roman" w:hAnsi="Times New Roman" w:cs="Times New Roman"/>
          <w:b/>
          <w:sz w:val="24"/>
          <w:szCs w:val="24"/>
        </w:rPr>
        <w:t>PALAVRAS CHAVE:</w:t>
      </w:r>
    </w:p>
    <w:p w:rsidR="00B26B1D" w:rsidRDefault="00B26B1D" w:rsidP="00B2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B1D" w:rsidRPr="007200FC" w:rsidRDefault="007200FC" w:rsidP="00B26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Interpretação – Dogmática – Crise do Direito – Direitos Fundamentais</w:t>
      </w:r>
    </w:p>
    <w:p w:rsidR="005E4D30" w:rsidRPr="005E4D30" w:rsidRDefault="005E4D30" w:rsidP="0001525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5E4D30" w:rsidRDefault="005E4D30" w:rsidP="00970E35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5E4D30" w:rsidRDefault="005E4D30" w:rsidP="00970E35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5E4D30" w:rsidRDefault="005E4D30" w:rsidP="00970E35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E65A95" w:rsidRPr="00D24971" w:rsidRDefault="00CE44D2" w:rsidP="00D2497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C31EAA">
        <w:rPr>
          <w:rFonts w:ascii="Times New Roman" w:hAnsi="Times New Roman" w:cs="Times New Roman"/>
          <w:b/>
          <w:sz w:val="24"/>
        </w:rPr>
        <w:t>INTRODUÇÃO</w:t>
      </w:r>
    </w:p>
    <w:p w:rsidR="00E65A95" w:rsidRDefault="00D24971" w:rsidP="00E65A95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Neste </w:t>
      </w:r>
      <w:r>
        <w:rPr>
          <w:i/>
        </w:rPr>
        <w:t>paper</w:t>
      </w:r>
      <w:r>
        <w:t>, trabalhar-se-á inicialmente com a ideia de positivismo jurídico. O nascimento deste instituto está intimamente ligado à noção de legislação: direito positivo, em uma primeira análise, é “aquele decorrente de imposição do Estado (poder soberano), com normas gerais e abstratas (lei)”. (WENDPAP, 2012, p.1)</w:t>
      </w:r>
    </w:p>
    <w:p w:rsidR="00D24971" w:rsidRDefault="00D24971" w:rsidP="00D2497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direito pode ser considerado uma obra humana, correspondente a um processo de criação. O “sentido” do direito não é formado apenas por valores que “concebem a intenção, ou a vontade, do sujeito que faz a lei, como também os valores incorporados à tradição histórica na qual ela se insere”. Isto será percebido quando se fala em vontade do autor e em vontade do intérprete, sendo estes “seres históricos p</w:t>
      </w:r>
      <w:r w:rsidR="007F4C63">
        <w:rPr>
          <w:rFonts w:ascii="Times New Roman" w:hAnsi="Times New Roman" w:cs="Times New Roman"/>
          <w:sz w:val="24"/>
          <w:szCs w:val="24"/>
        </w:rPr>
        <w:t>ertencentes a épocas distintas”</w:t>
      </w:r>
      <w:r>
        <w:rPr>
          <w:rFonts w:ascii="Times New Roman" w:hAnsi="Times New Roman" w:cs="Times New Roman"/>
          <w:sz w:val="24"/>
          <w:szCs w:val="24"/>
        </w:rPr>
        <w:t xml:space="preserve"> (CAMARGO, 2003, p. 49)</w:t>
      </w:r>
      <w:r w:rsidR="007F4C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Por esta razão, se faz necessária a análise da dogmática e interpretação jurídicas.</w:t>
      </w:r>
    </w:p>
    <w:p w:rsidR="00D24971" w:rsidRDefault="00D24971" w:rsidP="00D2497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conhecimen</w:t>
      </w:r>
      <w:r w:rsidR="007F4C63">
        <w:rPr>
          <w:rFonts w:ascii="Times New Roman" w:hAnsi="Times New Roman" w:cs="Times New Roman"/>
          <w:sz w:val="24"/>
          <w:szCs w:val="24"/>
        </w:rPr>
        <w:t>to é uma articulação de uma pré-</w:t>
      </w:r>
      <w:r>
        <w:rPr>
          <w:rFonts w:ascii="Times New Roman" w:hAnsi="Times New Roman" w:cs="Times New Roman"/>
          <w:sz w:val="24"/>
          <w:szCs w:val="24"/>
        </w:rPr>
        <w:t>compreensão originária que Heidegger chama de círculo hermenêutico. A compreensão, por sua vez, é a elaboração da construtiva e originária relação com o mundo que o constitui. (OLIVEIRA, 2012, p.[?])</w:t>
      </w:r>
    </w:p>
    <w:p w:rsidR="00D24971" w:rsidRDefault="00D24971" w:rsidP="00D2497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circularidade hermenêutica, por sua vez, segundo Heidegger, apoia-se sobre o sentido daquilo que busca-se compreender. “Sentido, para Heidegger, é aquilo em que se sustenta a compreensibilidade de alguma coisa (...)”. (CAMARGO, 2003, págs. 53 e 54)</w:t>
      </w:r>
    </w:p>
    <w:p w:rsidR="00D24971" w:rsidRDefault="00D24971" w:rsidP="00D2497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relação à lei, procurava-se transpor, inicialmente, a verdadeira vontade do legislador (a mesma do momento da criação da lei), para a aplicação, evitando-se o arbítrio. Entretanto, tempos depois, verificou-se uma tendência em reconhecer a autonomia da lei em relação a seu autor. (CAMARGO, 2003, p. 128)</w:t>
      </w:r>
    </w:p>
    <w:p w:rsidR="00D24971" w:rsidRDefault="00D24971" w:rsidP="00D2497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As normas jurídicas são objeto do intérprete autêntico. A interpretação autêntica, para Kelsen, é a atividade chamada de “Política do Direito”. Esta interpretação será de essencial importância para a efetivação de direitos, pois “</w:t>
      </w:r>
      <w:r>
        <w:rPr>
          <w:rFonts w:ascii="Times New Roman" w:hAnsi="Times New Roman" w:cs="Times New Roman"/>
          <w:sz w:val="24"/>
          <w:szCs w:val="24"/>
        </w:rPr>
        <w:t>não é aquela que busca o sentido dos textos normativos, mas sim aquela que aplica, ou seja, busca o alcance. (...) É a atividade chamada de aplicação. É o momento da subsunção, ou seja, o direito se realiza”</w:t>
      </w:r>
      <w:r w:rsidR="004F03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(OLIVEIRA, 2012, p[?])</w:t>
      </w:r>
      <w:r w:rsidR="004F03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397" w:rsidRDefault="00D24971" w:rsidP="004F03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linguagem tem o papel da representação das coisas no mundo, na tentativa de descrever as coisas do jeito que exatamente são em sua essência. Esta tem grande importância para o direito, pois é composto de normas escritas. É necessária a abordagem da hermenêutica em relação à linguagem. A linguagem, nos dias atuais, ainda mostra sinais de insuficiência – assim como Heidegger assevera. Não existe uma noção pura e acabada do objeto. (OLIVEIRA, 2012, p.[?])</w:t>
      </w:r>
    </w:p>
    <w:p w:rsidR="004F0397" w:rsidRDefault="004F0397" w:rsidP="004F03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 certo que a sociedade contemporânea vive um “excesso” de dogmática, fator essencial para a crise do Direito. As lições de Kelsen sobre o intérprete autêntico contribuem com grande relevância para a aplicação (fática) do Direito, garantindo assim os direitos fundamentais do homem.</w:t>
      </w:r>
    </w:p>
    <w:p w:rsidR="004F0397" w:rsidRDefault="004F0397" w:rsidP="004F03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 concretização do direito se dá pelo processo de transformação do texto da norma para a norma concreta (norma jurídica), que ainda não é o destino final a ser alcançado. A concretização somente alcança a plenitude no passo seguinte, que é a definição da norma de decisão, capaz de dar solução ao conflito existente no caso concreto. “Inexiste, hoje, interpretação do direito sem concretização; esta é a derradeira etapa daquela”. (GRAU, 2006, p.29)</w:t>
      </w:r>
    </w:p>
    <w:p w:rsidR="00D24971" w:rsidRDefault="00D24971" w:rsidP="004F0397">
      <w:pPr>
        <w:pStyle w:val="NormalWeb"/>
        <w:spacing w:before="0" w:beforeAutospacing="0" w:after="0" w:afterAutospacing="0" w:line="360" w:lineRule="auto"/>
        <w:jc w:val="both"/>
      </w:pPr>
    </w:p>
    <w:p w:rsidR="004D4ED0" w:rsidRDefault="00873C3A" w:rsidP="004D4ED0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1</w:t>
      </w:r>
      <w:r w:rsidR="004D4ED0" w:rsidRPr="00985957">
        <w:rPr>
          <w:b/>
        </w:rPr>
        <w:t xml:space="preserve"> </w:t>
      </w:r>
      <w:r w:rsidR="004F0397">
        <w:rPr>
          <w:b/>
        </w:rPr>
        <w:t>O Positivismo Jurídico</w:t>
      </w:r>
    </w:p>
    <w:p w:rsidR="00CD376C" w:rsidRDefault="004F0397" w:rsidP="004F0397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rPr>
          <w:i/>
        </w:rPr>
        <w:t xml:space="preserve">A priori, </w:t>
      </w:r>
      <w:r>
        <w:t xml:space="preserve">estuda-se neste trabalho as leis, advindas do positivismo jurídico. Inicialmente, era certo que o positivismo seria uma doutrina na qual o que era considerado direito era equivalente apenas ao direito positivo. </w:t>
      </w:r>
      <w:r>
        <w:softHyphen/>
      </w:r>
      <w:r>
        <w:softHyphen/>
      </w:r>
      <w:r>
        <w:softHyphen/>
      </w:r>
      <w:r w:rsidR="005F354B">
        <w:t>Porém, desenvolve-se esta acepção, e delimita-se que o direito positivo é resultado da força estatal imposta a partir de normas gerais e abstratas. (WENDPAP, 2012, p.1)</w:t>
      </w:r>
    </w:p>
    <w:p w:rsidR="005F354B" w:rsidRDefault="005F354B" w:rsidP="004F0397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Pode-se entender o positivismo jurídico a partir de duas concepções feitas a partir da formação do Estado Moderno – o positivismo como fonte do direito decorrente do racionalismo, sendo as normas são instrumentos postos para que o soberano regule a sociedade; e a ideia da lei como </w:t>
      </w:r>
      <w:r w:rsidR="0008578E">
        <w:t>meio disponível ao homem para modificar a sociedade. Nesta última acepção, o direito positivo diferencia-se do direito consuetudinário, pelo fato que este seria um mero reflexo da estrutura social, sem possibilidades de modifica-la, enquanto aquele seria uma fonte realmente ativa. (WENDPAP, 2012, p.1)</w:t>
      </w:r>
    </w:p>
    <w:p w:rsidR="0008578E" w:rsidRDefault="0008578E" w:rsidP="0008578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Segundo a autora, o direito positivo tem grande influência na modernidade. Tem-se a possibilidade do aplicador das leis criar o direito no sentido de preencher lacunas e evitar omissões ou obscuridades:</w:t>
      </w:r>
    </w:p>
    <w:p w:rsidR="0008578E" w:rsidRDefault="0008578E" w:rsidP="0008578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(...) a legislação, portanto, vem para combater o caos do direito primitivo e confere ao Estado um instrumento de intervenção na sociedade. Trata-se de um movimento histórico ligado ao Estado Moderno, de modo que mesmo que nem todos os países tenham adotado codificações houve o fortalecimento da lei em detrimento das demais fontes, inclusive em países como a Inglaterra. (WENDPAP, 2012, p.1)</w:t>
      </w:r>
    </w:p>
    <w:p w:rsidR="00570A52" w:rsidRDefault="00570A52" w:rsidP="0008578E">
      <w:pPr>
        <w:pStyle w:val="NormalWeb"/>
        <w:spacing w:before="0" w:beforeAutospacing="0" w:after="0" w:afterAutospacing="0" w:line="360" w:lineRule="auto"/>
        <w:jc w:val="both"/>
      </w:pPr>
    </w:p>
    <w:p w:rsidR="00570A52" w:rsidRPr="00570A52" w:rsidRDefault="00570A52" w:rsidP="00570A52">
      <w:pPr>
        <w:pStyle w:val="NormalWeb"/>
        <w:spacing w:before="0" w:beforeAutospacing="0" w:after="0" w:afterAutospacing="0" w:line="360" w:lineRule="auto"/>
        <w:jc w:val="both"/>
        <w:rPr>
          <w:b/>
          <w:sz w:val="32"/>
        </w:rPr>
      </w:pPr>
      <w:r w:rsidRPr="00570A52">
        <w:rPr>
          <w:b/>
          <w:szCs w:val="20"/>
        </w:rPr>
        <w:t xml:space="preserve">2 </w:t>
      </w:r>
      <w:r w:rsidR="0008578E">
        <w:rPr>
          <w:b/>
          <w:szCs w:val="20"/>
        </w:rPr>
        <w:t>Dogmática e interpretação</w:t>
      </w:r>
    </w:p>
    <w:p w:rsidR="008522F0" w:rsidRDefault="00DE5FC4" w:rsidP="0008578E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No processo jurídico de decisão, a interpretação tem pressupostos em um conjunto de conceitos e conhecimentos prévios, fortemente arraigados. Isso permite que </w:t>
      </w:r>
      <w:r w:rsidR="007B1F5E">
        <w:t>se alcance as “conclusões com um mínimo de previsibilidade”. No campo jurídico, há todo um arcabouço teórico que influenciará a interpretação. É exatamente o viés dogmático, que se compõe pela lei, pela doutrina e pela jurisprudência.</w:t>
      </w:r>
      <w:r w:rsidR="00F55521">
        <w:t xml:space="preserve"> O conjunto de normas do ordenamento jurídico será o parâmetro para a interpretação.</w:t>
      </w:r>
      <w:r w:rsidR="007B1F5E">
        <w:t xml:space="preserve"> (CAMARGO, 2003, p. 51)</w:t>
      </w:r>
    </w:p>
    <w:p w:rsidR="00C869ED" w:rsidRDefault="00C869ED" w:rsidP="00C869ED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lastRenderedPageBreak/>
        <w:t>Interpretar a lei é adentrar o seu verdadeiro sentido, sendo que quando a lei é clara, a interpretação é automática; é fixar o sentido da norma e descobrir sua finalidade, buscando-se os valores consagrados pelo legislador; é buscar o esclarecimento. (STRECK, 2009, p. 93)</w:t>
      </w:r>
    </w:p>
    <w:p w:rsidR="00F55521" w:rsidRDefault="002A3AB6" w:rsidP="00156E4C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Faz-se</w:t>
      </w:r>
      <w:r w:rsidR="00F55521">
        <w:t xml:space="preserve"> necessária a noção da dogmática jurídica de Tércio Sampaio Ferraz Jr., sendo esta uma acepção fechada, em oposição à zetética. “O pensamento zetético corresponde às </w:t>
      </w:r>
      <w:r>
        <w:t>ciências do espírito não comprometidas com uma solução definitiva para suas questões, bem como independem dos pontos de partida que podem sempre ser questionados”. Neste âmbito estão a filosofia, a política e a sociologia. (CAMARGO, 2003, págs. 51 e 52)</w:t>
      </w:r>
    </w:p>
    <w:p w:rsidR="00156E4C" w:rsidRDefault="002A3AB6" w:rsidP="00156E4C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STRE</w:t>
      </w:r>
      <w:r w:rsidR="00FE3795">
        <w:t>C</w:t>
      </w:r>
      <w:r>
        <w:t>K (2009</w:t>
      </w:r>
      <w:r w:rsidR="00156E4C">
        <w:t>, págs. 78 e 79</w:t>
      </w:r>
      <w:r>
        <w:t xml:space="preserve">), por sua vez, aponta críticas que põem em xeque a dogmática jurídica, sinalizando uma evidente crise. O ensino jurídico, segundo ele, continua ligado às velhas práticas.  </w:t>
      </w:r>
      <w:r w:rsidR="00156E4C">
        <w:t>O positivismo ainda é regra. A dogmática é trabalhada em sala de aula e reproduzida na maioria dos manuais. O Direito ainda se encontra como “mera racionalidade instrumental”. A doutrina não é diferente. “Cada vez mais a doutrina doutrina menos” – esta é “doutrinada pelos tribunais”.</w:t>
      </w:r>
    </w:p>
    <w:p w:rsidR="007B1F5E" w:rsidRDefault="0061110C" w:rsidP="0061110C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A partir dos exemplos utilizados em sala e em várias obras jurídicas, é possível perceber uma “cultura estandartizada”, em que estes exemplos não representam o que realmente acontecem no cotidiano social. A dogmática amplia-se desregradamente – “há uma proliferação de manuais, que procuram ‘explicar’ o direito a partir de verbetes jurisprudenciais ahistóricos e atemporais (portanto metafísicos)”. (STRECK, 2009, págs. 80 e 81)</w:t>
      </w:r>
    </w:p>
    <w:p w:rsidR="00FE3795" w:rsidRDefault="00FE3795" w:rsidP="00FE3795">
      <w:pPr>
        <w:pStyle w:val="NormalWeb"/>
        <w:spacing w:before="0" w:beforeAutospacing="0" w:after="0" w:afterAutospacing="0"/>
        <w:ind w:left="2268"/>
        <w:jc w:val="both"/>
        <w:rPr>
          <w:sz w:val="20"/>
        </w:rPr>
      </w:pPr>
      <w:r>
        <w:rPr>
          <w:sz w:val="20"/>
        </w:rPr>
        <w:t xml:space="preserve">(...) A cultura </w:t>
      </w:r>
      <w:r>
        <w:rPr>
          <w:i/>
          <w:sz w:val="20"/>
        </w:rPr>
        <w:t>standard</w:t>
      </w:r>
      <w:r>
        <w:rPr>
          <w:sz w:val="20"/>
        </w:rPr>
        <w:t xml:space="preserve"> fornecida pelos manuais é reproduzida nas salas de aula e nos concursos públicos. (...) há um manual que, para explicar a diferença entre culpa consciente e dolo eventual, utiliza um exemplo a partir do ato de um jardineiro que quer cortar as ervas daninhas e corta o caule da flor...! (...) Tudo isto serve para demonstrar/ilustrar a histórica dificuldade </w:t>
      </w:r>
      <w:r w:rsidR="0035269D">
        <w:rPr>
          <w:sz w:val="20"/>
        </w:rPr>
        <w:t xml:space="preserve">da dogmática jurídica em lidar com os fenômenos sociais. (...) Estabeleceu-se uma cultura </w:t>
      </w:r>
      <w:r w:rsidR="0035269D">
        <w:rPr>
          <w:i/>
          <w:sz w:val="20"/>
        </w:rPr>
        <w:t>standard</w:t>
      </w:r>
      <w:r w:rsidR="0035269D">
        <w:rPr>
          <w:sz w:val="20"/>
        </w:rPr>
        <w:t>, no interior da qual o operador do Direito vai trabalhar no seu cotidiano com soluções e conceitos lexicográficos (...). (STRECK, 2009, págs. 81 e 82)</w:t>
      </w:r>
    </w:p>
    <w:p w:rsidR="0035269D" w:rsidRDefault="0035269D" w:rsidP="00FE3795">
      <w:pPr>
        <w:pStyle w:val="NormalWeb"/>
        <w:spacing w:before="0" w:beforeAutospacing="0" w:after="0" w:afterAutospacing="0"/>
        <w:ind w:left="2268"/>
        <w:jc w:val="both"/>
        <w:rPr>
          <w:sz w:val="20"/>
        </w:rPr>
      </w:pPr>
    </w:p>
    <w:p w:rsidR="0035269D" w:rsidRDefault="0035269D" w:rsidP="0035269D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O Direito instrumentalizado pela dogmática, apesar de tudo, consegue parecer aos olhos do seu operador como “ao mesmo tempo, seguro, justo, abrangente, sem fissuras, e acima de tudo, t</w:t>
      </w:r>
      <w:r w:rsidR="00FC6E5D">
        <w:t xml:space="preserve">écnico e funcional”. Isso é grave, já que ingressa-se em um “universo de silêncio”, o universo do texto, que sabe tudo, que diz tudo, que dá todas as respostas. (STRECK, 2009, p.87) Os juristas não fazem o Direito, “apenas entretêm o mistério divino do Direito, ou seja, o princípio de uma autoridade eterna fora do tempo e mistificante, conforme as exigências dos mecanismos de controle burocrático num contexto centralista”. (FERRAZ JR., </w:t>
      </w:r>
      <w:r w:rsidR="00FC6E5D">
        <w:rPr>
          <w:i/>
        </w:rPr>
        <w:t xml:space="preserve">apud </w:t>
      </w:r>
      <w:r w:rsidR="00FC6E5D">
        <w:t>STRECK, 2009, p. 87)</w:t>
      </w:r>
    </w:p>
    <w:p w:rsidR="00C869ED" w:rsidRDefault="00C869ED" w:rsidP="00FC6E5D">
      <w:pPr>
        <w:pStyle w:val="NormalWeb"/>
        <w:spacing w:before="0" w:beforeAutospacing="0" w:after="0" w:afterAutospacing="0" w:line="360" w:lineRule="auto"/>
        <w:jc w:val="both"/>
      </w:pPr>
    </w:p>
    <w:p w:rsidR="00FC6E5D" w:rsidRDefault="00FC6E5D" w:rsidP="00FC6E5D">
      <w:pPr>
        <w:pStyle w:val="NormalWeb"/>
        <w:spacing w:before="0" w:beforeAutospacing="0" w:after="0" w:afterAutospacing="0" w:line="360" w:lineRule="auto"/>
        <w:jc w:val="both"/>
      </w:pPr>
      <w:r>
        <w:t>2.1 O círculo hermenêutico: pré-compreensão e compreensão</w:t>
      </w:r>
    </w:p>
    <w:p w:rsidR="00F65613" w:rsidRDefault="00C869ED" w:rsidP="00200588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Toda obra humana é um processo de criação, tendo o direito também uma marca valorativa. O direito possui como sentido não apenas valore</w:t>
      </w:r>
      <w:r w:rsidR="00510CED">
        <w:t>s</w:t>
      </w:r>
      <w:r>
        <w:t xml:space="preserve"> percebidos na vontade ou na intenção do sujeito que faz a lei</w:t>
      </w:r>
      <w:r w:rsidR="00200588">
        <w:t xml:space="preserve">, mas também deve-se considerar os valores históricos incorporados à tradição na qual ela está inserida. </w:t>
      </w:r>
      <w:r w:rsidR="00510CED">
        <w:t>Tudo que é feito pelo homem possui um significado que pode ser interpretado a partir de um esforço hermen</w:t>
      </w:r>
      <w:r w:rsidR="00E65338">
        <w:t>êutico. A compreen</w:t>
      </w:r>
      <w:r w:rsidR="00510CED">
        <w:t>são, assim, serve de base para a interpretação, uma vez que expressamos tudo da forma que se compreende. “(...) Se por outro lado aceitamos que a interpretação servirá como fundamento para a compreensão total do fenômeno, há de se falar também em pré-compreensão”. (CAMARGO, 2003, págs. 49 e 50)</w:t>
      </w:r>
    </w:p>
    <w:p w:rsidR="00E65338" w:rsidRDefault="00E65338" w:rsidP="00200588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A interpretação concretiza uma espécie de mediação que consiste em transformar uma expressão em outra, a fim de que se torne mais compreensível o objeto ao qual a linguagem é aplicada. (GRAU, 2006, p.81)</w:t>
      </w:r>
    </w:p>
    <w:p w:rsidR="00C876F0" w:rsidRDefault="00510CED" w:rsidP="00E65338">
      <w:pPr>
        <w:pStyle w:val="NormalWeb"/>
        <w:spacing w:before="0" w:beforeAutospacing="0" w:after="0" w:afterAutospacing="0"/>
        <w:ind w:left="2268"/>
        <w:jc w:val="both"/>
        <w:rPr>
          <w:sz w:val="20"/>
        </w:rPr>
      </w:pPr>
      <w:r w:rsidRPr="00625A70">
        <w:rPr>
          <w:sz w:val="20"/>
        </w:rPr>
        <w:t xml:space="preserve">A pré-compreensão do intérprete </w:t>
      </w:r>
      <w:r w:rsidR="00625A70">
        <w:rPr>
          <w:sz w:val="20"/>
        </w:rPr>
        <w:t>em relação a uma questão jurídica encontra-se referida não apenas à situação histórica, mas também a um determinado campo de conhecimento. Os princípios extraídos da doutrina e da jurisprudência, conhecidos, portanto, dos profissionais</w:t>
      </w:r>
      <w:r w:rsidR="00B91FFC">
        <w:rPr>
          <w:sz w:val="20"/>
        </w:rPr>
        <w:t xml:space="preserve"> e estudiosos do direito, permite que a dialética se instaure dentro dos limites que lhe retirem qualquer espécie de arbitrariedade, conferindo-lhe, inclusive, considerável fator de previsibilidade. (CAMARGO, 2003, p. 51)</w:t>
      </w:r>
    </w:p>
    <w:p w:rsidR="00E65338" w:rsidRPr="00E65338" w:rsidRDefault="00E65338" w:rsidP="00E65338">
      <w:pPr>
        <w:pStyle w:val="NormalWeb"/>
        <w:spacing w:before="0" w:beforeAutospacing="0" w:after="0" w:afterAutospacing="0"/>
        <w:ind w:left="2268"/>
        <w:jc w:val="both"/>
        <w:rPr>
          <w:sz w:val="20"/>
        </w:rPr>
      </w:pPr>
    </w:p>
    <w:p w:rsidR="00B91FFC" w:rsidRDefault="008E1EC3" w:rsidP="008E1EC3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O círculo hermenêutico, por sua vez, foi desenvolvido principalmente pela filosofia de Heidegger, “para quem a interpretação se funda numa visão prévia, que ‘recorta’ o que foi assumido na posição prévia, segundo uma possibilidade determinada de interpretação”. Toda interpretação que se movimenta no sentido de compreender “já deve ter compreendido o que se interpretar”. A circularidade hermenêutica, para Heidegger, funda-se na pré-compreensão, que se apoia no sentido daquilo que busca-se compreender. “Sentido” para Heidegger é “aquilo que em que se sustenta a compreensibilidade da coisa”, e é a partir deste sentido que “algo se torna compreensível como algo”. (CAMARGO, 2003, págs. 53 e 54)</w:t>
      </w:r>
    </w:p>
    <w:p w:rsidR="008E1EC3" w:rsidRDefault="008E1EC3" w:rsidP="008E1EC3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Para Gadamer, o círculo não é subjetivo nem objetivo, mas descreve a compreensão como interpretação da dinâmica da tradição e do intérprete. A pré-compreensão tem grande importância para Gadamer: o pré-juízo </w:t>
      </w:r>
      <w:r w:rsidR="00BA4579">
        <w:t>tem função de pressuposto que influencia toda a compreensão. O ir e vir de perspectivas não se opera de forma linear, mas na forma dialética. (CAMARGO, 2003, págs. 55 e 56)</w:t>
      </w:r>
    </w:p>
    <w:p w:rsidR="00BA4579" w:rsidRDefault="00BA4579" w:rsidP="008E1EC3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Isto tudo se aplica no Direito de forma que, além da tradição histórica (que situa o intérprete), há também uma tradição jurídica, formada por regras e princípios, “que se </w:t>
      </w:r>
      <w:r>
        <w:lastRenderedPageBreak/>
        <w:t>mantém no tempo e servem de sustentação às decisões, segundo a regra de justiça”. (CAMARGO, 2003, p. 59)</w:t>
      </w:r>
    </w:p>
    <w:p w:rsidR="00E91896" w:rsidRDefault="00C876F0" w:rsidP="00E65338">
      <w:pPr>
        <w:pStyle w:val="NormalWeb"/>
        <w:spacing w:before="0" w:beforeAutospacing="0" w:after="0" w:afterAutospacing="0"/>
        <w:ind w:left="2268"/>
        <w:jc w:val="both"/>
        <w:rPr>
          <w:sz w:val="20"/>
        </w:rPr>
      </w:pPr>
      <w:r>
        <w:rPr>
          <w:sz w:val="20"/>
        </w:rPr>
        <w:t xml:space="preserve">(...) Entendemos que a dogmática é capaz de reservar alguma segurança às relações sociais, pelo </w:t>
      </w:r>
      <w:r>
        <w:rPr>
          <w:i/>
          <w:sz w:val="20"/>
        </w:rPr>
        <w:t>quantum</w:t>
      </w:r>
      <w:r>
        <w:rPr>
          <w:sz w:val="20"/>
        </w:rPr>
        <w:t xml:space="preserve"> de previsibilidade que oferece ao controle de suas ações, mais do que em qualquer outra área do conhecimento, não merecendo, por isso, ser descurada. Aliás, é característica que nos faz distinguir a hermenêutica jurídica dos demais campos hermenêutica, atribuindo-lhe tratamento próprio. (CAMARGO, 2003, p. 60)</w:t>
      </w:r>
    </w:p>
    <w:p w:rsidR="00E65338" w:rsidRDefault="00E65338" w:rsidP="00E65338">
      <w:pPr>
        <w:pStyle w:val="NormalWeb"/>
        <w:spacing w:before="0" w:beforeAutospacing="0" w:after="0" w:afterAutospacing="0"/>
        <w:ind w:left="2268"/>
        <w:jc w:val="both"/>
        <w:rPr>
          <w:sz w:val="20"/>
        </w:rPr>
      </w:pPr>
    </w:p>
    <w:p w:rsidR="00E65338" w:rsidRPr="00E65338" w:rsidRDefault="00E65338" w:rsidP="00E65338">
      <w:pPr>
        <w:pStyle w:val="NormalWeb"/>
        <w:spacing w:before="0" w:beforeAutospacing="0" w:after="0" w:afterAutospacing="0" w:line="360" w:lineRule="auto"/>
        <w:jc w:val="both"/>
      </w:pPr>
      <w:r w:rsidRPr="00E65338">
        <w:rPr>
          <w:szCs w:val="20"/>
        </w:rPr>
        <w:t>2.2. “Vontade da Lei” e “Vontade do Legislador”</w:t>
      </w:r>
    </w:p>
    <w:p w:rsidR="002F518A" w:rsidRDefault="00E65338" w:rsidP="00E653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É certo de que há uma certa discussão acerca das teses da </w:t>
      </w:r>
      <w:r>
        <w:rPr>
          <w:rFonts w:ascii="Times New Roman" w:hAnsi="Times New Roman" w:cs="Times New Roman"/>
          <w:i/>
          <w:sz w:val="24"/>
        </w:rPr>
        <w:t xml:space="preserve">voluntas legis </w:t>
      </w:r>
      <w:r>
        <w:rPr>
          <w:rFonts w:ascii="Times New Roman" w:hAnsi="Times New Roman" w:cs="Times New Roman"/>
          <w:sz w:val="24"/>
        </w:rPr>
        <w:t xml:space="preserve">e da </w:t>
      </w:r>
      <w:r>
        <w:rPr>
          <w:rFonts w:ascii="Times New Roman" w:hAnsi="Times New Roman" w:cs="Times New Roman"/>
          <w:i/>
          <w:sz w:val="24"/>
        </w:rPr>
        <w:t>vonluntas legislatoris</w:t>
      </w:r>
      <w:r>
        <w:rPr>
          <w:rFonts w:ascii="Times New Roman" w:hAnsi="Times New Roman" w:cs="Times New Roman"/>
          <w:sz w:val="24"/>
        </w:rPr>
        <w:t>. T</w:t>
      </w:r>
      <w:r w:rsidR="00AB6902">
        <w:rPr>
          <w:rFonts w:ascii="Times New Roman" w:hAnsi="Times New Roman" w:cs="Times New Roman"/>
          <w:sz w:val="24"/>
        </w:rPr>
        <w:t>êm-se indagado: o que vale mais, a vontade da lei ou a vontade do legislador?</w:t>
      </w:r>
      <w:r w:rsidR="002F518A">
        <w:rPr>
          <w:rFonts w:ascii="Times New Roman" w:hAnsi="Times New Roman" w:cs="Times New Roman"/>
          <w:sz w:val="24"/>
        </w:rPr>
        <w:t xml:space="preserve"> Existe um “espírito” contido na lei? Uma norma pode querer alguma coisa?</w:t>
      </w:r>
    </w:p>
    <w:p w:rsidR="002F518A" w:rsidRDefault="002F518A" w:rsidP="002F518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 relação à operacionalidade do Direito, Ferraz Jr. contribui no sentido de resumir esta questão na dicotomia “subjetivistas </w:t>
      </w:r>
      <w:r>
        <w:rPr>
          <w:rFonts w:ascii="Times New Roman" w:hAnsi="Times New Roman" w:cs="Times New Roman"/>
          <w:i/>
          <w:sz w:val="24"/>
        </w:rPr>
        <w:t>versus</w:t>
      </w:r>
      <w:r>
        <w:rPr>
          <w:rFonts w:ascii="Times New Roman" w:hAnsi="Times New Roman" w:cs="Times New Roman"/>
          <w:sz w:val="24"/>
        </w:rPr>
        <w:t xml:space="preserve"> objetivistas”: em relação a estas correntes,</w:t>
      </w:r>
    </w:p>
    <w:p w:rsidR="006E2B09" w:rsidRDefault="002F518A" w:rsidP="002F518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A primeira insiste em que, sendo a ciência jurídica um saber dogmático (a noção de dogma enquanto um princípio arbitrário, derivado de vontade do emissor de norma lhe é fundamental) é, basicamente, uma compreensão do pensamento do legislador; portanto, interpretação </w:t>
      </w:r>
      <w:r>
        <w:rPr>
          <w:rFonts w:ascii="Times New Roman" w:hAnsi="Times New Roman" w:cs="Times New Roman"/>
          <w:i/>
          <w:sz w:val="20"/>
        </w:rPr>
        <w:t xml:space="preserve">ex tunc </w:t>
      </w:r>
      <w:r>
        <w:rPr>
          <w:rFonts w:ascii="Times New Roman" w:hAnsi="Times New Roman" w:cs="Times New Roman"/>
          <w:sz w:val="20"/>
        </w:rPr>
        <w:t>(desde então), ressaltando-se, em consonância, o papel prep</w:t>
      </w:r>
      <w:r w:rsidR="007F4C63">
        <w:rPr>
          <w:rFonts w:ascii="Times New Roman" w:hAnsi="Times New Roman" w:cs="Times New Roman"/>
          <w:sz w:val="20"/>
        </w:rPr>
        <w:t>onderante o papel preponderante</w:t>
      </w:r>
      <w:r>
        <w:rPr>
          <w:rFonts w:ascii="Times New Roman" w:hAnsi="Times New Roman" w:cs="Times New Roman"/>
          <w:sz w:val="20"/>
        </w:rPr>
        <w:t xml:space="preserve"> do aspecto genético e das técnicas que lhe são apropriadas (método histórico). Para a segunda (objetivista), a norma goza de um sentido próprio, determinado por fatores objetivos (o dogma é um arbitrário social), independente até certo ponto do sentido que lhe tenha querido dar o legislador, donde a concepção da interpretação como uma compreensão </w:t>
      </w:r>
      <w:r w:rsidR="006E2B09">
        <w:rPr>
          <w:rFonts w:ascii="Times New Roman" w:hAnsi="Times New Roman" w:cs="Times New Roman"/>
          <w:i/>
          <w:sz w:val="20"/>
        </w:rPr>
        <w:t xml:space="preserve">ex nunc </w:t>
      </w:r>
      <w:r w:rsidR="006E2B09">
        <w:rPr>
          <w:rFonts w:ascii="Times New Roman" w:hAnsi="Times New Roman" w:cs="Times New Roman"/>
          <w:sz w:val="20"/>
        </w:rPr>
        <w:t>(desde agora), ressaltando-se o papel preponderante dos aspectos estruturais em que a norma ocorre e as técnicas apropriadas à sua captação (sociológico), (STRECK, 2009, p. 97)</w:t>
      </w:r>
    </w:p>
    <w:p w:rsidR="006E2B09" w:rsidRDefault="006E2B09" w:rsidP="002F518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</w:p>
    <w:p w:rsidR="00FE5BF6" w:rsidRDefault="006E2B09" w:rsidP="00FE5BF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STRECK (2009, p.98) argumenta que as duas correntes estão intimamente ligadas  no plano das práticas cotidianas dos operadores do direito, podendo ambas serem encontradas em quantidade significativa dos manuais e textos jurídicos. Também explica que é possível encontrar, num mesmo texto jurídico, a busca concomitante do espírito do legislador e da vontade da norma. Ferraz Jr. entende, por sua vez, que “o direito anterior à revolução é relativizado e atualizado em função da nova situação, predominando a</w:t>
      </w:r>
      <w:r w:rsidR="00FE5BF6">
        <w:rPr>
          <w:rFonts w:ascii="Times New Roman" w:hAnsi="Times New Roman" w:cs="Times New Roman"/>
          <w:sz w:val="24"/>
        </w:rPr>
        <w:t xml:space="preserve">í a doutrina objetivista, (...)” e o “pós-revolucionário tende-se a privilegiar a vontade do legislador (...)”. (FERRAZ JR., </w:t>
      </w:r>
      <w:r w:rsidR="00FE5BF6">
        <w:rPr>
          <w:rFonts w:ascii="Times New Roman" w:hAnsi="Times New Roman" w:cs="Times New Roman"/>
          <w:i/>
          <w:sz w:val="24"/>
        </w:rPr>
        <w:t xml:space="preserve">apud </w:t>
      </w:r>
      <w:r w:rsidR="00FE5BF6">
        <w:rPr>
          <w:rFonts w:ascii="Times New Roman" w:hAnsi="Times New Roman" w:cs="Times New Roman"/>
          <w:sz w:val="24"/>
        </w:rPr>
        <w:t>STRECK, 2009, p. 99 e 100).</w:t>
      </w:r>
    </w:p>
    <w:p w:rsidR="00FE5BF6" w:rsidRDefault="00FE5BF6" w:rsidP="00FE5BF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fim, BETTI (2007, p. 205) afirma que “admite-se uma ‘vontade’ (da lei e do legislador) somente ‘enquanto se deduz da lei considerada objetiva e independentemente do autor”. Desta forma, despersonalizada, a “vontade da lei” se “reduz à hipóstase ou à ficção de uma ‘vontade coletiva’”, como se fosse algo paralelo à vontade individual.</w:t>
      </w:r>
    </w:p>
    <w:p w:rsidR="00B041AE" w:rsidRDefault="00B041AE" w:rsidP="00B041A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41AE" w:rsidRPr="007200FC" w:rsidRDefault="00B041AE" w:rsidP="00B041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2.3 Intérprete </w:t>
      </w:r>
      <w:r w:rsidRPr="007200FC">
        <w:rPr>
          <w:rFonts w:ascii="Times New Roman" w:hAnsi="Times New Roman" w:cs="Times New Roman"/>
          <w:sz w:val="24"/>
          <w:szCs w:val="24"/>
        </w:rPr>
        <w:t>autêntico</w:t>
      </w:r>
      <w:r w:rsidR="007200FC" w:rsidRPr="007200FC">
        <w:rPr>
          <w:rFonts w:ascii="Times New Roman" w:hAnsi="Times New Roman" w:cs="Times New Roman"/>
          <w:sz w:val="24"/>
          <w:szCs w:val="24"/>
        </w:rPr>
        <w:t>: lições de Kelsen</w:t>
      </w:r>
    </w:p>
    <w:p w:rsidR="00B041AE" w:rsidRDefault="00B041AE" w:rsidP="00B041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 interpretação autêntica é a interpretação que advém do mesmo autor do princípio ou da declaração preceptiva que se compreende: “seja do órgão competente para regular a matéria do preceito (poder legislativo, executivo ou judiciário), seja da própria parte legitimada a regular a relação (...)”. Uma característica essencial da interpretação autêntica é a “identidade do autor”: esta, em sentido jurídico, do sujeito ou órgão “ao qual </w:t>
      </w:r>
      <w:r w:rsidR="00327E12">
        <w:rPr>
          <w:rFonts w:ascii="Times New Roman" w:hAnsi="Times New Roman" w:cs="Times New Roman"/>
          <w:sz w:val="24"/>
        </w:rPr>
        <w:t>a declara~]ao ou preceito é referido pela ordem jurídica”. (BETTI, 2007, p. 119)</w:t>
      </w:r>
    </w:p>
    <w:p w:rsidR="00327E12" w:rsidRDefault="00327E12" w:rsidP="00B041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Esta interpretação se difere das demais por ser destinada a resolver incertezas, sendo um meio “idôneo por excelência”. Resolve um problema de “inteligibilidade da declaração preceptiva antecedente”, ou seja, esclarece o sentido normativo do preceito aos destinatários deste. Para o momento preceptivo, a interpretação autêntica tem um valor vinculante (sob o aspecto formal) em relação às interpretações fu</w:t>
      </w:r>
      <w:r w:rsidR="004A3F05">
        <w:rPr>
          <w:rFonts w:ascii="Times New Roman" w:hAnsi="Times New Roman" w:cs="Times New Roman"/>
          <w:sz w:val="24"/>
        </w:rPr>
        <w:t xml:space="preserve">turas e aplicação do preceito. </w:t>
      </w:r>
      <w:r>
        <w:rPr>
          <w:rFonts w:ascii="Times New Roman" w:hAnsi="Times New Roman" w:cs="Times New Roman"/>
          <w:sz w:val="24"/>
        </w:rPr>
        <w:t>(BETTI, 2007, p. 120-123)</w:t>
      </w:r>
    </w:p>
    <w:p w:rsidR="004A3F05" w:rsidRDefault="004A3F05" w:rsidP="00B041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 Kelsen, o único intérprete dotado de poderes suficientes para criar normas será o intérprete autêntico. Neste sentido, é possível perceber um problema: “quem produz a norma exerce um ato de poder”. A norma “é uma manifestação de poder”. Qualquer um pode interpretar, porém apenas o intérprete autêntico pode criar, no direito, normas de decisão. (GRAU, 2006, p. 89 e 90)</w:t>
      </w:r>
    </w:p>
    <w:p w:rsidR="004A3F05" w:rsidRDefault="004A3F05" w:rsidP="00B041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demais interpretações não criam direito, apenas a interpretação autêntica. Os indivíduos podem observar alguma regra que regule sua conduta e fazer escolhas sobre esta, porém, essa escolha não será autêntica, não cria direito e não é vinculante “para o órgão que aplica essa norma jurídica feita pelos órgãos jurídicos”. (GRAU, 2006, p. 96)</w:t>
      </w:r>
    </w:p>
    <w:p w:rsidR="004A3F05" w:rsidRDefault="004A3F05" w:rsidP="004A3F0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A interpretação jurídico-científica (?) apenas pode estabelecer as possíveis significações de uma norma jurídica – o jurista </w:t>
      </w:r>
      <w:r w:rsidR="0044572E">
        <w:rPr>
          <w:rFonts w:ascii="Times New Roman" w:hAnsi="Times New Roman" w:cs="Times New Roman"/>
          <w:sz w:val="20"/>
        </w:rPr>
        <w:t xml:space="preserve">tem de deixar a decisão pela escolha das interpretações possíveis de uma norma jurídica ao órgão que, segundo a ordem jurídica, é o competente para aplicar o direito; assim, quando o advogado indica uma determinada interpretação como “acertada”, está tentando influir sobre a criação do direito – não exerce, na dicção de Kelsen, </w:t>
      </w:r>
      <w:r w:rsidR="0044572E">
        <w:rPr>
          <w:rFonts w:ascii="Times New Roman" w:hAnsi="Times New Roman" w:cs="Times New Roman"/>
          <w:i/>
          <w:sz w:val="20"/>
        </w:rPr>
        <w:t>função jurídico-científica</w:t>
      </w:r>
      <w:r w:rsidR="0044572E">
        <w:rPr>
          <w:rFonts w:ascii="Times New Roman" w:hAnsi="Times New Roman" w:cs="Times New Roman"/>
          <w:sz w:val="20"/>
        </w:rPr>
        <w:t xml:space="preserve">, porém </w:t>
      </w:r>
      <w:r w:rsidR="0044572E">
        <w:rPr>
          <w:rFonts w:ascii="Times New Roman" w:hAnsi="Times New Roman" w:cs="Times New Roman"/>
          <w:i/>
          <w:sz w:val="20"/>
        </w:rPr>
        <w:t>função jurídico-política.</w:t>
      </w:r>
      <w:r w:rsidR="0044572E">
        <w:rPr>
          <w:rFonts w:ascii="Times New Roman" w:hAnsi="Times New Roman" w:cs="Times New Roman"/>
          <w:sz w:val="20"/>
        </w:rPr>
        <w:t xml:space="preserve"> (GRAU, 2006, págs. 96 e 97)</w:t>
      </w:r>
    </w:p>
    <w:p w:rsidR="0044572E" w:rsidRPr="0044572E" w:rsidRDefault="0044572E" w:rsidP="0044572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E2B09" w:rsidRDefault="006E2B09" w:rsidP="002F518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</w:p>
    <w:p w:rsidR="0044572E" w:rsidRDefault="0044572E" w:rsidP="0044572E">
      <w:pPr>
        <w:spacing w:after="0" w:line="360" w:lineRule="auto"/>
        <w:jc w:val="both"/>
        <w:rPr>
          <w:rFonts w:ascii="Times New Roman" w:hAnsi="Times New Roman" w:cs="Times New Roman"/>
          <w:b/>
          <w:sz w:val="32"/>
        </w:rPr>
      </w:pPr>
      <w:r w:rsidRPr="0044572E">
        <w:rPr>
          <w:rFonts w:ascii="Times New Roman" w:hAnsi="Times New Roman" w:cs="Times New Roman"/>
          <w:b/>
          <w:sz w:val="24"/>
          <w:szCs w:val="20"/>
        </w:rPr>
        <w:t>3 Hermenêutica Jurídica como instrumento de transformação social</w:t>
      </w:r>
    </w:p>
    <w:p w:rsidR="0044572E" w:rsidRDefault="0044572E" w:rsidP="0044572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 normas são, evidentemente, condicionadas pela realidade histórica, não sendo possível separa-las da realidade concreta do seu tempo. A eficácia dessas normas somente será realizada se for respeitado este critério. O direito perde força normativa quando ele não corresponde à natureza específica do presente. “Opera-se então a frustação </w:t>
      </w:r>
      <w:r w:rsidR="00276B79">
        <w:rPr>
          <w:rFonts w:ascii="Times New Roman" w:hAnsi="Times New Roman" w:cs="Times New Roman"/>
          <w:sz w:val="24"/>
        </w:rPr>
        <w:t>material da finalidade dos seus textos</w:t>
      </w:r>
      <w:r w:rsidR="00CC71E8">
        <w:rPr>
          <w:rFonts w:ascii="Times New Roman" w:hAnsi="Times New Roman" w:cs="Times New Roman"/>
          <w:sz w:val="24"/>
        </w:rPr>
        <w:t xml:space="preserve"> que estejam em conflito com a realidade, e ele se transforma em obstáculo ao pleno desenvolvimento das forças sociais”. (GRAU, 2006, p. 58)</w:t>
      </w:r>
    </w:p>
    <w:p w:rsidR="00CC71E8" w:rsidRDefault="00CC71E8" w:rsidP="0044572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Portanto, é tarefa do intérprete, sob a visão dos princípios que regem o Ordenamento, atualizá-lo. “O direito é um organismo vivo, peculiar, porém, porque não envelhece, nem permanece jovem, pois é contemporâneo à realidade. O direito é um dinamismo”. (GRAU, 2006, págs. 58 e 59).</w:t>
      </w:r>
    </w:p>
    <w:p w:rsidR="00CC71E8" w:rsidRDefault="00CC71E8" w:rsidP="00CC71E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C71E8" w:rsidRDefault="00CC71E8" w:rsidP="00CC71E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 Crise do Direito</w:t>
      </w:r>
    </w:p>
    <w:p w:rsidR="00CC71E8" w:rsidRDefault="00CC71E8" w:rsidP="00CC71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paradigma do direito (im)</w:t>
      </w:r>
      <w:r w:rsidR="007200FC">
        <w:rPr>
          <w:rFonts w:ascii="Times New Roman" w:hAnsi="Times New Roman" w:cs="Times New Roman"/>
          <w:sz w:val="24"/>
        </w:rPr>
        <w:t>posto externado pelas clássicas frases em jurisprudências como “neste sentido, a jurisprudência é mansa e pacífica” deve ser analisado com atenção pelos juristas – este é um dos sinais da crise.</w:t>
      </w:r>
      <w:r w:rsidR="00E508D8">
        <w:rPr>
          <w:rFonts w:ascii="Times New Roman" w:hAnsi="Times New Roman" w:cs="Times New Roman"/>
          <w:sz w:val="24"/>
        </w:rPr>
        <w:t xml:space="preserve"> (STRECK, 2009, p. 77 e 78)</w:t>
      </w:r>
    </w:p>
    <w:p w:rsidR="007200FC" w:rsidRDefault="007200FC" w:rsidP="00CC71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 necessário compreender que a crise do direito possui uma “dupla face: uma crise de modelo e uma c</w:t>
      </w:r>
      <w:r w:rsidR="00E508D8">
        <w:rPr>
          <w:rFonts w:ascii="Times New Roman" w:hAnsi="Times New Roman" w:cs="Times New Roman"/>
          <w:sz w:val="24"/>
        </w:rPr>
        <w:t xml:space="preserve">rise de caráter epistemológico”. De um lado, os operadores do Direito continuam “reféns” </w:t>
      </w:r>
      <w:r w:rsidR="006F0F06">
        <w:rPr>
          <w:rFonts w:ascii="Times New Roman" w:hAnsi="Times New Roman" w:cs="Times New Roman"/>
          <w:sz w:val="24"/>
        </w:rPr>
        <w:t>de uma crise ocasionada pela “tradição liberal-individualista-normativista (e iluminista, em alguns aspectos); e de outro, a crise do paradigma epistemológico da filosofia da consciência. (STRECK, 2009, p. 79)</w:t>
      </w:r>
    </w:p>
    <w:p w:rsidR="006F0F06" w:rsidRDefault="006F0F06" w:rsidP="00CC71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que resulta desta crise é um Direito alienado da sociedade, descumprindo aquilo que o advento da modernidade propôs: “o desenvolvimento universal para um sistema social que concretizasse o princípio da ‘igualdade formal’, através da crescente redução das desigualdades reais no mundo moderno”. Com a crise, o inverso acontece: a pós-modernidade mostra tendências de “aprofundar a irracionalidade, aumentar as diferenças sociais</w:t>
      </w:r>
      <w:r w:rsidR="00A14573">
        <w:rPr>
          <w:rFonts w:ascii="Times New Roman" w:hAnsi="Times New Roman" w:cs="Times New Roman"/>
          <w:sz w:val="24"/>
        </w:rPr>
        <w:t xml:space="preserve"> e consolidar relações cada vez mais alienadas”.</w:t>
      </w:r>
      <w:r>
        <w:rPr>
          <w:rFonts w:ascii="Times New Roman" w:hAnsi="Times New Roman" w:cs="Times New Roman"/>
          <w:sz w:val="24"/>
        </w:rPr>
        <w:t xml:space="preserve">  (STRECK, 2009, p. 77- 80; 241)</w:t>
      </w:r>
    </w:p>
    <w:p w:rsidR="00A14573" w:rsidRDefault="00A14573" w:rsidP="00A1457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14573" w:rsidRPr="00A14573" w:rsidRDefault="00A14573" w:rsidP="00A14573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A14573">
        <w:rPr>
          <w:rFonts w:ascii="Times New Roman" w:hAnsi="Times New Roman" w:cs="Times New Roman"/>
          <w:sz w:val="24"/>
          <w:szCs w:val="20"/>
        </w:rPr>
        <w:t>3.2 Efetivação de Direitos Fundamentais</w:t>
      </w:r>
    </w:p>
    <w:p w:rsidR="0044572E" w:rsidRDefault="00A14573" w:rsidP="0044572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Apesar da crise do Direito existir, há de se dizer que a modernidade não trouxe apenas frutos negativos. Porém, estes “estão longe de ser realizados no Brasil”, segundo STRECK (2009, p. 241). O Direito, instrumento de transformação social e legado da modernidade, está contido na Constituição de 1988. Porém, o que acontece é uma não-efetivação, em todas as medidas, do Estado Democrático de Direito.</w:t>
      </w:r>
    </w:p>
    <w:p w:rsidR="00A14573" w:rsidRDefault="00A14573" w:rsidP="00A1457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É dispiciendo dizer que o Estado Social-Providência (ainda) não ocorreu no Brasil. O propalado </w:t>
      </w:r>
      <w:r>
        <w:rPr>
          <w:rFonts w:ascii="Times New Roman" w:hAnsi="Times New Roman" w:cs="Times New Roman"/>
          <w:i/>
          <w:sz w:val="20"/>
        </w:rPr>
        <w:t>welfare state</w:t>
      </w:r>
      <w:r>
        <w:rPr>
          <w:rFonts w:ascii="Times New Roman" w:hAnsi="Times New Roman" w:cs="Times New Roman"/>
          <w:sz w:val="20"/>
        </w:rPr>
        <w:t xml:space="preserve"> foi (e é) um simulacro em </w:t>
      </w:r>
      <w:r>
        <w:rPr>
          <w:rFonts w:ascii="Times New Roman" w:hAnsi="Times New Roman" w:cs="Times New Roman"/>
          <w:i/>
          <w:sz w:val="20"/>
        </w:rPr>
        <w:t>terrae brasilis</w:t>
      </w:r>
      <w:r>
        <w:rPr>
          <w:rFonts w:ascii="Times New Roman" w:hAnsi="Times New Roman" w:cs="Times New Roman"/>
          <w:sz w:val="20"/>
        </w:rPr>
        <w:t>. O Estado interveio na economia para sustentar essa “missão” (secreta) do Estado, na medida em que este é entendido em sua função (meramente) ordenadora/absenteísta. (STRECK, 2009, p. 241)</w:t>
      </w:r>
    </w:p>
    <w:p w:rsidR="00A14573" w:rsidRDefault="00A14573" w:rsidP="00A1457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</w:p>
    <w:p w:rsidR="00881514" w:rsidRDefault="00881514" w:rsidP="0088151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Estado Democrático de Direito, </w:t>
      </w:r>
      <w:r>
        <w:rPr>
          <w:rFonts w:ascii="Times New Roman" w:hAnsi="Times New Roman" w:cs="Times New Roman"/>
          <w:i/>
          <w:sz w:val="24"/>
        </w:rPr>
        <w:t>a priori</w:t>
      </w:r>
      <w:r>
        <w:rPr>
          <w:rFonts w:ascii="Times New Roman" w:hAnsi="Times New Roman" w:cs="Times New Roman"/>
          <w:sz w:val="24"/>
        </w:rPr>
        <w:t xml:space="preserve">, deve instrumentalizar o Direito como um “campo privilegiado na concentração dos direitos sociais”, mediante um maior prestígio das decisões proferidas pelo Judiciário, devendo-se afirmar que a dogmática jurídica tem </w:t>
      </w:r>
      <w:r>
        <w:rPr>
          <w:rFonts w:ascii="Times New Roman" w:hAnsi="Times New Roman" w:cs="Times New Roman"/>
          <w:sz w:val="24"/>
        </w:rPr>
        <w:lastRenderedPageBreak/>
        <w:t>obstaculizado a efetivação destes direitos. O problema envolvendo a forte dogmática jurídica está centrado em dois “pilares” (STRECK, 2009, págs. 241 e 242):</w:t>
      </w:r>
    </w:p>
    <w:p w:rsidR="00881514" w:rsidRDefault="00881514" w:rsidP="0088151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(...) o primeiro, denominado nos limites destas reflexões como paradigma do modelo (ou modo de produção) liberal-individualista de Direito, e o segundo, pela permanência no plano imaginário gnosiológico dos juristas do paradigma epistemológico da filosofia da consciência, pela qual a linguagem ainda é vista como uma terceira coisa que se interpõe/opõe entre/o sujeito e/ao objeto, e que se encontra instrumentalizado por uma hermenêutica jurídico-normativa, de matriz Bettiana. (STRECK, 2009, p. 242)</w:t>
      </w:r>
    </w:p>
    <w:p w:rsidR="00881514" w:rsidRDefault="00881514" w:rsidP="0088151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</w:p>
    <w:p w:rsidR="00881514" w:rsidRDefault="00881514" w:rsidP="0088151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fim, é necessário repensar a dogmática jurídica. Em uma forte crise de paradigmas, como esta, a dogmática funciona sustenta a “</w:t>
      </w:r>
      <w:r w:rsidR="004537E8">
        <w:rPr>
          <w:rFonts w:ascii="Times New Roman" w:hAnsi="Times New Roman" w:cs="Times New Roman"/>
          <w:sz w:val="24"/>
        </w:rPr>
        <w:t xml:space="preserve">(des)funcionalidade do Direito”, e “retroalimentada por um campo jurídico que funciona como um </w:t>
      </w:r>
      <w:r w:rsidR="004537E8">
        <w:rPr>
          <w:rFonts w:ascii="Times New Roman" w:hAnsi="Times New Roman" w:cs="Times New Roman"/>
          <w:i/>
          <w:sz w:val="24"/>
        </w:rPr>
        <w:t>corpus</w:t>
      </w:r>
      <w:r w:rsidR="004537E8">
        <w:rPr>
          <w:rFonts w:ascii="Times New Roman" w:hAnsi="Times New Roman" w:cs="Times New Roman"/>
          <w:sz w:val="24"/>
        </w:rPr>
        <w:t xml:space="preserve"> no interior no qual o operador </w:t>
      </w:r>
      <w:r>
        <w:rPr>
          <w:rFonts w:ascii="Times New Roman" w:hAnsi="Times New Roman" w:cs="Times New Roman"/>
          <w:sz w:val="24"/>
        </w:rPr>
        <w:t xml:space="preserve"> </w:t>
      </w:r>
      <w:r w:rsidR="004537E8">
        <w:rPr>
          <w:rFonts w:ascii="Times New Roman" w:hAnsi="Times New Roman" w:cs="Times New Roman"/>
          <w:sz w:val="24"/>
        </w:rPr>
        <w:t>jurídico ‘conhece’, ‘contempla’ e ‘assume’ o seu lugar”. Conclui-se, portanto, que a dogmática jurídica “deve ser re-trabalhada em uma perspectiva criativa/criadora”. (STRECK, 2009, p. 242)</w:t>
      </w:r>
    </w:p>
    <w:p w:rsidR="004537E8" w:rsidRDefault="004537E8" w:rsidP="004537E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537E8" w:rsidRDefault="004537E8" w:rsidP="004537E8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CONCLUSÃO</w:t>
      </w:r>
    </w:p>
    <w:p w:rsidR="004537E8" w:rsidRDefault="004537E8" w:rsidP="004537E8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537E8" w:rsidRDefault="004537E8" w:rsidP="004537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crise de paradigmas abordada pelo presente trabalho sem dúvidas, é um desafio a ser superado. Esta crise obstaculiza a efetivação de princípios fundamentais da Constituição, assim, prejudicando também a realização de direitos fundamentais, justiça social, igualdade, etc. STRECK (2009, p. 297) define estas crises como “crises de paradigma objetivista aristotélico-tomista e da subjetividade (filosofia da consciência)”, e se constituem, posteriormente, na “crise de modelos de Direito” – </w:t>
      </w:r>
      <w:r w:rsidR="00AE008B">
        <w:rPr>
          <w:rFonts w:ascii="Times New Roman" w:hAnsi="Times New Roman" w:cs="Times New Roman"/>
          <w:sz w:val="24"/>
        </w:rPr>
        <w:t>“olhamos o novo com os olhos do velho, com a agravante de que o novo (ainda) não foi tornado visível”.</w:t>
      </w:r>
    </w:p>
    <w:p w:rsidR="00AE008B" w:rsidRDefault="00AE008B" w:rsidP="004537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Visto isto, como superar essas crises?</w:t>
      </w:r>
    </w:p>
    <w:p w:rsidR="00AE008B" w:rsidRDefault="00AE008B" w:rsidP="004537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linguagem é um instrumento de grande relevância, e não deve ser esquecido neste processo de superação, pois “é a condição de ser-no-mundo”, fundamental para toda a hermenêutica. (STRECK, 2009, p. 298)</w:t>
      </w:r>
    </w:p>
    <w:p w:rsidR="00AE008B" w:rsidRDefault="00AE008B" w:rsidP="004537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Outro ponto é entender que a compreensão do ser é a “condição ôntico-ontológica” do </w:t>
      </w:r>
      <w:r>
        <w:rPr>
          <w:rFonts w:ascii="Times New Roman" w:hAnsi="Times New Roman" w:cs="Times New Roman"/>
          <w:i/>
          <w:sz w:val="24"/>
        </w:rPr>
        <w:t xml:space="preserve">Dasein </w:t>
      </w:r>
      <w:r>
        <w:rPr>
          <w:rFonts w:ascii="Times New Roman" w:hAnsi="Times New Roman" w:cs="Times New Roman"/>
          <w:sz w:val="24"/>
        </w:rPr>
        <w:t xml:space="preserve">(ser-aí). </w:t>
      </w:r>
      <w:r w:rsidR="001658CD">
        <w:rPr>
          <w:rFonts w:ascii="Times New Roman" w:hAnsi="Times New Roman" w:cs="Times New Roman"/>
          <w:sz w:val="24"/>
        </w:rPr>
        <w:t>“A verdade ôntica tem nela, como condição de possibilidade, um prévio des-velamento do ser”. (STRECK, 2009, p.299)</w:t>
      </w:r>
    </w:p>
    <w:p w:rsidR="001658CD" w:rsidRPr="00AE008B" w:rsidRDefault="001658CD" w:rsidP="004537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 necessário o reconhecimento e a boa convivência com os pré-conceitos, “pagar a dívida” para com a tradição e realizar a fusão hermenêutica de horizontes: co-existindo, desta forma, o familiar e o estranho.</w:t>
      </w:r>
    </w:p>
    <w:p w:rsidR="004537E8" w:rsidRPr="004537E8" w:rsidRDefault="004537E8" w:rsidP="004537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7D3516" w:rsidRDefault="007D3516" w:rsidP="0044572E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lastRenderedPageBreak/>
        <w:t xml:space="preserve">REFERÊNCIAS: </w:t>
      </w:r>
    </w:p>
    <w:p w:rsidR="007D3516" w:rsidRDefault="007D3516" w:rsidP="007D3516">
      <w:pPr>
        <w:pStyle w:val="NormalWeb"/>
        <w:spacing w:before="0" w:beforeAutospacing="0" w:after="0" w:afterAutospacing="0"/>
        <w:jc w:val="both"/>
      </w:pPr>
    </w:p>
    <w:p w:rsidR="007200FC" w:rsidRPr="007200FC" w:rsidRDefault="007200FC" w:rsidP="003526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BETTI, Emilio.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Interpretação da lei e dos atos jurídicos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São Paulo: Martins Fontes, 2007.</w:t>
      </w:r>
    </w:p>
    <w:p w:rsidR="007200FC" w:rsidRDefault="007200FC" w:rsidP="003526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269D" w:rsidRDefault="0035269D" w:rsidP="003526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CAMARGO, Margarida M. L.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Hermenêutica e Argumentação: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uma contribuição ao estudo do Direito. 3.ed. Rio de Janeiro: Renovar, 2003.</w:t>
      </w:r>
    </w:p>
    <w:p w:rsidR="0035269D" w:rsidRDefault="0035269D" w:rsidP="003526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269D" w:rsidRDefault="0035269D" w:rsidP="003526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FALCÃO, Raimundo Bezerra.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Hermenêutica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2.ed. São Paulo: Malheiros, 2013.</w:t>
      </w:r>
    </w:p>
    <w:p w:rsidR="0035269D" w:rsidRDefault="0035269D" w:rsidP="003526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269D" w:rsidRDefault="0035269D" w:rsidP="003526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GRAU, Eros Roberto.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Ensaio e discurso sobre a interpretação/aplicação do direito.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4.ed. São Paulo: Malheiros, 2006. </w:t>
      </w:r>
    </w:p>
    <w:p w:rsidR="0035269D" w:rsidRDefault="0035269D" w:rsidP="003526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269D" w:rsidRDefault="0035269D" w:rsidP="003526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OLIVEIRA, Thiago Vieira Mathias de.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Aulas de Hermenêutica, Lógica e Argumentação Jurídicas.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Aulas proferidas no segundo semestre de 2012 na Unidade de Ensino Superior Dom Bosco - UNDB. São Luís, 2012.</w:t>
      </w:r>
    </w:p>
    <w:p w:rsidR="0035269D" w:rsidRDefault="0035269D" w:rsidP="003526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269D" w:rsidRPr="0035269D" w:rsidRDefault="0035269D" w:rsidP="003526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STRECK, Lenio Luiz.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Hermenêutica Jurídica e(m) crise: uma exploração hermenêutica da construção do Direito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8.ed. rev. e atual. Porto Alegre: Editora Livraria do Advogado, 2009.</w:t>
      </w:r>
    </w:p>
    <w:p w:rsidR="0035269D" w:rsidRDefault="0035269D" w:rsidP="0035269D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35269D" w:rsidRDefault="0035269D" w:rsidP="00352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WENDPAP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Elis. Breve análise do histórico do positivismo jurídico, a partir da obra “positivismo jurídico”, de Norberto Bobbio.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In: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457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Âmbito Jurídico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Rio Grande, XV, n. 97, fev 2012. Disponível em: &lt;</w:t>
      </w:r>
      <w:r w:rsidRPr="0035269D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http://www.ambito-juridico.com.br/site/?n_link=revista_artigos_leitura&amp;artigo_id=11154&amp;revista_caderno=15</w:t>
      </w:r>
      <w:r>
        <w:rPr>
          <w:rFonts w:ascii="Times New Roman" w:hAnsi="Times New Roman" w:cs="Times New Roman"/>
          <w:sz w:val="24"/>
          <w:szCs w:val="24"/>
        </w:rPr>
        <w:t xml:space="preserve">&gt;. Acesso em 25 de agosto de 2014. </w:t>
      </w:r>
    </w:p>
    <w:p w:rsidR="0035269D" w:rsidRDefault="0035269D" w:rsidP="00352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69D" w:rsidRDefault="0035269D" w:rsidP="00352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ZANIN, Caroline Prado. </w:t>
      </w:r>
      <w:r>
        <w:rPr>
          <w:rFonts w:ascii="Times New Roman" w:hAnsi="Times New Roman" w:cs="Times New Roman"/>
          <w:i/>
          <w:sz w:val="24"/>
          <w:szCs w:val="24"/>
        </w:rPr>
        <w:t xml:space="preserve">Hermenêutica e Giro Linguístico: breves considerações sobre a teoria de Gadamer. </w:t>
      </w:r>
      <w:r>
        <w:rPr>
          <w:rFonts w:ascii="Times New Roman" w:hAnsi="Times New Roman" w:cs="Times New Roman"/>
          <w:sz w:val="24"/>
          <w:szCs w:val="24"/>
        </w:rPr>
        <w:t xml:space="preserve">Revista Linguasagem, 15. Ed. Disponível em: &lt;http://www.letras.ufscar.br/linguasagem/edicao15/ic001.pdf&gt;. Acesso em 24 de agosto de 2014. </w:t>
      </w:r>
    </w:p>
    <w:p w:rsidR="001F08FD" w:rsidRPr="00D26894" w:rsidRDefault="001F08FD" w:rsidP="0035269D">
      <w:pPr>
        <w:pStyle w:val="NormalWeb"/>
        <w:spacing w:before="0" w:beforeAutospacing="0" w:after="0" w:afterAutospacing="0"/>
      </w:pPr>
      <w:bookmarkStart w:id="0" w:name="_GoBack"/>
      <w:bookmarkEnd w:id="0"/>
    </w:p>
    <w:sectPr w:rsidR="001F08FD" w:rsidRPr="00D26894" w:rsidSect="00504F8C">
      <w:headerReference w:type="default" r:id="rId7"/>
      <w:pgSz w:w="11906" w:h="16838"/>
      <w:pgMar w:top="1701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F91" w:rsidRDefault="005B7F91" w:rsidP="00031DF6">
      <w:pPr>
        <w:spacing w:after="0" w:line="240" w:lineRule="auto"/>
      </w:pPr>
      <w:r>
        <w:separator/>
      </w:r>
    </w:p>
  </w:endnote>
  <w:endnote w:type="continuationSeparator" w:id="0">
    <w:p w:rsidR="005B7F91" w:rsidRDefault="005B7F91" w:rsidP="0003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F91" w:rsidRDefault="005B7F91" w:rsidP="00031DF6">
      <w:pPr>
        <w:spacing w:after="0" w:line="240" w:lineRule="auto"/>
      </w:pPr>
      <w:r>
        <w:separator/>
      </w:r>
    </w:p>
  </w:footnote>
  <w:footnote w:type="continuationSeparator" w:id="0">
    <w:p w:rsidR="005B7F91" w:rsidRDefault="005B7F91" w:rsidP="00031DF6">
      <w:pPr>
        <w:spacing w:after="0" w:line="240" w:lineRule="auto"/>
      </w:pPr>
      <w:r>
        <w:continuationSeparator/>
      </w:r>
    </w:p>
  </w:footnote>
  <w:footnote w:id="1">
    <w:p w:rsidR="00327E12" w:rsidRPr="0084561E" w:rsidRDefault="00327E12">
      <w:pPr>
        <w:pStyle w:val="Textodenotaderodap"/>
        <w:rPr>
          <w:rFonts w:ascii="Times New Roman" w:hAnsi="Times New Roman" w:cs="Times New Roman"/>
        </w:rPr>
      </w:pPr>
      <w:r w:rsidRPr="0084561E">
        <w:rPr>
          <w:rStyle w:val="Refdenotaderodap"/>
          <w:rFonts w:ascii="Times New Roman" w:hAnsi="Times New Roman" w:cs="Times New Roman"/>
        </w:rPr>
        <w:footnoteRef/>
      </w:r>
      <w:r w:rsidRPr="008456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Aluno do 4º período no curso de Direito Vespertino da </w:t>
      </w:r>
      <w:r w:rsidRPr="0084561E">
        <w:rPr>
          <w:rFonts w:ascii="Times New Roman" w:hAnsi="Times New Roman" w:cs="Times New Roman"/>
        </w:rPr>
        <w:t xml:space="preserve">UNDB. </w:t>
      </w:r>
    </w:p>
  </w:footnote>
  <w:footnote w:id="2">
    <w:p w:rsidR="007F4C63" w:rsidRPr="007F4C63" w:rsidRDefault="007F4C63">
      <w:pPr>
        <w:pStyle w:val="Textodenotaderodap"/>
        <w:rPr>
          <w:rFonts w:ascii="Times New Roman" w:hAnsi="Times New Roman" w:cs="Times New Roman"/>
        </w:rPr>
      </w:pPr>
      <w:r w:rsidRPr="007F4C63">
        <w:rPr>
          <w:rStyle w:val="Refdenotaderodap"/>
          <w:rFonts w:ascii="Times New Roman" w:hAnsi="Times New Roman" w:cs="Times New Roman"/>
        </w:rPr>
        <w:footnoteRef/>
      </w:r>
      <w:r w:rsidRPr="007F4C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Aluna do 10º período no curso de Direito Noturno da UNDB.</w:t>
      </w:r>
    </w:p>
  </w:footnote>
  <w:footnote w:id="3">
    <w:p w:rsidR="00327E12" w:rsidRPr="0084561E" w:rsidRDefault="00327E12">
      <w:pPr>
        <w:pStyle w:val="Textodenotaderodap"/>
        <w:rPr>
          <w:rFonts w:ascii="Times New Roman" w:hAnsi="Times New Roman" w:cs="Times New Roman"/>
        </w:rPr>
      </w:pPr>
      <w:r w:rsidRPr="0084561E">
        <w:rPr>
          <w:rStyle w:val="Refdenotaderodap"/>
          <w:rFonts w:ascii="Times New Roman" w:hAnsi="Times New Roman" w:cs="Times New Roman"/>
        </w:rPr>
        <w:footnoteRef/>
      </w:r>
      <w:r w:rsidRPr="0084561E">
        <w:rPr>
          <w:rFonts w:ascii="Times New Roman" w:hAnsi="Times New Roman" w:cs="Times New Roman"/>
        </w:rPr>
        <w:t xml:space="preserve"> Professor da Unidade de Ensino Superior Dom Bosco, orientador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147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27E12" w:rsidRPr="00365C46" w:rsidRDefault="00327E12">
        <w:pPr>
          <w:pStyle w:val="Cabealho"/>
          <w:jc w:val="right"/>
          <w:rPr>
            <w:rFonts w:ascii="Times New Roman" w:hAnsi="Times New Roman" w:cs="Times New Roman"/>
          </w:rPr>
        </w:pPr>
        <w:r w:rsidRPr="00365C46">
          <w:rPr>
            <w:rFonts w:ascii="Times New Roman" w:hAnsi="Times New Roman" w:cs="Times New Roman"/>
          </w:rPr>
          <w:fldChar w:fldCharType="begin"/>
        </w:r>
        <w:r w:rsidRPr="00365C46">
          <w:rPr>
            <w:rFonts w:ascii="Times New Roman" w:hAnsi="Times New Roman" w:cs="Times New Roman"/>
          </w:rPr>
          <w:instrText>PAGE   \* MERGEFORMAT</w:instrText>
        </w:r>
        <w:r w:rsidRPr="00365C46">
          <w:rPr>
            <w:rFonts w:ascii="Times New Roman" w:hAnsi="Times New Roman" w:cs="Times New Roman"/>
          </w:rPr>
          <w:fldChar w:fldCharType="separate"/>
        </w:r>
        <w:r w:rsidR="007F4C63">
          <w:rPr>
            <w:rFonts w:ascii="Times New Roman" w:hAnsi="Times New Roman" w:cs="Times New Roman"/>
            <w:noProof/>
          </w:rPr>
          <w:t>10</w:t>
        </w:r>
        <w:r w:rsidRPr="00365C46">
          <w:rPr>
            <w:rFonts w:ascii="Times New Roman" w:hAnsi="Times New Roman" w:cs="Times New Roman"/>
          </w:rPr>
          <w:fldChar w:fldCharType="end"/>
        </w:r>
      </w:p>
    </w:sdtContent>
  </w:sdt>
  <w:p w:rsidR="00327E12" w:rsidRPr="00365C46" w:rsidRDefault="00327E12">
    <w:pPr>
      <w:pStyle w:val="Cabealho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D2"/>
    <w:rsid w:val="0001525D"/>
    <w:rsid w:val="00031DF6"/>
    <w:rsid w:val="00040DC1"/>
    <w:rsid w:val="0005077E"/>
    <w:rsid w:val="000520CA"/>
    <w:rsid w:val="0008578E"/>
    <w:rsid w:val="000A098B"/>
    <w:rsid w:val="000B3EF3"/>
    <w:rsid w:val="000D397E"/>
    <w:rsid w:val="000F37E1"/>
    <w:rsid w:val="00125B48"/>
    <w:rsid w:val="001316AA"/>
    <w:rsid w:val="00141AA9"/>
    <w:rsid w:val="00151A8E"/>
    <w:rsid w:val="00156E4C"/>
    <w:rsid w:val="001658CD"/>
    <w:rsid w:val="00165CAD"/>
    <w:rsid w:val="0016752A"/>
    <w:rsid w:val="001841C6"/>
    <w:rsid w:val="001B5092"/>
    <w:rsid w:val="001B61AC"/>
    <w:rsid w:val="001E456F"/>
    <w:rsid w:val="001E648F"/>
    <w:rsid w:val="001F08BD"/>
    <w:rsid w:val="001F08FD"/>
    <w:rsid w:val="001F38C3"/>
    <w:rsid w:val="001F4323"/>
    <w:rsid w:val="00200588"/>
    <w:rsid w:val="00217577"/>
    <w:rsid w:val="00274BD7"/>
    <w:rsid w:val="00275003"/>
    <w:rsid w:val="00276B79"/>
    <w:rsid w:val="002A3AB6"/>
    <w:rsid w:val="002B4A5A"/>
    <w:rsid w:val="002D29FD"/>
    <w:rsid w:val="002F518A"/>
    <w:rsid w:val="002F7515"/>
    <w:rsid w:val="00300A15"/>
    <w:rsid w:val="0031780B"/>
    <w:rsid w:val="00327E12"/>
    <w:rsid w:val="00332511"/>
    <w:rsid w:val="00333513"/>
    <w:rsid w:val="0034161D"/>
    <w:rsid w:val="0035269D"/>
    <w:rsid w:val="00365C46"/>
    <w:rsid w:val="003933B6"/>
    <w:rsid w:val="003B3CFF"/>
    <w:rsid w:val="003B48FD"/>
    <w:rsid w:val="003C14B3"/>
    <w:rsid w:val="004272ED"/>
    <w:rsid w:val="0044572E"/>
    <w:rsid w:val="004537E8"/>
    <w:rsid w:val="00475BD5"/>
    <w:rsid w:val="00483664"/>
    <w:rsid w:val="00493E78"/>
    <w:rsid w:val="00494CCD"/>
    <w:rsid w:val="004A3F05"/>
    <w:rsid w:val="004B112C"/>
    <w:rsid w:val="004D06E1"/>
    <w:rsid w:val="004D0809"/>
    <w:rsid w:val="004D4ED0"/>
    <w:rsid w:val="004F0397"/>
    <w:rsid w:val="004F505F"/>
    <w:rsid w:val="00504F8C"/>
    <w:rsid w:val="00510CED"/>
    <w:rsid w:val="00546F39"/>
    <w:rsid w:val="00554740"/>
    <w:rsid w:val="005669CF"/>
    <w:rsid w:val="00570A52"/>
    <w:rsid w:val="005710DC"/>
    <w:rsid w:val="00576748"/>
    <w:rsid w:val="0059689B"/>
    <w:rsid w:val="005A262A"/>
    <w:rsid w:val="005B7109"/>
    <w:rsid w:val="005B7F91"/>
    <w:rsid w:val="005C69E7"/>
    <w:rsid w:val="005E4D30"/>
    <w:rsid w:val="005F0D13"/>
    <w:rsid w:val="005F354B"/>
    <w:rsid w:val="0061110C"/>
    <w:rsid w:val="00625A70"/>
    <w:rsid w:val="00632D88"/>
    <w:rsid w:val="00637B87"/>
    <w:rsid w:val="00644D92"/>
    <w:rsid w:val="00662E1E"/>
    <w:rsid w:val="0067247B"/>
    <w:rsid w:val="00672960"/>
    <w:rsid w:val="006806CD"/>
    <w:rsid w:val="006A0D80"/>
    <w:rsid w:val="006A3A47"/>
    <w:rsid w:val="006E1752"/>
    <w:rsid w:val="006E2B09"/>
    <w:rsid w:val="006F03D8"/>
    <w:rsid w:val="006F0F06"/>
    <w:rsid w:val="007004FE"/>
    <w:rsid w:val="0070154A"/>
    <w:rsid w:val="007200FC"/>
    <w:rsid w:val="007518CF"/>
    <w:rsid w:val="00773A41"/>
    <w:rsid w:val="00786E3F"/>
    <w:rsid w:val="007B038E"/>
    <w:rsid w:val="007B072E"/>
    <w:rsid w:val="007B1F5E"/>
    <w:rsid w:val="007C3D54"/>
    <w:rsid w:val="007D332E"/>
    <w:rsid w:val="007D3516"/>
    <w:rsid w:val="007F17BE"/>
    <w:rsid w:val="007F43C2"/>
    <w:rsid w:val="007F4C63"/>
    <w:rsid w:val="00803CD3"/>
    <w:rsid w:val="00812DDB"/>
    <w:rsid w:val="00821279"/>
    <w:rsid w:val="0083227D"/>
    <w:rsid w:val="00842BDC"/>
    <w:rsid w:val="0084400B"/>
    <w:rsid w:val="0084561E"/>
    <w:rsid w:val="008458F3"/>
    <w:rsid w:val="008522F0"/>
    <w:rsid w:val="00873C3A"/>
    <w:rsid w:val="00881514"/>
    <w:rsid w:val="008A12EF"/>
    <w:rsid w:val="008A445F"/>
    <w:rsid w:val="008B623C"/>
    <w:rsid w:val="008E1EC3"/>
    <w:rsid w:val="00913944"/>
    <w:rsid w:val="00962195"/>
    <w:rsid w:val="00970E35"/>
    <w:rsid w:val="00975A42"/>
    <w:rsid w:val="00975F79"/>
    <w:rsid w:val="00996567"/>
    <w:rsid w:val="009A16CA"/>
    <w:rsid w:val="009D1981"/>
    <w:rsid w:val="00A04F1C"/>
    <w:rsid w:val="00A14573"/>
    <w:rsid w:val="00A15ED5"/>
    <w:rsid w:val="00A44000"/>
    <w:rsid w:val="00A5236D"/>
    <w:rsid w:val="00A54E9A"/>
    <w:rsid w:val="00A55E96"/>
    <w:rsid w:val="00A96444"/>
    <w:rsid w:val="00AA0A7C"/>
    <w:rsid w:val="00AB2DAE"/>
    <w:rsid w:val="00AB6902"/>
    <w:rsid w:val="00AE008B"/>
    <w:rsid w:val="00AE5826"/>
    <w:rsid w:val="00AF34DD"/>
    <w:rsid w:val="00AF772D"/>
    <w:rsid w:val="00B041AE"/>
    <w:rsid w:val="00B15A7E"/>
    <w:rsid w:val="00B26B1D"/>
    <w:rsid w:val="00B26EDF"/>
    <w:rsid w:val="00B34467"/>
    <w:rsid w:val="00B858A8"/>
    <w:rsid w:val="00B91FFC"/>
    <w:rsid w:val="00BA4579"/>
    <w:rsid w:val="00C1778B"/>
    <w:rsid w:val="00C31EAA"/>
    <w:rsid w:val="00C869ED"/>
    <w:rsid w:val="00C876F0"/>
    <w:rsid w:val="00CC71E8"/>
    <w:rsid w:val="00CD376C"/>
    <w:rsid w:val="00CE44D2"/>
    <w:rsid w:val="00CF1D5B"/>
    <w:rsid w:val="00CF6205"/>
    <w:rsid w:val="00D00B7A"/>
    <w:rsid w:val="00D0492C"/>
    <w:rsid w:val="00D24971"/>
    <w:rsid w:val="00D26894"/>
    <w:rsid w:val="00D36D83"/>
    <w:rsid w:val="00D578E2"/>
    <w:rsid w:val="00D6110B"/>
    <w:rsid w:val="00D965BB"/>
    <w:rsid w:val="00DA7551"/>
    <w:rsid w:val="00DB2E09"/>
    <w:rsid w:val="00DC0F68"/>
    <w:rsid w:val="00DD34A0"/>
    <w:rsid w:val="00DE5FC4"/>
    <w:rsid w:val="00DF5F62"/>
    <w:rsid w:val="00E05C41"/>
    <w:rsid w:val="00E27354"/>
    <w:rsid w:val="00E32BEA"/>
    <w:rsid w:val="00E37635"/>
    <w:rsid w:val="00E508D8"/>
    <w:rsid w:val="00E53B4D"/>
    <w:rsid w:val="00E600D8"/>
    <w:rsid w:val="00E65338"/>
    <w:rsid w:val="00E65A95"/>
    <w:rsid w:val="00E67F2F"/>
    <w:rsid w:val="00E90367"/>
    <w:rsid w:val="00E91896"/>
    <w:rsid w:val="00EB1267"/>
    <w:rsid w:val="00EB14A1"/>
    <w:rsid w:val="00EE00E3"/>
    <w:rsid w:val="00EF2881"/>
    <w:rsid w:val="00EF6AA4"/>
    <w:rsid w:val="00F0224B"/>
    <w:rsid w:val="00F0531D"/>
    <w:rsid w:val="00F55521"/>
    <w:rsid w:val="00F65613"/>
    <w:rsid w:val="00F86E60"/>
    <w:rsid w:val="00FA61FC"/>
    <w:rsid w:val="00FB5051"/>
    <w:rsid w:val="00FB58AA"/>
    <w:rsid w:val="00FB5E58"/>
    <w:rsid w:val="00FC6E5D"/>
    <w:rsid w:val="00FD57BA"/>
    <w:rsid w:val="00FE3795"/>
    <w:rsid w:val="00FE5BF6"/>
    <w:rsid w:val="00F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EDA2E-7072-44EC-A8F1-C5BE6494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1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1DF6"/>
  </w:style>
  <w:style w:type="paragraph" w:styleId="Rodap">
    <w:name w:val="footer"/>
    <w:basedOn w:val="Normal"/>
    <w:link w:val="RodapChar"/>
    <w:uiPriority w:val="99"/>
    <w:unhideWhenUsed/>
    <w:rsid w:val="00031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1DF6"/>
  </w:style>
  <w:style w:type="character" w:customStyle="1" w:styleId="apple-converted-space">
    <w:name w:val="apple-converted-space"/>
    <w:basedOn w:val="Fontepargpadro"/>
    <w:rsid w:val="008B623C"/>
  </w:style>
  <w:style w:type="character" w:styleId="Hyperlink">
    <w:name w:val="Hyperlink"/>
    <w:basedOn w:val="Fontepargpadro"/>
    <w:uiPriority w:val="99"/>
    <w:unhideWhenUsed/>
    <w:rsid w:val="00DB2E09"/>
    <w:rPr>
      <w:color w:val="0000FF" w:themeColor="hyperlink"/>
      <w:u w:val="single"/>
    </w:rPr>
  </w:style>
  <w:style w:type="paragraph" w:customStyle="1" w:styleId="Default">
    <w:name w:val="Default"/>
    <w:rsid w:val="00DB2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DB2E09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561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561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4561E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6A3A4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5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4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7CA1-9EB8-458A-BD0B-35588C28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10</Pages>
  <Words>3833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</cp:lastModifiedBy>
  <cp:revision>16</cp:revision>
  <dcterms:created xsi:type="dcterms:W3CDTF">2014-11-06T03:33:00Z</dcterms:created>
  <dcterms:modified xsi:type="dcterms:W3CDTF">2015-08-13T20:43:00Z</dcterms:modified>
</cp:coreProperties>
</file>