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CB3" w:rsidRPr="008E5ADA" w:rsidRDefault="00A03A35" w:rsidP="00267C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67CB3" w:rsidRPr="008E5ADA" w:rsidRDefault="00267CB3" w:rsidP="00267C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E5ADA" w:rsidRPr="008E5ADA" w:rsidRDefault="008E5ADA" w:rsidP="008E5ADA">
      <w:pPr>
        <w:jc w:val="center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t>REFORMA DO PROCESSO DO TRABALHO</w:t>
      </w:r>
    </w:p>
    <w:p w:rsidR="008E5ADA" w:rsidRPr="008E5ADA" w:rsidRDefault="008E5ADA" w:rsidP="008E5ADA">
      <w:pPr>
        <w:jc w:val="center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t>AUDIÊNCIA TRABALHISTA: IMPROPRIEDADES LEGISLATIVAS</w:t>
      </w: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t>RODRIGO BRISOLLA POLATTO SILVA</w:t>
      </w:r>
      <w:r w:rsidRPr="008E5ADA">
        <w:rPr>
          <w:rFonts w:ascii="Arial" w:hAnsi="Arial" w:cs="Arial"/>
          <w:b/>
          <w:sz w:val="24"/>
          <w:szCs w:val="24"/>
          <w:vertAlign w:val="superscript"/>
        </w:rPr>
        <w:t>1</w:t>
      </w: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3559A3" w:rsidP="00267CB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A81B13" w:rsidRPr="008E5ADA" w:rsidRDefault="00A56A12" w:rsidP="00A03A3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940435</wp:posOffset>
                </wp:positionH>
                <wp:positionV relativeFrom="margin">
                  <wp:posOffset>8316595</wp:posOffset>
                </wp:positionV>
                <wp:extent cx="5826125" cy="766445"/>
                <wp:effectExtent l="0" t="0" r="317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125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CE7" w:rsidRDefault="00911CE7" w:rsidP="009124C1">
                            <w:pPr>
                              <w:pStyle w:val="Rodap"/>
                              <w:jc w:val="both"/>
                            </w:pPr>
                            <w:r>
                              <w:t>1 Bacharel em Direito</w:t>
                            </w:r>
                            <w:r w:rsidR="00A03A35">
                              <w:t>.</w:t>
                            </w:r>
                            <w:r>
                              <w:t xml:space="preserve"> </w:t>
                            </w:r>
                            <w:r w:rsidR="00A03A35">
                              <w:t>Especialista em Advocacia Trabalhista pela Universidade Anhanguera. Especialista em Direito Empresarial do Trabalho pela Fundação Getúlio Vargas – São Paulo. Advogado</w:t>
                            </w:r>
                            <w:r>
                              <w:t xml:space="preserve"> </w:t>
                            </w:r>
                            <w:r w:rsidR="00A03A35">
                              <w:t>I</w:t>
                            </w:r>
                            <w:r w:rsidR="00D30D78">
                              <w:t>nscrito na Ordem dos Advogados do Brasil desde o ano de 2010.</w:t>
                            </w:r>
                            <w:r w:rsidR="00A03A35">
                              <w:t xml:space="preserve"> Tutor de Direito do Trabalho e Processo do Trabalho da Comissão do Jovem Advogado da OAB/SP</w:t>
                            </w:r>
                          </w:p>
                          <w:p w:rsidR="00911CE7" w:rsidRDefault="00911CE7" w:rsidP="00267CB3">
                            <w:pPr>
                              <w:pStyle w:val="Rodap"/>
                            </w:pPr>
                            <w:r>
                              <w:t>E-mail: rodrigo.polatto@uol.com.br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05pt;margin-top:654.85pt;width:458.75pt;height: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oCugw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" o:allowincell="f" stroked="f">
                <v:textbox>
                  <w:txbxContent>
                    <w:p w:rsidR="00911CE7" w:rsidRDefault="00911CE7" w:rsidP="009124C1">
                      <w:pPr>
                        <w:pStyle w:val="Rodap"/>
                        <w:jc w:val="both"/>
                      </w:pPr>
                      <w:proofErr w:type="gramStart"/>
                      <w:r>
                        <w:t>1</w:t>
                      </w:r>
                      <w:proofErr w:type="gramEnd"/>
                      <w:r>
                        <w:t xml:space="preserve"> Bacharel em Direito</w:t>
                      </w:r>
                      <w:r w:rsidR="00A03A35">
                        <w:t>.</w:t>
                      </w:r>
                      <w:r>
                        <w:t xml:space="preserve"> </w:t>
                      </w:r>
                      <w:r w:rsidR="00A03A35">
                        <w:t>Especialista em Advocacia Trabalhista pela Universidade Anhanguera. Especialista em Direito Empresarial do Trabalho pela Fundação Getúlio Vargas – São Paulo. Advogado</w:t>
                      </w:r>
                      <w:r>
                        <w:t xml:space="preserve"> </w:t>
                      </w:r>
                      <w:r w:rsidR="00A03A35">
                        <w:t>I</w:t>
                      </w:r>
                      <w:r w:rsidR="00D30D78">
                        <w:t>nscrito na Ordem dos Advogados do Brasil desde o ano de 2010.</w:t>
                      </w:r>
                      <w:r w:rsidR="00A03A35">
                        <w:t xml:space="preserve"> Tutor de Direito do Trabalho e Processo do Trabalho da Comissão do Jovem Advogado da OAB/SP</w:t>
                      </w:r>
                    </w:p>
                    <w:p w:rsidR="00911CE7" w:rsidRDefault="00911CE7" w:rsidP="00267CB3">
                      <w:pPr>
                        <w:pStyle w:val="Rodap"/>
                      </w:pPr>
                      <w:r>
                        <w:t>E-mail: rodrigo.polatto@uol.com.br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267CB3" w:rsidRPr="008E5ADA">
        <w:rPr>
          <w:rFonts w:ascii="Arial" w:hAnsi="Arial" w:cs="Arial"/>
          <w:b/>
          <w:sz w:val="24"/>
          <w:szCs w:val="24"/>
        </w:rPr>
        <w:br w:type="page"/>
      </w:r>
      <w:r w:rsidR="00A03A35" w:rsidRPr="008E5ADA"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</w:p>
    <w:p w:rsidR="00267CB3" w:rsidRPr="008E5ADA" w:rsidRDefault="00267CB3" w:rsidP="00A81B1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E5ADA">
        <w:rPr>
          <w:rFonts w:ascii="Arial" w:hAnsi="Arial" w:cs="Arial"/>
          <w:b/>
          <w:bCs/>
          <w:sz w:val="24"/>
          <w:szCs w:val="24"/>
        </w:rPr>
        <w:t>RESUMO</w:t>
      </w:r>
    </w:p>
    <w:p w:rsidR="00A81B13" w:rsidRPr="008E5ADA" w:rsidRDefault="00A81B13" w:rsidP="00A81B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1B13" w:rsidRPr="008E5ADA" w:rsidRDefault="00A81B13" w:rsidP="0048595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>O presente artigo tem por objetivo apresentar algumas críticas à estagnação da Consolidação das Leis do Trabalho no tocante ao processo judiciário trabalhista, sugerindo alterações em especial no regramento da audiência trabalhista. Mesmo após a Emenda Constitucional 45/2004, que ampliou a competência da Justiça do Trabalho, a CLT não sofreu alterações significativas, sendo desta forma retalhada pela aplicação subsidiária do Código de Processo Civil. Referida ausência de procedimento padrão, causa insegurança jurídica e permite a prática de arbitrariedades, sempre acobertadas pelo manto dos princípios da celeridade, efetividade e hipossuficiência do trabalhador.</w:t>
      </w:r>
    </w:p>
    <w:p w:rsidR="00A81B13" w:rsidRPr="008E5ADA" w:rsidRDefault="00A81B13" w:rsidP="00A81B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81B13" w:rsidRPr="008E5ADA" w:rsidRDefault="00A81B13" w:rsidP="00A81B1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67CB3" w:rsidRPr="009124C1" w:rsidRDefault="00267CB3" w:rsidP="00A81B1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3A35" w:rsidRPr="009124C1" w:rsidRDefault="00A03A35" w:rsidP="00A81B1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3A35" w:rsidRPr="009124C1" w:rsidRDefault="00A03A35" w:rsidP="00A81B1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3A35" w:rsidRPr="009124C1" w:rsidRDefault="00A03A35" w:rsidP="00A81B1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3A35" w:rsidRPr="009124C1" w:rsidRDefault="00A03A35" w:rsidP="00A81B1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03A35" w:rsidRPr="009124C1" w:rsidRDefault="00A03A35" w:rsidP="00A81B1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267CB3" w:rsidRPr="009124C1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13380" w:type="dxa"/>
        <w:tblLayout w:type="fixed"/>
        <w:tblLook w:val="04A0" w:firstRow="1" w:lastRow="0" w:firstColumn="1" w:lastColumn="0" w:noHBand="0" w:noVBand="1"/>
      </w:tblPr>
      <w:tblGrid>
        <w:gridCol w:w="8897"/>
        <w:gridCol w:w="4483"/>
      </w:tblGrid>
      <w:tr w:rsidR="00267CB3" w:rsidRPr="008E5ADA" w:rsidTr="00267CB3">
        <w:trPr>
          <w:trHeight w:val="4971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267CB3" w:rsidRPr="009124C1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9124C1" w:rsidRDefault="0026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E5ADA">
              <w:rPr>
                <w:rFonts w:ascii="Arial" w:hAnsi="Arial" w:cs="Arial"/>
                <w:b/>
                <w:bCs/>
                <w:sz w:val="24"/>
                <w:szCs w:val="24"/>
              </w:rPr>
              <w:t>SUMÁRIO</w:t>
            </w: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85953" w:rsidRDefault="0048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85953" w:rsidRPr="008E5ADA" w:rsidRDefault="004859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229"/>
              <w:gridCol w:w="591"/>
            </w:tblGrid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sz w:val="24"/>
                      <w:szCs w:val="24"/>
                    </w:rPr>
                    <w:t>INTRODUÇAO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67CB3" w:rsidRPr="008E5ADA" w:rsidRDefault="00267CB3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sz w:val="24"/>
                      <w:szCs w:val="24"/>
                    </w:rPr>
                    <w:t>CRÍTICA AO MODELO ATUAL E SUGESTÕES DE REFORMA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7633D1" w:rsidP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2.1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sz w:val="24"/>
                      <w:szCs w:val="24"/>
                    </w:rPr>
                    <w:t>AUDIENCIA UNA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7633D1" w:rsidP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</w:tr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2.2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PROPOSTA CONCILIATÓRIA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7633D1" w:rsidP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5ADA">
                    <w:rPr>
                      <w:rFonts w:ascii="Arial" w:eastAsia="Times New Roman" w:hAnsi="Arial" w:cs="Arial"/>
                      <w:b/>
                      <w:sz w:val="24"/>
                      <w:szCs w:val="24"/>
                    </w:rPr>
                    <w:t>PRESENÇA DAS PARTES EM AUDIÊNCIA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 w:rsidP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7633D1"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</w:tr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2.4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sz w:val="24"/>
                      <w:szCs w:val="24"/>
                    </w:rPr>
                    <w:t>OBRIGATORIEDADE DO INTERROGATÓRIO DAS PARTES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 w:rsidP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7633D1"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sz w:val="24"/>
                      <w:szCs w:val="24"/>
                    </w:rPr>
                    <w:t>CONCLUSÃO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 w:rsidP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7633D1"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</w:tr>
            <w:tr w:rsidR="00267CB3" w:rsidRPr="008E5ADA" w:rsidTr="00485953">
              <w:trPr>
                <w:trHeight w:val="414"/>
              </w:trPr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REFERÊNCIAS BIBLIOGRÁFICAS</w:t>
                  </w:r>
                </w:p>
              </w:tc>
              <w:tc>
                <w:tcPr>
                  <w:tcW w:w="5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267CB3" w:rsidRPr="008E5ADA" w:rsidRDefault="00267CB3" w:rsidP="007633D1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</w:t>
                  </w:r>
                  <w:r w:rsidR="007633D1" w:rsidRPr="008E5AD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nil"/>
              <w:left w:val="nil"/>
              <w:bottom w:val="nil"/>
              <w:right w:val="nil"/>
            </w:tcBorders>
          </w:tcPr>
          <w:p w:rsidR="00267CB3" w:rsidRPr="008E5ADA" w:rsidRDefault="00267CB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67CB3" w:rsidRDefault="00267CB3" w:rsidP="00267CB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85953" w:rsidRDefault="00485953" w:rsidP="00267CB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485953" w:rsidRPr="008E5ADA" w:rsidRDefault="00485953" w:rsidP="00267CB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267CB3" w:rsidRPr="008E5ADA" w:rsidRDefault="006B27DD" w:rsidP="006B27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Palavras chave: </w:t>
      </w:r>
      <w:r w:rsidRPr="006B27DD">
        <w:rPr>
          <w:rFonts w:ascii="Arial" w:hAnsi="Arial" w:cs="Arial"/>
          <w:sz w:val="24"/>
          <w:szCs w:val="24"/>
        </w:rPr>
        <w:t>emenda constitucional 45/04. Expansão da competência da justiça do trabalho. Aparelhamento judiciário. CLT. Atraso legislativo; reforma. Processo do trabalho. Audiência trabalhista. Código de processo do Trabalho.</w:t>
      </w:r>
    </w:p>
    <w:p w:rsidR="00267CB3" w:rsidRPr="008E5ADA" w:rsidRDefault="00267CB3" w:rsidP="00267CB3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after="0" w:line="360" w:lineRule="auto"/>
        <w:rPr>
          <w:rFonts w:ascii="Arial" w:hAnsi="Arial" w:cs="Arial"/>
          <w:b/>
          <w:sz w:val="24"/>
          <w:szCs w:val="24"/>
        </w:rPr>
        <w:sectPr w:rsidR="00267CB3" w:rsidRPr="008E5ADA" w:rsidSect="009310E1">
          <w:headerReference w:type="default" r:id="rId8"/>
          <w:pgSz w:w="11906" w:h="16838"/>
          <w:pgMar w:top="1701" w:right="1134" w:bottom="1134" w:left="1701" w:header="709" w:footer="709" w:gutter="0"/>
          <w:pgNumType w:start="0"/>
          <w:cols w:space="720"/>
        </w:sectPr>
      </w:pPr>
    </w:p>
    <w:p w:rsidR="00267CB3" w:rsidRPr="008E5ADA" w:rsidRDefault="00267CB3" w:rsidP="00267CB3">
      <w:pPr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lastRenderedPageBreak/>
        <w:t>1) INTRODUÇÃO</w:t>
      </w: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 competência da Justiça do Trabalho foi vertiginosamente ampliada com a Emenda Constitucional 45/2004, trazendo à seara trabalhista o conhecimento e julgamento de diversos casos que até então eram julgados pela Justiça Comum. Desta forma, a partir do ano de 2004, o número de processos trabalhistas teve um crescimento exorbitante, sendo necessária, desta forma, a ampliação de todo o aparato judiciário, com a multiplicação do número de varas trabalhistas e de servidores.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Em contrapartida, não obstante a preocupação com o investimento e expansão física e humana deste ramo jurídico, o mais importante dos instrumentos de realização efetiva do direito buscado na justiça laboral foi deixado de lado: o processo do trabalho.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Desde a publicação da Consolidação das Leis do Trabalho, no ano de 1943, a legislação processual trabalhista quedou-se inerte, tendo sido pouco discutida e atualizada, defasagem que veio a tona após a ampliação da competência desta justiça especializada e o consequente aumento das demandas laborais.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Muito dess</w:t>
      </w:r>
      <w:r w:rsidR="00A03A35">
        <w:rPr>
          <w:rFonts w:ascii="Arial" w:hAnsi="Arial" w:cs="Arial"/>
          <w:sz w:val="24"/>
          <w:szCs w:val="24"/>
        </w:rPr>
        <w:t>e congelamento processual legal</w:t>
      </w:r>
      <w:r w:rsidRPr="008E5ADA">
        <w:rPr>
          <w:rFonts w:ascii="Arial" w:hAnsi="Arial" w:cs="Arial"/>
          <w:sz w:val="24"/>
          <w:szCs w:val="24"/>
        </w:rPr>
        <w:t xml:space="preserve"> pode ser atribuído </w:t>
      </w:r>
      <w:r w:rsidR="00387661" w:rsidRPr="008E5ADA">
        <w:rPr>
          <w:rFonts w:ascii="Arial" w:hAnsi="Arial" w:cs="Arial"/>
          <w:sz w:val="24"/>
          <w:szCs w:val="24"/>
        </w:rPr>
        <w:t>à</w:t>
      </w:r>
      <w:r w:rsidRPr="008E5ADA">
        <w:rPr>
          <w:rFonts w:ascii="Arial" w:hAnsi="Arial" w:cs="Arial"/>
          <w:sz w:val="24"/>
          <w:szCs w:val="24"/>
        </w:rPr>
        <w:t xml:space="preserve"> permissão da aplicação subsidiária do Código de Processo Civil Brasileiro às demandas laborais, cuja previsão se encontra no art. 790-B da CLT, que permite o preenchimento de lacunas claramente existentes, que prejudicam o bom andamento processual e a celeridade inerente e necessária a esta justiça especializada.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Nesta seara, o presente estudo se compromete a sugerir algumas alterações na legislação processual trabalhista, em especial no tocante à normatização de alguns procedimentos adotados em audiência, apontando os pontos sensíveis do ordenamento e a possível solução necessária e benéfica à fase mais importante do processo </w:t>
      </w:r>
      <w:r w:rsidR="00387661" w:rsidRPr="008E5ADA">
        <w:rPr>
          <w:rFonts w:ascii="Arial" w:hAnsi="Arial" w:cs="Arial"/>
          <w:sz w:val="24"/>
          <w:szCs w:val="24"/>
        </w:rPr>
        <w:t>jus laboral</w:t>
      </w:r>
      <w:r w:rsidRPr="008E5ADA">
        <w:rPr>
          <w:rFonts w:ascii="Arial" w:hAnsi="Arial" w:cs="Arial"/>
          <w:sz w:val="24"/>
          <w:szCs w:val="24"/>
        </w:rPr>
        <w:t>.</w:t>
      </w:r>
    </w:p>
    <w:p w:rsidR="009124C1" w:rsidRDefault="009124C1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24C1" w:rsidRDefault="009124C1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lastRenderedPageBreak/>
        <w:t>2) CRÍTICA AO MODELO ATUAL E SUGESTÕES DE REFORMA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Inicialmente, é de suma importância revelar que a Justiça do Trabalho em termos de celeridade e efetividade de seus provimentos, é inúmeras vezes mais eficaz que a Justiça Comum. Destarte, uma reforma no âmbito do processo do trabalho não pode pautar-se integralmente na normatividade do procedimento aplicado nesta seara da justiça, haja vista a notoriedade de sua lentidão e o resultado contraproducente de suas normas.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Em outras palavras, o que se pretende não é a transposição das inúmeras regras e incidentes processuais previstos na Justiça Comum, mas apenas o preenchimento de lacunas e a positivação de alguns procedimentos, que, </w:t>
      </w:r>
      <w:r w:rsidR="00387661" w:rsidRPr="008E5ADA">
        <w:rPr>
          <w:rFonts w:ascii="Arial" w:hAnsi="Arial" w:cs="Arial"/>
          <w:sz w:val="24"/>
          <w:szCs w:val="24"/>
        </w:rPr>
        <w:t>em face de</w:t>
      </w:r>
      <w:r w:rsidRPr="008E5ADA">
        <w:rPr>
          <w:rFonts w:ascii="Arial" w:hAnsi="Arial" w:cs="Arial"/>
          <w:sz w:val="24"/>
          <w:szCs w:val="24"/>
        </w:rPr>
        <w:t xml:space="preserve"> ausência de regramento específico, fornece insegurança jurídica às partes e seus procuradores no momento da instrução processual.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O modelo de procedimento trabalhista vigente sofre de grave vício de padronização, decorrente da ausência de regramento legal específico, o que acarreta uma verdadeira proliferação de “normas” criadas pelos agentes aplicadores do direito, que o fazem de acordo com convicções pessoais, sempre sob o manto da justificativa da eficácia e celeridade processual.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Assim, o que se vê na justiça laboral em primeira instância é a existência de centenas de códigos de processos do trabalho, criados de acordo com o uso e costume do local respectivo, fazendo com que as partes sequer possam imaginar o que ocorrerá após a entrada em uma sala de audiência.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No dia a dia, o ente que acessa a justiça do trabalho, seja reclamante, reclamada ou advogado trabalhista, sofre com a fragilidade das regras processuais que norteiam a aplicação do direito material laboral, o que dificulta o acesso à justiça e o direito a um provimento jurisdicional justo e adequado.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É neste exato ponto que se foca o presente artigo, a partir do qual algumas deficiências concretas do procedimento trabalhista adotado em primeiro grau passam a ser destacadas, acompanhadas pela sugestão de reforma procedimental respectiva, conforme se passa a expor.</w:t>
      </w:r>
    </w:p>
    <w:p w:rsidR="009124C1" w:rsidRDefault="009124C1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124C1" w:rsidRDefault="009124C1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lastRenderedPageBreak/>
        <w:t>2.1) AUDIENCIA UNA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No processo do trabalho vige a regra da concentração dos atos processuais, corolária dos princípios da celeridade e da duração razoável do processo. 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A aplicação de referido princípio no processo do trabalho deu origem </w:t>
      </w:r>
      <w:r w:rsidR="00387661" w:rsidRPr="008E5ADA">
        <w:rPr>
          <w:rFonts w:ascii="Arial" w:hAnsi="Arial" w:cs="Arial"/>
          <w:sz w:val="24"/>
          <w:szCs w:val="24"/>
        </w:rPr>
        <w:t>à</w:t>
      </w:r>
      <w:r w:rsidRPr="008E5ADA">
        <w:rPr>
          <w:rFonts w:ascii="Arial" w:hAnsi="Arial" w:cs="Arial"/>
          <w:sz w:val="24"/>
          <w:szCs w:val="24"/>
        </w:rPr>
        <w:t xml:space="preserve"> chamada AUDIÊNCIA UNA, na qual todos os atos da instrução processual deverão ser praticados em regra, em audiência única, momento oportuno para partes apresentarem seus argumentos e produzirem todas as provas que entenderem necessárias.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 citada Audiência Una ou Única, encontra amparo legal expresso apenas no artigo 852-C, da CLT, que se destina a regular o procedimento sumaríssimo, àquele destinado ao julgamento de causas cujo valor esteja compreendido entre 02 e 40 salário mínimos, veja-se:</w:t>
      </w:r>
    </w:p>
    <w:p w:rsidR="00267CB3" w:rsidRPr="00485953" w:rsidRDefault="00267CB3" w:rsidP="00267CB3">
      <w:pPr>
        <w:spacing w:line="360" w:lineRule="auto"/>
        <w:ind w:left="3969"/>
        <w:jc w:val="both"/>
        <w:rPr>
          <w:rFonts w:ascii="Arial" w:hAnsi="Arial" w:cs="Arial"/>
          <w:b/>
          <w:sz w:val="20"/>
          <w:szCs w:val="20"/>
        </w:rPr>
      </w:pPr>
      <w:bookmarkStart w:id="1" w:name="art852c"/>
      <w:bookmarkEnd w:id="1"/>
      <w:r w:rsidRPr="00485953">
        <w:rPr>
          <w:rFonts w:ascii="Arial" w:eastAsia="Times New Roman" w:hAnsi="Arial" w:cs="Arial"/>
          <w:b/>
          <w:i/>
          <w:sz w:val="20"/>
          <w:szCs w:val="20"/>
        </w:rPr>
        <w:t>Art. 852-C. As demandas sujeitas a rito sumaríssimo serão instruídas e julgadas em audiência única, sob a direção de juiz presidente ou substituto, que poderá ser convocado para atuar simultaneamente com o titular</w:t>
      </w:r>
      <w:r w:rsidRPr="00485953">
        <w:rPr>
          <w:rFonts w:ascii="Arial" w:eastAsia="Times New Roman" w:hAnsi="Arial" w:cs="Arial"/>
          <w:b/>
          <w:sz w:val="20"/>
          <w:szCs w:val="20"/>
        </w:rPr>
        <w:t>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Note que referida previsão legal se coaduna perfeitamente com os princípios inerentes à justiça do trabalho, pois confere celeridade às demandas, além de prestigiar o princípio da oralidade, base de todo o regramento processual trabalhista.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Ocorre que a realização de referida audiência com concentração de atos não encontra previsão expressa de aplicação no procedimento ordinário, o que obviamente não inibe sua adoção, como ocorre em muitos casos, entretanto, quando se trata do referido rito processual, a praxe ainda adota o sistema de audiência fracionada.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Assim, na prática há a designação de uma primeira audiência para tentativa de conciliação, a chamada Audiência Inicial, e, em não sendo celebrado acordo, </w:t>
      </w:r>
      <w:r w:rsidR="008E5ADA">
        <w:rPr>
          <w:rFonts w:ascii="Arial" w:hAnsi="Arial" w:cs="Arial"/>
          <w:sz w:val="24"/>
          <w:szCs w:val="24"/>
        </w:rPr>
        <w:t xml:space="preserve">são recebidos </w:t>
      </w:r>
      <w:r w:rsidRPr="008E5ADA">
        <w:rPr>
          <w:rFonts w:ascii="Arial" w:hAnsi="Arial" w:cs="Arial"/>
          <w:sz w:val="24"/>
          <w:szCs w:val="24"/>
        </w:rPr>
        <w:t xml:space="preserve">a defesa e </w:t>
      </w:r>
      <w:r w:rsidR="008E5ADA">
        <w:rPr>
          <w:rFonts w:ascii="Arial" w:hAnsi="Arial" w:cs="Arial"/>
          <w:sz w:val="24"/>
          <w:szCs w:val="24"/>
        </w:rPr>
        <w:t xml:space="preserve">os </w:t>
      </w:r>
      <w:r w:rsidRPr="008E5ADA">
        <w:rPr>
          <w:rFonts w:ascii="Arial" w:hAnsi="Arial" w:cs="Arial"/>
          <w:sz w:val="24"/>
          <w:szCs w:val="24"/>
        </w:rPr>
        <w:t>documentos, abrindo-se vista dos mesmos à parte contrária. Posteriormente</w:t>
      </w:r>
      <w:r w:rsidR="008E5ADA">
        <w:rPr>
          <w:rFonts w:ascii="Arial" w:hAnsi="Arial" w:cs="Arial"/>
          <w:sz w:val="24"/>
          <w:szCs w:val="24"/>
        </w:rPr>
        <w:t>,</w:t>
      </w:r>
      <w:r w:rsidRPr="008E5ADA">
        <w:rPr>
          <w:rFonts w:ascii="Arial" w:hAnsi="Arial" w:cs="Arial"/>
          <w:sz w:val="24"/>
          <w:szCs w:val="24"/>
        </w:rPr>
        <w:t xml:space="preserve"> é marcada a Audiência de Instrução, na qual as partes serão ouvidas e as testemunhas inquiridas, além </w:t>
      </w:r>
      <w:r w:rsidRPr="008E5ADA">
        <w:rPr>
          <w:rFonts w:ascii="Arial" w:hAnsi="Arial" w:cs="Arial"/>
          <w:sz w:val="24"/>
          <w:szCs w:val="24"/>
        </w:rPr>
        <w:lastRenderedPageBreak/>
        <w:t xml:space="preserve">de serem produzidas todas as provas que forem de interesse dos entes processuais, a fim de que sejam elucidados os fatos em deslinde. Por fim, é designada Audiência de Julgamento, na qual o juiz profere a sentença e fornece ciência as partes </w:t>
      </w:r>
      <w:r w:rsidR="008E5ADA">
        <w:rPr>
          <w:rFonts w:ascii="Arial" w:hAnsi="Arial" w:cs="Arial"/>
          <w:sz w:val="24"/>
          <w:szCs w:val="24"/>
        </w:rPr>
        <w:t>do entendimento aplicado.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</w:r>
      <w:r w:rsidR="008E5ADA">
        <w:rPr>
          <w:rFonts w:ascii="Arial" w:hAnsi="Arial" w:cs="Arial"/>
          <w:sz w:val="24"/>
          <w:szCs w:val="24"/>
        </w:rPr>
        <w:t>Ocorre que o</w:t>
      </w:r>
      <w:r w:rsidRPr="008E5ADA">
        <w:rPr>
          <w:rFonts w:ascii="Arial" w:hAnsi="Arial" w:cs="Arial"/>
          <w:sz w:val="24"/>
          <w:szCs w:val="24"/>
        </w:rPr>
        <w:t xml:space="preserve"> fracionamento supracitado é desnecessário e ocasiona verdadeira perda de tempo processual, haja vista que a maioria das reclamações trabalhistas </w:t>
      </w:r>
      <w:r w:rsidR="00387661" w:rsidRPr="008E5ADA">
        <w:rPr>
          <w:rFonts w:ascii="Arial" w:hAnsi="Arial" w:cs="Arial"/>
          <w:sz w:val="24"/>
          <w:szCs w:val="24"/>
        </w:rPr>
        <w:t>envolve</w:t>
      </w:r>
      <w:r w:rsidRPr="008E5ADA">
        <w:rPr>
          <w:rFonts w:ascii="Arial" w:hAnsi="Arial" w:cs="Arial"/>
          <w:sz w:val="24"/>
          <w:szCs w:val="24"/>
        </w:rPr>
        <w:t xml:space="preserve"> matérias cuja dilação probatória não precisa ir além da prova oral, sendo certo que eventuais complexidades podem ser dirimidas na oportunidade da audiência e perante o Magistrado, evitando-se abertura de prazos para discussões desnecessárias</w:t>
      </w:r>
      <w:r w:rsidR="008E5ADA">
        <w:rPr>
          <w:rFonts w:ascii="Arial" w:hAnsi="Arial" w:cs="Arial"/>
          <w:sz w:val="24"/>
          <w:szCs w:val="24"/>
        </w:rPr>
        <w:t>,</w:t>
      </w:r>
      <w:r w:rsidRPr="008E5ADA">
        <w:rPr>
          <w:rFonts w:ascii="Arial" w:hAnsi="Arial" w:cs="Arial"/>
          <w:sz w:val="24"/>
          <w:szCs w:val="24"/>
        </w:rPr>
        <w:t xml:space="preserve"> que poderiam ser resolvidas neste momento processual.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É certo que em alguns casos de extrema complexidade haverá necessidade de adiamento para a resolução de certo incidente processual, caso em que haverá marcação de prosseguimento para data posterior</w:t>
      </w:r>
      <w:r w:rsidR="008E5ADA">
        <w:rPr>
          <w:rFonts w:ascii="Arial" w:hAnsi="Arial" w:cs="Arial"/>
          <w:sz w:val="24"/>
          <w:szCs w:val="24"/>
        </w:rPr>
        <w:t xml:space="preserve">, todavia, </w:t>
      </w:r>
      <w:r w:rsidRPr="008E5ADA">
        <w:rPr>
          <w:rFonts w:ascii="Arial" w:hAnsi="Arial" w:cs="Arial"/>
          <w:sz w:val="24"/>
          <w:szCs w:val="24"/>
        </w:rPr>
        <w:t>certamente tais casos serão ínfimos perto do número de processos trabalhistas que tramitam nos fóruns diariamente.</w:t>
      </w:r>
    </w:p>
    <w:p w:rsidR="00267CB3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Desta forma, a proposta que se faz sobre o tema</w:t>
      </w:r>
      <w:r w:rsidR="008E5ADA">
        <w:rPr>
          <w:rFonts w:ascii="Arial" w:hAnsi="Arial" w:cs="Arial"/>
          <w:sz w:val="24"/>
          <w:szCs w:val="24"/>
        </w:rPr>
        <w:t>,</w:t>
      </w:r>
      <w:r w:rsidRPr="008E5ADA">
        <w:rPr>
          <w:rFonts w:ascii="Arial" w:hAnsi="Arial" w:cs="Arial"/>
          <w:sz w:val="24"/>
          <w:szCs w:val="24"/>
        </w:rPr>
        <w:t xml:space="preserve"> é a inclusão no rol de normas que regem o procedimento ordinário, de artigo de lei que determine como regra geral no processo trabalhista a adoção de audiência única, à luz do citado artigo 852-C, restando apenas a ressalva no sentido de que esta poderá ser adiada por questão suscitada em audiência, que seja de extrema relevância e não possa ser dirimida no momento, desde que de forma justificada.</w:t>
      </w:r>
    </w:p>
    <w:p w:rsidR="008E5ADA" w:rsidRDefault="008E5ADA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Assim, o procedimento restará unificado e padronizado, o que notadamente trará a celeridade </w:t>
      </w:r>
      <w:r w:rsidR="00BE6ACE">
        <w:rPr>
          <w:rFonts w:ascii="Arial" w:hAnsi="Arial" w:cs="Arial"/>
          <w:sz w:val="24"/>
          <w:szCs w:val="24"/>
        </w:rPr>
        <w:t>das demandas</w:t>
      </w:r>
      <w:r>
        <w:rPr>
          <w:rFonts w:ascii="Arial" w:hAnsi="Arial" w:cs="Arial"/>
          <w:sz w:val="24"/>
          <w:szCs w:val="24"/>
        </w:rPr>
        <w:t xml:space="preserve">, </w:t>
      </w:r>
      <w:r w:rsidR="00BE6ACE">
        <w:rPr>
          <w:rFonts w:ascii="Arial" w:hAnsi="Arial" w:cs="Arial"/>
          <w:sz w:val="24"/>
          <w:szCs w:val="24"/>
        </w:rPr>
        <w:t xml:space="preserve">que é </w:t>
      </w:r>
      <w:r>
        <w:rPr>
          <w:rFonts w:ascii="Arial" w:hAnsi="Arial" w:cs="Arial"/>
          <w:sz w:val="24"/>
          <w:szCs w:val="24"/>
        </w:rPr>
        <w:t>tão buscada pelo processo do trabalho.</w:t>
      </w:r>
    </w:p>
    <w:p w:rsidR="009124C1" w:rsidRDefault="009124C1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t>2.2) PROPOSTA CONCILIATÓRIA</w:t>
      </w:r>
    </w:p>
    <w:p w:rsidR="009124C1" w:rsidRDefault="009124C1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Na justiça do trabalho vige o Princípio da Conciabilidade. Referido axioma, conforme sua denominação faz transparecer, orienta o fim que deve ser buscado pela justiça do trabalho face aos conflitos de interesses que lhe são apresentados: a busca pela conciliação.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lastRenderedPageBreak/>
        <w:tab/>
        <w:t xml:space="preserve">Referido princípio fora expressamente positivado pela Constituição Federal de 1988, quando encontrava guarida expressa no caput do artigo 114 da Constituição Federal. Após a Emenda constitucional 45/04, referido princípio foi mantido, porém, realocado para o §2º do citado dispositivo. Ademais, está previsto expressamente em lei ordinária, no artigo 764 da CLT, cujos teores </w:t>
      </w:r>
      <w:r w:rsidR="00387661" w:rsidRPr="008E5ADA">
        <w:rPr>
          <w:rFonts w:ascii="Arial" w:hAnsi="Arial" w:cs="Arial"/>
          <w:sz w:val="24"/>
          <w:szCs w:val="24"/>
        </w:rPr>
        <w:t>pedem-se</w:t>
      </w:r>
      <w:r w:rsidRPr="008E5ADA">
        <w:rPr>
          <w:rFonts w:ascii="Arial" w:hAnsi="Arial" w:cs="Arial"/>
          <w:sz w:val="24"/>
          <w:szCs w:val="24"/>
        </w:rPr>
        <w:t xml:space="preserve"> vênia para transcrição: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485953" w:rsidRDefault="00267CB3" w:rsidP="00267CB3">
      <w:pPr>
        <w:autoSpaceDE w:val="0"/>
        <w:autoSpaceDN w:val="0"/>
        <w:adjustRightInd w:val="0"/>
        <w:spacing w:after="0" w:line="360" w:lineRule="auto"/>
        <w:ind w:left="396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85953">
        <w:rPr>
          <w:rFonts w:ascii="Arial" w:hAnsi="Arial" w:cs="Arial"/>
          <w:b/>
          <w:i/>
          <w:sz w:val="20"/>
          <w:szCs w:val="20"/>
        </w:rPr>
        <w:t>Art. 114 § 2º CF: Recusando-se qualquer das partes à negociaçãocoletiva ou àarbitragem, é facultado às mesmas, de comum acordo, ajuizar dissídio coletivo de natureza econômica, podendo a Justiça do Trabalho decidir o conflito, respeitadas as disposições mínimas legais de proteção ao trabalho, bem como as convencionadas anteriormente.</w:t>
      </w:r>
      <w:r w:rsidRPr="00485953">
        <w:rPr>
          <w:rFonts w:ascii="Arial" w:eastAsia="Times New Roman" w:hAnsi="Arial" w:cs="Arial"/>
          <w:b/>
          <w:i/>
          <w:sz w:val="20"/>
          <w:szCs w:val="20"/>
        </w:rPr>
        <w:t xml:space="preserve">        </w:t>
      </w:r>
    </w:p>
    <w:p w:rsidR="00267CB3" w:rsidRPr="00485953" w:rsidRDefault="00267CB3" w:rsidP="00267CB3">
      <w:pPr>
        <w:spacing w:before="100" w:beforeAutospacing="1" w:after="100" w:afterAutospacing="1" w:line="360" w:lineRule="auto"/>
        <w:ind w:left="3969"/>
        <w:jc w:val="both"/>
        <w:rPr>
          <w:rFonts w:ascii="Arial" w:eastAsia="Times New Roman" w:hAnsi="Arial" w:cs="Arial"/>
          <w:sz w:val="20"/>
          <w:szCs w:val="20"/>
        </w:rPr>
      </w:pPr>
      <w:r w:rsidRPr="00485953">
        <w:rPr>
          <w:rFonts w:ascii="Arial" w:eastAsia="Times New Roman" w:hAnsi="Arial" w:cs="Arial"/>
          <w:b/>
          <w:i/>
          <w:sz w:val="20"/>
          <w:szCs w:val="20"/>
        </w:rPr>
        <w:t>Art. 764 - Os dissídios individuais ou coletivos submetidos à apreciação da Justiça do Trabalho serão sempre sujeitos à conciliação</w:t>
      </w:r>
      <w:r w:rsidRPr="00485953">
        <w:rPr>
          <w:rFonts w:ascii="Arial" w:eastAsia="Times New Roman" w:hAnsi="Arial" w:cs="Arial"/>
          <w:sz w:val="20"/>
          <w:szCs w:val="20"/>
        </w:rPr>
        <w:t>.</w:t>
      </w:r>
    </w:p>
    <w:p w:rsidR="00267CB3" w:rsidRPr="008E5ADA" w:rsidRDefault="00267CB3" w:rsidP="00267CB3">
      <w:pPr>
        <w:spacing w:before="100" w:beforeAutospacing="1" w:after="100" w:afterAutospacing="1" w:line="360" w:lineRule="auto"/>
        <w:ind w:left="3969"/>
        <w:jc w:val="both"/>
        <w:rPr>
          <w:rFonts w:ascii="Arial" w:eastAsia="Times New Roman" w:hAnsi="Arial" w:cs="Arial"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Note que o processo trabalhista tem como fim próprio a busca pela conciliação, sendo este o caminho que deve continuar a ser procurado, contudo, respeitadas as peculiaridades de cada caso que se apresenta.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 crítica que</w:t>
      </w:r>
      <w:r w:rsidR="00A81B13" w:rsidRPr="008E5ADA">
        <w:rPr>
          <w:rFonts w:ascii="Arial" w:hAnsi="Arial" w:cs="Arial"/>
          <w:sz w:val="24"/>
          <w:szCs w:val="24"/>
        </w:rPr>
        <w:t xml:space="preserve"> se promovea</w:t>
      </w:r>
      <w:r w:rsidRPr="008E5ADA">
        <w:rPr>
          <w:rFonts w:ascii="Arial" w:hAnsi="Arial" w:cs="Arial"/>
          <w:sz w:val="24"/>
          <w:szCs w:val="24"/>
        </w:rPr>
        <w:t>o modelo atual de conciliação na audiência trabalhista não se dirige propriamente ao fim amigável do processo, cuja benesse já foi destacada alhures, mas a forma como este é adotado por muitos julgadores, em especial no momento da audiência, o que acaba desvirtuando sua finalidade.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Isto, pois uma crescente que se tem verificado em diversas audiências trabalhistas, é a busca pelo encerramento do processo a qualquer custo, fazendo com que as partes, tanto o Reclamante quanto a Reclamada, façam acordos que muitas vezes não satisfaçam seus anseios, </w:t>
      </w:r>
      <w:r w:rsidR="00A81B13" w:rsidRPr="008E5ADA">
        <w:rPr>
          <w:rFonts w:ascii="Arial" w:hAnsi="Arial" w:cs="Arial"/>
          <w:sz w:val="24"/>
          <w:szCs w:val="24"/>
        </w:rPr>
        <w:t xml:space="preserve">apenas em decorrência de </w:t>
      </w:r>
      <w:r w:rsidRPr="008E5ADA">
        <w:rPr>
          <w:rFonts w:ascii="Arial" w:hAnsi="Arial" w:cs="Arial"/>
          <w:sz w:val="24"/>
          <w:szCs w:val="24"/>
        </w:rPr>
        <w:t>coação do conciliador que preside a sessão.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lastRenderedPageBreak/>
        <w:tab/>
        <w:t>O cotidiano forense deixa claro referido fato, pois o que se verifica é que em diversas audiências ou sessões de conciliação, a autoridade que as preside, seja Magistrado ou Serventuário, sequer analisa acauteladamente a petição inicial e a defesa antes de instar as partes sobre a possibilidade de acordo.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Ainda, em muitas oportunidades, o que se vê é uma verdadeira coação para a realização de acordos por parte de Magistrados, que antecipam o suposto resultado do processo, antes mesmo da instrução e oitiva das partes, a fim de instar </w:t>
      </w:r>
      <w:r w:rsidR="00BE6ACE">
        <w:rPr>
          <w:rFonts w:ascii="Arial" w:hAnsi="Arial" w:cs="Arial"/>
          <w:sz w:val="24"/>
          <w:szCs w:val="24"/>
        </w:rPr>
        <w:t>a</w:t>
      </w:r>
      <w:r w:rsidR="00BE6ACE" w:rsidRPr="008E5ADA">
        <w:rPr>
          <w:rFonts w:ascii="Arial" w:hAnsi="Arial" w:cs="Arial"/>
          <w:sz w:val="24"/>
          <w:szCs w:val="24"/>
        </w:rPr>
        <w:t xml:space="preserve">s partes </w:t>
      </w:r>
      <w:r w:rsidR="00BE6ACE">
        <w:rPr>
          <w:rFonts w:ascii="Arial" w:hAnsi="Arial" w:cs="Arial"/>
          <w:sz w:val="24"/>
          <w:szCs w:val="24"/>
        </w:rPr>
        <w:t>à</w:t>
      </w:r>
      <w:r w:rsidR="00BE6ACE" w:rsidRPr="008E5ADA">
        <w:rPr>
          <w:rFonts w:ascii="Arial" w:hAnsi="Arial" w:cs="Arial"/>
          <w:sz w:val="24"/>
          <w:szCs w:val="24"/>
        </w:rPr>
        <w:t xml:space="preserve"> conciliação</w:t>
      </w:r>
      <w:r w:rsidR="00BE6ACE">
        <w:rPr>
          <w:rFonts w:ascii="Arial" w:hAnsi="Arial" w:cs="Arial"/>
          <w:sz w:val="24"/>
          <w:szCs w:val="24"/>
        </w:rPr>
        <w:t xml:space="preserve">, ainda que </w:t>
      </w:r>
      <w:r w:rsidRPr="008E5ADA">
        <w:rPr>
          <w:rFonts w:ascii="Arial" w:hAnsi="Arial" w:cs="Arial"/>
          <w:sz w:val="24"/>
          <w:szCs w:val="24"/>
        </w:rPr>
        <w:t>contra sua vontade.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Há que se ter bom senso e se pautar na razoabilidade e proporcionalidade no momento da realização de um acordo, eis que este pode causar a perda de direito da parte reclamante e a impossibilidade de pagamento por parte da reclamada.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Em verdade, a legislação sobre o tema pecou no momento da positivação do Princípio da Conciabilidade em audiência, senão vejamos: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485953" w:rsidRDefault="00267CB3" w:rsidP="00267CB3">
      <w:pPr>
        <w:spacing w:after="0" w:line="360" w:lineRule="auto"/>
        <w:ind w:left="396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bookmarkStart w:id="2" w:name="art846"/>
      <w:bookmarkEnd w:id="2"/>
      <w:r w:rsidRPr="00485953">
        <w:rPr>
          <w:rFonts w:ascii="Arial" w:eastAsia="Times New Roman" w:hAnsi="Arial" w:cs="Arial"/>
          <w:b/>
          <w:i/>
          <w:sz w:val="20"/>
          <w:szCs w:val="20"/>
        </w:rPr>
        <w:t>Art. 846 - Aberta a audiência, o juiz ou presidente proporá a conciliação. (..)</w:t>
      </w:r>
    </w:p>
    <w:p w:rsidR="00267CB3" w:rsidRPr="00485953" w:rsidRDefault="00267CB3" w:rsidP="00267CB3">
      <w:pPr>
        <w:spacing w:line="360" w:lineRule="auto"/>
        <w:ind w:left="396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85953">
        <w:rPr>
          <w:rFonts w:ascii="Arial" w:eastAsia="Times New Roman" w:hAnsi="Arial" w:cs="Arial"/>
          <w:b/>
          <w:i/>
          <w:sz w:val="20"/>
          <w:szCs w:val="20"/>
        </w:rPr>
        <w:t>Art. 847 - Não havendo acordo, o reclamado terá vinte minutos para aduzir sua defesa, após a leitura da reclamação, quando esta não for dispensada por ambas as partes.</w:t>
      </w:r>
    </w:p>
    <w:p w:rsidR="00267CB3" w:rsidRPr="008E5ADA" w:rsidRDefault="00267CB3" w:rsidP="00267CB3">
      <w:pPr>
        <w:spacing w:line="360" w:lineRule="auto"/>
        <w:ind w:left="3969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Note que a própria CLT determina que o Magistrado ao iniciar a audiência deve propor a conciliação, antes mesmo do conhecimento dos fatos controvertidos apresentados.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Referida conduta prejudica uma conciliação responsável e acaba muitas vezes ensejando a assinatura de acordos que não atendem os princípios da razoabilidade e proporcionalidade, trazendo prejuízos para ambas as partes envolvidas.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 xml:space="preserve">Sobre a questão, </w:t>
      </w:r>
      <w:r w:rsidR="0054518C" w:rsidRPr="008E5ADA">
        <w:rPr>
          <w:rFonts w:ascii="Arial" w:eastAsia="Times New Roman" w:hAnsi="Arial" w:cs="Arial"/>
          <w:sz w:val="24"/>
          <w:szCs w:val="24"/>
        </w:rPr>
        <w:t xml:space="preserve">sugere-se </w:t>
      </w:r>
      <w:r w:rsidRPr="008E5ADA">
        <w:rPr>
          <w:rFonts w:ascii="Arial" w:eastAsia="Times New Roman" w:hAnsi="Arial" w:cs="Arial"/>
          <w:sz w:val="24"/>
          <w:szCs w:val="24"/>
        </w:rPr>
        <w:t xml:space="preserve">alteração legislativa no sentido de que a proposta de conciliação pelo Presidente da Audiência seja realizada apenas </w:t>
      </w:r>
      <w:r w:rsidRPr="008E5ADA">
        <w:rPr>
          <w:rFonts w:ascii="Arial" w:eastAsia="Times New Roman" w:hAnsi="Arial" w:cs="Arial"/>
          <w:sz w:val="24"/>
          <w:szCs w:val="24"/>
        </w:rPr>
        <w:lastRenderedPageBreak/>
        <w:t>após o conhecimento da amplitude da controvérsia, ou seja, que esta seja apresentada depois da leitura integral da petição inicia e da defesa.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Desta forma, inteirado sobre o caso, o conciliador poderá esclarecer as dúvidas das partes e orientá-las sobre os riscos reais do processo caso seja fornecido andamento ao mesmo, ressaltando os benefícios de uma conciliação.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Tal conduta certamente atenderá ao fim buscado pela justiça do trabalho, e, sobretudo, trará a sensação de realização de justiça àqueles que se utilizaram daquele órgão judiciário para a solução de sua contenda.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E5ADA">
        <w:rPr>
          <w:rFonts w:ascii="Arial" w:eastAsia="Times New Roman" w:hAnsi="Arial" w:cs="Arial"/>
          <w:b/>
          <w:sz w:val="24"/>
          <w:szCs w:val="24"/>
        </w:rPr>
        <w:t>2.3) PRESENÇA DAS PARTES EM AUDIÊNCIA</w:t>
      </w:r>
    </w:p>
    <w:p w:rsidR="00267CB3" w:rsidRPr="008E5ADA" w:rsidRDefault="00267CB3" w:rsidP="00267CB3">
      <w:pPr>
        <w:spacing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O princípio da oralidade que vigora no processo trabalhista, torna a audiência o momento mais importante e decisivo do processo do trabalho, que influenciará diretamente no resultado do provimento judicial que será fornecido ao final da demanda.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Não por outro motivo que a CLT em seu artigo 843 determina que as partes deverão estar presentes na audiência, independente do comparecimento de seus representantes, in verbis:</w:t>
      </w:r>
    </w:p>
    <w:p w:rsidR="00267CB3" w:rsidRPr="00485953" w:rsidRDefault="00267CB3" w:rsidP="00267CB3">
      <w:pPr>
        <w:tabs>
          <w:tab w:val="left" w:pos="3969"/>
        </w:tabs>
        <w:spacing w:line="360" w:lineRule="auto"/>
        <w:ind w:left="396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85953">
        <w:rPr>
          <w:rFonts w:ascii="Arial" w:eastAsia="Times New Roman" w:hAnsi="Arial" w:cs="Arial"/>
          <w:b/>
          <w:i/>
          <w:sz w:val="20"/>
          <w:szCs w:val="20"/>
        </w:rPr>
        <w:t>Art. 843 - Na audiência de julgamento deverão estar presentes o reclamante e o reclamado, independentemente do comparecimento de seus representantes salvo, nos casos de Reclamatórias Plúrimas ou Ações de Cumprimento, quando os empregados poderão fazer-se representar pelo Sindicato de sua categoria.</w:t>
      </w:r>
    </w:p>
    <w:p w:rsidR="00267CB3" w:rsidRPr="00485953" w:rsidRDefault="00267CB3" w:rsidP="00267CB3">
      <w:pPr>
        <w:spacing w:line="360" w:lineRule="auto"/>
        <w:ind w:left="396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85953">
        <w:rPr>
          <w:rFonts w:ascii="Arial" w:eastAsia="Times New Roman" w:hAnsi="Arial" w:cs="Arial"/>
          <w:b/>
          <w:i/>
          <w:sz w:val="20"/>
          <w:szCs w:val="20"/>
        </w:rPr>
        <w:t>§ 1º - É facultado ao empregador fazer-se substituir pelo gerente, ou qualquer outro preposto que tenha conhecimento do fato, e cujas declarações obrigarão o proponente.</w:t>
      </w:r>
    </w:p>
    <w:p w:rsidR="00267CB3" w:rsidRPr="008E5ADA" w:rsidRDefault="00267CB3" w:rsidP="00F21536">
      <w:pPr>
        <w:tabs>
          <w:tab w:val="left" w:pos="1134"/>
        </w:tabs>
        <w:spacing w:before="240"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Assim, verifica-se que a legislação trabalhista determina que estejam presentes pessoalmente em audiência ambos os litigantes, permitindo</w:t>
      </w:r>
      <w:r w:rsidR="00BE6ACE">
        <w:rPr>
          <w:rFonts w:ascii="Arial" w:eastAsia="Times New Roman" w:hAnsi="Arial" w:cs="Arial"/>
          <w:sz w:val="24"/>
          <w:szCs w:val="24"/>
        </w:rPr>
        <w:t xml:space="preserve"> apenas</w:t>
      </w:r>
      <w:r w:rsidRPr="008E5ADA">
        <w:rPr>
          <w:rFonts w:ascii="Arial" w:eastAsia="Times New Roman" w:hAnsi="Arial" w:cs="Arial"/>
          <w:sz w:val="24"/>
          <w:szCs w:val="24"/>
        </w:rPr>
        <w:t xml:space="preserve"> </w:t>
      </w:r>
      <w:r w:rsidRPr="008E5ADA">
        <w:rPr>
          <w:rFonts w:ascii="Arial" w:eastAsia="Times New Roman" w:hAnsi="Arial" w:cs="Arial"/>
          <w:sz w:val="24"/>
          <w:szCs w:val="24"/>
        </w:rPr>
        <w:lastRenderedPageBreak/>
        <w:t>que a empresa seja representada por funcionário que tenha conhecimento dos fatos.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 xml:space="preserve">Referida previsão legal se coaduna perfeitamente, como já destacado, com o princípio da oralidade, bem como com os demais princípios que orientam o processo do trabalho, sendo </w:t>
      </w:r>
      <w:r w:rsidR="00BE6ACE">
        <w:rPr>
          <w:rFonts w:ascii="Arial" w:eastAsia="Times New Roman" w:hAnsi="Arial" w:cs="Arial"/>
          <w:sz w:val="24"/>
          <w:szCs w:val="24"/>
        </w:rPr>
        <w:t xml:space="preserve">ainda </w:t>
      </w:r>
      <w:r w:rsidRPr="008E5ADA">
        <w:rPr>
          <w:rFonts w:ascii="Arial" w:eastAsia="Times New Roman" w:hAnsi="Arial" w:cs="Arial"/>
          <w:sz w:val="24"/>
          <w:szCs w:val="24"/>
        </w:rPr>
        <w:t>saudada pela doutrina, ao passo que permite que sejam trazidas aos autos as partes diretamente envolvidas no processo, aproximando o julgador da realidade fática existente.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O ponto sensível quanto a respectiva previsão legal, não recai exatamente sobre o efetivo comparecimento das partes na data designada, mas sim quando uma delas, em especial a Reclamada, se ausenta por algum motivo.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Diante de tal situação, cada julgador age de uma maneira, de acordo com as convicções próprias, face as diversas interpretações que empresta ao artigo 844 da CLT e da Súmula 122 do TST, cujas transcrições seguem:</w:t>
      </w:r>
    </w:p>
    <w:p w:rsidR="00267CB3" w:rsidRPr="00485953" w:rsidRDefault="00267CB3" w:rsidP="00267CB3">
      <w:pPr>
        <w:spacing w:before="100" w:beforeAutospacing="1" w:after="0" w:line="360" w:lineRule="auto"/>
        <w:ind w:left="3969"/>
        <w:rPr>
          <w:rFonts w:ascii="Arial" w:eastAsia="Times New Roman" w:hAnsi="Arial" w:cs="Arial"/>
          <w:b/>
          <w:i/>
          <w:sz w:val="20"/>
          <w:szCs w:val="20"/>
        </w:rPr>
      </w:pPr>
      <w:r w:rsidRPr="00485953">
        <w:rPr>
          <w:rFonts w:ascii="Arial" w:eastAsia="Times New Roman" w:hAnsi="Arial" w:cs="Arial"/>
          <w:b/>
          <w:i/>
          <w:sz w:val="20"/>
          <w:szCs w:val="20"/>
        </w:rPr>
        <w:t xml:space="preserve">Art. 844 - O </w:t>
      </w:r>
      <w:r w:rsidR="00387661" w:rsidRPr="00485953">
        <w:rPr>
          <w:rFonts w:ascii="Arial" w:eastAsia="Times New Roman" w:hAnsi="Arial" w:cs="Arial"/>
          <w:b/>
          <w:i/>
          <w:sz w:val="20"/>
          <w:szCs w:val="20"/>
        </w:rPr>
        <w:t>não comparecimento</w:t>
      </w:r>
      <w:r w:rsidRPr="00485953">
        <w:rPr>
          <w:rFonts w:ascii="Arial" w:eastAsia="Times New Roman" w:hAnsi="Arial" w:cs="Arial"/>
          <w:b/>
          <w:i/>
          <w:sz w:val="20"/>
          <w:szCs w:val="20"/>
        </w:rPr>
        <w:t xml:space="preserve"> do reclamante à audiência importa o arquivamento da reclamação, e o </w:t>
      </w:r>
      <w:r w:rsidR="00387661" w:rsidRPr="00485953">
        <w:rPr>
          <w:rFonts w:ascii="Arial" w:eastAsia="Times New Roman" w:hAnsi="Arial" w:cs="Arial"/>
          <w:b/>
          <w:i/>
          <w:sz w:val="20"/>
          <w:szCs w:val="20"/>
        </w:rPr>
        <w:t>não comparecimento</w:t>
      </w:r>
      <w:r w:rsidRPr="00485953">
        <w:rPr>
          <w:rFonts w:ascii="Arial" w:eastAsia="Times New Roman" w:hAnsi="Arial" w:cs="Arial"/>
          <w:b/>
          <w:i/>
          <w:sz w:val="20"/>
          <w:szCs w:val="20"/>
        </w:rPr>
        <w:t xml:space="preserve"> do reclamado importa revelia, além de confissão quanto à matéria de fato.</w:t>
      </w:r>
    </w:p>
    <w:p w:rsidR="00267CB3" w:rsidRPr="00485953" w:rsidRDefault="00267CB3" w:rsidP="00267CB3">
      <w:pPr>
        <w:spacing w:line="360" w:lineRule="auto"/>
        <w:ind w:left="3969"/>
        <w:jc w:val="both"/>
        <w:rPr>
          <w:rFonts w:ascii="Arial" w:eastAsia="Times New Roman" w:hAnsi="Arial" w:cs="Arial"/>
          <w:b/>
          <w:i/>
          <w:sz w:val="20"/>
          <w:szCs w:val="20"/>
        </w:rPr>
      </w:pPr>
      <w:r w:rsidRPr="00485953">
        <w:rPr>
          <w:rFonts w:ascii="Arial" w:hAnsi="Arial" w:cs="Arial"/>
          <w:b/>
          <w:i/>
          <w:sz w:val="20"/>
          <w:szCs w:val="20"/>
        </w:rPr>
        <w:t xml:space="preserve">Súmula 122 do TST: A reclamada, ausente à audiência em que deveria apresentar defesa, é revel, ainda que presente seu advogado munido de procuração, podendo ser ilidida a revelia mediante a apresentação de atestado médico, que deverá declarar, </w:t>
      </w:r>
      <w:r w:rsidR="00387661" w:rsidRPr="00485953">
        <w:rPr>
          <w:rFonts w:ascii="Arial" w:hAnsi="Arial" w:cs="Arial"/>
          <w:b/>
          <w:i/>
          <w:sz w:val="20"/>
          <w:szCs w:val="20"/>
        </w:rPr>
        <w:t>expressamente</w:t>
      </w:r>
      <w:r w:rsidRPr="00485953">
        <w:rPr>
          <w:rFonts w:ascii="Arial" w:hAnsi="Arial" w:cs="Arial"/>
          <w:b/>
          <w:i/>
          <w:sz w:val="20"/>
          <w:szCs w:val="20"/>
        </w:rPr>
        <w:t>, a impossibilidade de locomoção do empregador ou do seu preposto no dia da audiência.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Note que o citado enunciado sumular dispõe que é considera revel a empresa que deixa de enviar seu representante legal ou preposto à audiência, mesmo estando presente seu advogado devidamente constituído.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 xml:space="preserve">Nesta senda, o artigo celetista apresenta a consequência da ausência da Reclamada em audiência, </w:t>
      </w:r>
      <w:r w:rsidR="00E24457" w:rsidRPr="008E5ADA">
        <w:rPr>
          <w:rFonts w:ascii="Arial" w:eastAsia="Times New Roman" w:hAnsi="Arial" w:cs="Arial"/>
          <w:sz w:val="24"/>
          <w:szCs w:val="24"/>
        </w:rPr>
        <w:t xml:space="preserve">que </w:t>
      </w:r>
      <w:r w:rsidRPr="008E5ADA">
        <w:rPr>
          <w:rFonts w:ascii="Arial" w:eastAsia="Times New Roman" w:hAnsi="Arial" w:cs="Arial"/>
          <w:sz w:val="24"/>
          <w:szCs w:val="24"/>
        </w:rPr>
        <w:t>consiste na ocorrência da revelia e da confissão quanto a matéria fática.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tab/>
        <w:t>Neste ponto em especial algumas críticas merecem ser tecidas.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E5ADA">
        <w:rPr>
          <w:rFonts w:ascii="Arial" w:eastAsia="Times New Roman" w:hAnsi="Arial" w:cs="Arial"/>
          <w:sz w:val="24"/>
          <w:szCs w:val="24"/>
        </w:rPr>
        <w:lastRenderedPageBreak/>
        <w:tab/>
        <w:t>A legislação civil define a revelia como ausência de defesa. Esta é a inteligência do artigo 319 do Código de Processo Civil, que ora se transcreve:</w:t>
      </w:r>
    </w:p>
    <w:p w:rsidR="00267CB3" w:rsidRPr="00485953" w:rsidRDefault="00267CB3" w:rsidP="00267CB3">
      <w:pPr>
        <w:spacing w:line="360" w:lineRule="auto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485953">
        <w:rPr>
          <w:rFonts w:ascii="Arial" w:hAnsi="Arial" w:cs="Arial"/>
          <w:b/>
          <w:bCs/>
          <w:i/>
          <w:sz w:val="20"/>
          <w:szCs w:val="20"/>
        </w:rPr>
        <w:t xml:space="preserve">Art. 319 </w:t>
      </w:r>
      <w:r w:rsidRPr="00485953">
        <w:rPr>
          <w:rFonts w:ascii="Arial" w:hAnsi="Arial" w:cs="Arial"/>
          <w:b/>
          <w:i/>
          <w:sz w:val="20"/>
          <w:szCs w:val="20"/>
        </w:rPr>
        <w:t>- Se o réu não contestar a ação, reputar-se-ão verdadeiros os fatos afirmados pelo autor.</w:t>
      </w:r>
    </w:p>
    <w:p w:rsidR="00267CB3" w:rsidRPr="008E5ADA" w:rsidRDefault="00267CB3" w:rsidP="00F21536">
      <w:pPr>
        <w:tabs>
          <w:tab w:val="left" w:pos="1134"/>
        </w:tabs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Essa definição é exaustiva, não cabendo interpretação extensiva. Portanto, apenas poderá ser declarada </w:t>
      </w:r>
      <w:r w:rsidR="00845A5E" w:rsidRPr="008E5ADA">
        <w:rPr>
          <w:rFonts w:ascii="Arial" w:hAnsi="Arial" w:cs="Arial"/>
          <w:sz w:val="24"/>
          <w:szCs w:val="24"/>
        </w:rPr>
        <w:t xml:space="preserve">a </w:t>
      </w:r>
      <w:r w:rsidRPr="008E5ADA">
        <w:rPr>
          <w:rFonts w:ascii="Arial" w:hAnsi="Arial" w:cs="Arial"/>
          <w:sz w:val="24"/>
          <w:szCs w:val="24"/>
        </w:rPr>
        <w:t xml:space="preserve">revelia </w:t>
      </w:r>
      <w:r w:rsidR="00845A5E" w:rsidRPr="008E5ADA">
        <w:rPr>
          <w:rFonts w:ascii="Arial" w:hAnsi="Arial" w:cs="Arial"/>
          <w:sz w:val="24"/>
          <w:szCs w:val="24"/>
        </w:rPr>
        <w:t xml:space="preserve">quando </w:t>
      </w:r>
      <w:r w:rsidRPr="008E5ADA">
        <w:rPr>
          <w:rFonts w:ascii="Arial" w:hAnsi="Arial" w:cs="Arial"/>
          <w:sz w:val="24"/>
          <w:szCs w:val="24"/>
        </w:rPr>
        <w:t xml:space="preserve">não apresentada </w:t>
      </w:r>
      <w:r w:rsidR="00C8183C" w:rsidRPr="008E5ADA">
        <w:rPr>
          <w:rFonts w:ascii="Arial" w:hAnsi="Arial" w:cs="Arial"/>
          <w:sz w:val="24"/>
          <w:szCs w:val="24"/>
        </w:rPr>
        <w:t xml:space="preserve">a </w:t>
      </w:r>
      <w:r w:rsidRPr="008E5ADA">
        <w:rPr>
          <w:rFonts w:ascii="Arial" w:hAnsi="Arial" w:cs="Arial"/>
          <w:sz w:val="24"/>
          <w:szCs w:val="24"/>
        </w:rPr>
        <w:t>defesa no prazo legal, no caso da justiça do trabalho, em audiência.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Referido dispositivo legal demonstra que a revelia está ligada a ausência de defesa e não à ausência da parte em audiência, isto, pois,</w:t>
      </w:r>
      <w:r w:rsidR="00BE6ACE">
        <w:rPr>
          <w:rFonts w:ascii="Arial" w:hAnsi="Arial" w:cs="Arial"/>
          <w:sz w:val="24"/>
          <w:szCs w:val="24"/>
        </w:rPr>
        <w:t xml:space="preserve"> por exemplo,</w:t>
      </w:r>
      <w:r w:rsidRPr="008E5ADA">
        <w:rPr>
          <w:rFonts w:ascii="Arial" w:hAnsi="Arial" w:cs="Arial"/>
          <w:sz w:val="24"/>
          <w:szCs w:val="24"/>
        </w:rPr>
        <w:t xml:space="preserve"> poderá o réu comparecer e se negar a </w:t>
      </w:r>
      <w:r w:rsidR="00BE6ACE">
        <w:rPr>
          <w:rFonts w:ascii="Arial" w:hAnsi="Arial" w:cs="Arial"/>
          <w:sz w:val="24"/>
          <w:szCs w:val="24"/>
        </w:rPr>
        <w:t>se defender.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Assim, conclui-se que a ausência da parte em audiência é o fato que importa na confissão da matéria fática. Isto, pois, o não comparecimento da parte, inibe a prestação de seu depoimento, impossibilitando que a outra parte obtenha uma confissão quanto a matéria discutida, e, desta forma, a fim de evitar tal prejuízo, aplica-se a </w:t>
      </w:r>
      <w:r w:rsidRPr="008E5ADA">
        <w:rPr>
          <w:rFonts w:ascii="Arial" w:hAnsi="Arial" w:cs="Arial"/>
          <w:i/>
          <w:sz w:val="24"/>
          <w:szCs w:val="24"/>
        </w:rPr>
        <w:t xml:space="preserve">ficta confessio, </w:t>
      </w:r>
      <w:r w:rsidRPr="008E5ADA">
        <w:rPr>
          <w:rFonts w:ascii="Arial" w:hAnsi="Arial" w:cs="Arial"/>
          <w:sz w:val="24"/>
          <w:szCs w:val="24"/>
        </w:rPr>
        <w:t>o que não inibe que a matéria de direito passe pelo crivo do contraditório.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Veja que a confissão ficta deve recair apenas sobre a matéria fática, eis que a matéria de direito pode ser contestada pela apresentação da defesa escrita ou por outros elementos de convicção que o juiz colher nos autos.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Referida conclusão se extrai do próprio teor da súmula 74 do TST, que dispõe que a prova pré-constituída pode ser levada em conta para o confronto com a confissão ficta, veja-se:</w:t>
      </w:r>
    </w:p>
    <w:p w:rsidR="00267CB3" w:rsidRPr="00485953" w:rsidRDefault="00267CB3" w:rsidP="00267CB3">
      <w:pPr>
        <w:pStyle w:val="Default"/>
        <w:spacing w:line="360" w:lineRule="auto"/>
        <w:ind w:left="3969"/>
        <w:rPr>
          <w:rFonts w:ascii="Arial" w:hAnsi="Arial" w:cs="Arial"/>
          <w:b/>
          <w:i/>
          <w:sz w:val="20"/>
          <w:szCs w:val="20"/>
        </w:rPr>
      </w:pPr>
      <w:r w:rsidRPr="00485953">
        <w:rPr>
          <w:rFonts w:ascii="Arial" w:hAnsi="Arial" w:cs="Arial"/>
          <w:b/>
          <w:bCs/>
          <w:i/>
          <w:sz w:val="20"/>
          <w:szCs w:val="20"/>
        </w:rPr>
        <w:t>Súmula 74 TST: CONFISSÃO</w:t>
      </w:r>
    </w:p>
    <w:p w:rsidR="00267CB3" w:rsidRPr="00485953" w:rsidRDefault="00267CB3" w:rsidP="009124C1">
      <w:pPr>
        <w:pStyle w:val="Default"/>
        <w:spacing w:line="360" w:lineRule="auto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485953">
        <w:rPr>
          <w:rFonts w:ascii="Arial" w:hAnsi="Arial" w:cs="Arial"/>
          <w:b/>
          <w:i/>
          <w:sz w:val="20"/>
          <w:szCs w:val="20"/>
        </w:rPr>
        <w:t>I - Aplica-se a confissão à parte que, expressamente intimada com aquela cominação, não comparecer à audiência em prosseguimento, na qual deveria depor. (ex-Súmula nº 74 - RA 69/1978, DJ 26.09.1978)</w:t>
      </w:r>
    </w:p>
    <w:p w:rsidR="00267CB3" w:rsidRPr="00485953" w:rsidRDefault="00267CB3" w:rsidP="00267CB3">
      <w:pPr>
        <w:spacing w:after="0" w:line="360" w:lineRule="auto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485953">
        <w:rPr>
          <w:rFonts w:ascii="Arial" w:hAnsi="Arial" w:cs="Arial"/>
          <w:b/>
          <w:i/>
          <w:sz w:val="20"/>
          <w:szCs w:val="20"/>
        </w:rPr>
        <w:t>II - A prova pré-constituída nos autos pode ser levada em conta paraconfronto com a confissão ficta (art. 400, I, CPC), não implicando cerceamento de defesa o indeferimento de provas posteriores. (ex-OJ nº 184 da SBDI-1 - inserida em 08.11.2000)</w:t>
      </w:r>
    </w:p>
    <w:p w:rsidR="00267CB3" w:rsidRPr="00485953" w:rsidRDefault="00267CB3" w:rsidP="00267CB3">
      <w:pPr>
        <w:spacing w:after="0" w:line="360" w:lineRule="auto"/>
        <w:ind w:left="3969"/>
        <w:jc w:val="both"/>
        <w:rPr>
          <w:rFonts w:ascii="Arial" w:hAnsi="Arial" w:cs="Arial"/>
          <w:b/>
          <w:i/>
          <w:sz w:val="20"/>
          <w:szCs w:val="20"/>
        </w:rPr>
      </w:pPr>
      <w:r w:rsidRPr="00485953">
        <w:rPr>
          <w:rFonts w:ascii="Arial" w:hAnsi="Arial" w:cs="Arial"/>
          <w:b/>
          <w:i/>
          <w:sz w:val="20"/>
          <w:szCs w:val="20"/>
        </w:rPr>
        <w:lastRenderedPageBreak/>
        <w:t>III- A vedação à produção de prova posterior pela parte confessa somente a ela se aplica, não afetando o exercício, pelo magistrado, do poder/dever de conduzir o processo.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Note a incompatibilidade de referido instituto com o artigo 844 da CLT. Ainda que se alegue que o primeiro dispõe sobre a ausência na primeira audiência e o segundo na audiência em prosseguimento, não se vislumbram motivos para tal distinção, mesmo porque a regra na audiência trabalhista é a concentração de atos.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O enunciado sumular acima deixa claro que a ausência da parte na audiência na qual deve depor </w:t>
      </w:r>
      <w:r w:rsidR="00C8183C" w:rsidRPr="008E5ADA">
        <w:rPr>
          <w:rFonts w:ascii="Arial" w:hAnsi="Arial" w:cs="Arial"/>
          <w:sz w:val="24"/>
          <w:szCs w:val="24"/>
        </w:rPr>
        <w:t xml:space="preserve">gera presunção </w:t>
      </w:r>
      <w:r w:rsidRPr="008E5ADA">
        <w:rPr>
          <w:rFonts w:ascii="Arial" w:hAnsi="Arial" w:cs="Arial"/>
          <w:sz w:val="24"/>
          <w:szCs w:val="24"/>
        </w:rPr>
        <w:t>meramente relativa</w:t>
      </w:r>
      <w:r w:rsidR="00C8183C" w:rsidRPr="008E5ADA">
        <w:rPr>
          <w:rFonts w:ascii="Arial" w:hAnsi="Arial" w:cs="Arial"/>
          <w:sz w:val="24"/>
          <w:szCs w:val="24"/>
        </w:rPr>
        <w:t xml:space="preserve"> da veracidade dos fatos</w:t>
      </w:r>
      <w:r w:rsidRPr="008E5ADA">
        <w:rPr>
          <w:rFonts w:ascii="Arial" w:hAnsi="Arial" w:cs="Arial"/>
          <w:sz w:val="24"/>
          <w:szCs w:val="24"/>
        </w:rPr>
        <w:t xml:space="preserve">, devendo </w:t>
      </w:r>
      <w:r w:rsidR="00C8183C" w:rsidRPr="008E5ADA">
        <w:rPr>
          <w:rFonts w:ascii="Arial" w:hAnsi="Arial" w:cs="Arial"/>
          <w:sz w:val="24"/>
          <w:szCs w:val="24"/>
        </w:rPr>
        <w:t xml:space="preserve">esta </w:t>
      </w:r>
      <w:r w:rsidRPr="008E5ADA">
        <w:rPr>
          <w:rFonts w:ascii="Arial" w:hAnsi="Arial" w:cs="Arial"/>
          <w:sz w:val="24"/>
          <w:szCs w:val="24"/>
        </w:rPr>
        <w:t>ser confrontada com outros elementos trazidos aos autos.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Contudo, não é o que se verifica na prática. Na maioria dos casos, o Magistrado, ao se deparar com a ausência da parte Reclamada em audiência, ainda que seu advogado esteja presente em audiência, se recusa a receber a defesa escrita e já agenda o julgamento da lide, promovendo sentença que fornece provimento integral ao pleito do autor.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O que acaba por se aplicar a parte ausente na audiência é uma penalidade pelo seu não comparecimento, destoando totalmente a finalidade da previsão legal, que é reconhecer o fato não contestado como incontroverso.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Este posicionamento, que, frisa-se, é adotado por muitos magistrados, decorre da imprecisão legal o artigo 844 da CLT e da Súmula 122 do TST, ambos reflexos da chamada exacerbação do princípio da hipossuficiência do empregado.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 sugestão de alteração legal recai exatamente sobre o artigo e a previsão sumular supracitados, que devem passar a distinguir a revelia da confissão, determinando que mesmo diante da ausência da parte em audiência, estando presente seu advogado com a defesa escrita, esta deverá ser recebida, com todas as provas documentais apensadas.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Assim, apresentada a defesa, os efeitos da revelia estariam inibidos, porém, a confissão quanto a matéria fática, seria aplicada regularmente.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lastRenderedPageBreak/>
        <w:tab/>
        <w:t>Neste passo, todas as questões de direito deverão ser analisadas, levadas em consideração no julgamento da lide, evitando assim arbitrariedades e promoção de injustiças.</w:t>
      </w:r>
    </w:p>
    <w:p w:rsidR="009124C1" w:rsidRDefault="009124C1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t>2.4) OBRIGATORIEDADE DO INTERROGATÓRIO DAS PARTES</w:t>
      </w: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O interrogatório das partes é ato que pode ser determinado de ofício pelo Magistrado, a fim de esclarecer os pontos controvertidos e esclarecer os fatos que estão sendo apresentados, sobre os quais se espera a emissão de um juízo de valor.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Referido ato é previsto no artigo 342 do Código de Processo Civil e se diferencia do depoimento pessoal. A produção deste último ocorre quando uma parte requer a oitiva da outra em audiência, conforme traduz a inteligência do caput do artigo 343 do citado diploma processual.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Note que há uma diferença salutar entre ambos os instituto, interrogatório e depoimento pessoal: enquanto o primeiro visa esclarecer dúvida que mantém o julgador da contenda, que pode o requerer de ofício, o outro é meio de prova que a parte pode se valer para demonstrar que é legítimo o direito buscado.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Na seara trabalhista, tanto o interrogatório quanto o depoimento pessoal encontram guarida no artigo 848 da CLT, cuja inteligência segue:</w:t>
      </w:r>
    </w:p>
    <w:p w:rsidR="00267CB3" w:rsidRPr="008E5ADA" w:rsidRDefault="00267CB3" w:rsidP="00485953">
      <w:pPr>
        <w:spacing w:before="100" w:beforeAutospacing="1" w:after="100" w:afterAutospacing="1" w:line="360" w:lineRule="auto"/>
        <w:ind w:left="3969"/>
        <w:rPr>
          <w:rFonts w:ascii="Arial" w:eastAsia="Times New Roman" w:hAnsi="Arial" w:cs="Arial"/>
          <w:b/>
          <w:i/>
          <w:color w:val="000000" w:themeColor="text1"/>
          <w:sz w:val="24"/>
          <w:szCs w:val="24"/>
        </w:rPr>
      </w:pPr>
      <w:r w:rsidRPr="00485953"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  <w:t xml:space="preserve">Art. 848 - Terminada a defesa, seguir-se-á a instrução do processo, podendo o presidente, </w:t>
      </w:r>
      <w:r w:rsidR="00387661" w:rsidRPr="00485953"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  <w:t>ex-ofício</w:t>
      </w:r>
      <w:r w:rsidRPr="00485953">
        <w:rPr>
          <w:rFonts w:ascii="Arial" w:eastAsia="Times New Roman" w:hAnsi="Arial" w:cs="Arial"/>
          <w:b/>
          <w:i/>
          <w:color w:val="000000" w:themeColor="text1"/>
          <w:sz w:val="20"/>
          <w:szCs w:val="20"/>
        </w:rPr>
        <w:t xml:space="preserve"> ou a requerimento de qualquer juiz temporário, interrogar os litigantes. </w:t>
      </w:r>
      <w:hyperlink r:id="rId9" w:anchor="art848" w:history="1">
        <w:r w:rsidRPr="00485953">
          <w:rPr>
            <w:rStyle w:val="Hyperlink"/>
            <w:rFonts w:ascii="Arial" w:eastAsia="Times New Roman" w:hAnsi="Arial" w:cs="Arial"/>
            <w:b/>
            <w:i/>
            <w:color w:val="000000" w:themeColor="text1"/>
            <w:sz w:val="20"/>
            <w:szCs w:val="20"/>
          </w:rPr>
          <w:t xml:space="preserve">(Redação dada pela Lei nº 9.022, de 5.4.1995) </w:t>
        </w:r>
      </w:hyperlink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Não obstante o artigo supracitado não distinguir expressamente o interrogatório do depoimento pessoal, verifica-se que se diferenciam os institutos implicitamente no caput, ao prever que a determinação da oitiva da parte poderá ser realizada </w:t>
      </w:r>
      <w:r w:rsidR="00387661" w:rsidRPr="008E5ADA">
        <w:rPr>
          <w:rFonts w:ascii="Arial" w:hAnsi="Arial" w:cs="Arial"/>
          <w:i/>
          <w:sz w:val="24"/>
          <w:szCs w:val="24"/>
        </w:rPr>
        <w:t>exof</w:t>
      </w:r>
      <w:r w:rsidR="00DE0315" w:rsidRPr="008E5ADA">
        <w:rPr>
          <w:rFonts w:ascii="Arial" w:hAnsi="Arial" w:cs="Arial"/>
          <w:i/>
          <w:sz w:val="24"/>
          <w:szCs w:val="24"/>
        </w:rPr>
        <w:t>fi</w:t>
      </w:r>
      <w:r w:rsidR="00387661" w:rsidRPr="008E5ADA">
        <w:rPr>
          <w:rFonts w:ascii="Arial" w:hAnsi="Arial" w:cs="Arial"/>
          <w:i/>
          <w:sz w:val="24"/>
          <w:szCs w:val="24"/>
        </w:rPr>
        <w:t>cio</w:t>
      </w:r>
      <w:r w:rsidRPr="008E5ADA">
        <w:rPr>
          <w:rFonts w:ascii="Arial" w:hAnsi="Arial" w:cs="Arial"/>
          <w:sz w:val="24"/>
          <w:szCs w:val="24"/>
        </w:rPr>
        <w:t xml:space="preserve"> ou a requerimento.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lastRenderedPageBreak/>
        <w:tab/>
        <w:t>A incoerência jurídica que se mostra no presente caso, sendo esta objeto da crítica que nesta oportunidade se promove, diz respeito a faculdade do Magistrado de interrogar ou não a parte no momento da audiência.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Isto, pois, a ausência da ouvida daquele que se apresenta à justiça trabalhista para apresentar sua pretensão, fere de morte o princípio da oralidade, base de todo o ordenamento jus laboral.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Note que o interrogatório da parte não é apenas meio de prova, que pode ser exigido ou afastado pela parte (sendo neste caso depoimento pessoal) ou pelo juiz, mas sim a forma mais eficaz de integração da parte ao processo, permitindo, inclusive, uma maior compreensão pelo juiz da controvérsia existente.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 obrigatoriedade de sua oitiva torna o processo menos abstrato, além de se traduzir na verdadeira forma de exercício de cidadania da parte litigante.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Não é raro haver conflito de interesses entre a parte e seu advogado, de modo que a oitiva da primeira e a </w:t>
      </w:r>
      <w:r w:rsidR="00387661" w:rsidRPr="008E5ADA">
        <w:rPr>
          <w:rFonts w:ascii="Arial" w:hAnsi="Arial" w:cs="Arial"/>
          <w:sz w:val="24"/>
          <w:szCs w:val="24"/>
        </w:rPr>
        <w:t>consequente</w:t>
      </w:r>
      <w:r w:rsidRPr="008E5ADA">
        <w:rPr>
          <w:rFonts w:ascii="Arial" w:hAnsi="Arial" w:cs="Arial"/>
          <w:sz w:val="24"/>
          <w:szCs w:val="24"/>
        </w:rPr>
        <w:t xml:space="preserve"> delimitação da lide a partir de seu interrogatório, evita que esta futuramente alegue que foi induzida a erro por seu patrono, ou que este não exerceu seu mister corretamente.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Entretanto, na prática, o que ocorre na maioria das vezes é a dispensa do interrogatório das partes.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Magistrados, com suas pautas de audiências diárias sobrecarregadas, e, valendo-se do manto da celeridade, dispensam o interrogatório da parte e não permitem que sejam requeridos os depoimentos pessoais das mesmas.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Referida conduta corrigirá a incoerência jurídica vigente, pois a legislação exige que o litigante compareça pessoalmente a audiência trabalhista, sob as penas da lei, entretanto, na prática, dispensa-se seu depoimento/interrogatório, como se fosse ato desnecessário para o deslinde processual.</w:t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Desta forma, a sugestão que se apresenta neste ponto é a alteração legislativa no sentido de tornar o interrogatório da parte um ato obrigatório na audiência trabalhista.</w:t>
      </w:r>
    </w:p>
    <w:p w:rsidR="00267CB3" w:rsidRPr="008E5ADA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E5ADA">
        <w:rPr>
          <w:rFonts w:ascii="Arial" w:hAnsi="Arial" w:cs="Arial"/>
          <w:b/>
          <w:sz w:val="24"/>
          <w:szCs w:val="24"/>
        </w:rPr>
        <w:lastRenderedPageBreak/>
        <w:t>3) CONCLUSÃO</w:t>
      </w:r>
    </w:p>
    <w:p w:rsidR="00267CB3" w:rsidRPr="008E5ADA" w:rsidRDefault="00267CB3" w:rsidP="00267CB3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Por fim, é de suma importância deixar às claras que a Justiça do Trabalho em termos de celeridade e efetividade de provimentos, é inúmeras vezes mais eficaz que a justiça comum.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A reforma no processo do trabalho não se pode pautar exclusivamente na normativa processual da Justiça Comum, cuja morosidade é evidente.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>O que se pretende com as propostas ora discutidas é promover correções as impropriedades processuais que são vislumbradas apenas no cotidiano do operador do direito, que desenvolve suas atividades profissionais na justiça do trabalho.</w:t>
      </w:r>
    </w:p>
    <w:p w:rsidR="00267CB3" w:rsidRPr="008E5ADA" w:rsidRDefault="00267CB3" w:rsidP="00267CB3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Tais impropriedades foram ocasionadas pela já citada ausência de procedimento padrão na normativa processual trabalhista, que em decorrência das diversas lacunas existentes, passou a ser organizada de acordo com o procedimento particular de cada Vara do Trabalho, o que trouxe grande insegurança jurídica e a sensação de crescente descredibilidade desta Justiça Especializada, chamada vulgarmente por muitos de “balcão de negócios”. </w:t>
      </w:r>
      <w:r w:rsidRPr="008E5ADA">
        <w:rPr>
          <w:rFonts w:ascii="Arial" w:hAnsi="Arial" w:cs="Arial"/>
          <w:sz w:val="24"/>
          <w:szCs w:val="24"/>
        </w:rPr>
        <w:tab/>
      </w:r>
    </w:p>
    <w:p w:rsidR="00267CB3" w:rsidRPr="008E5ADA" w:rsidRDefault="00267CB3" w:rsidP="00267CB3">
      <w:pPr>
        <w:tabs>
          <w:tab w:val="left" w:pos="1134"/>
        </w:tabs>
        <w:spacing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8E5ADA">
        <w:rPr>
          <w:rFonts w:ascii="Arial" w:hAnsi="Arial" w:cs="Arial"/>
          <w:sz w:val="24"/>
          <w:szCs w:val="24"/>
        </w:rPr>
        <w:tab/>
        <w:t xml:space="preserve">Evidente que há muito que ser aproveitado no sistema vigente, porém, o ideal seria a criação de um código de processo do trabalho, reunido e sistematizado de acordo com princípios próprios do direito laboral, combatendo assim a prática de arbitrariedades e o enfraquecimento </w:t>
      </w:r>
      <w:r w:rsidR="00BE6ACE">
        <w:rPr>
          <w:rFonts w:ascii="Arial" w:hAnsi="Arial" w:cs="Arial"/>
          <w:sz w:val="24"/>
          <w:szCs w:val="24"/>
        </w:rPr>
        <w:t>deste ramo do direito, tão importante para a promoção da justiça social neste país.</w:t>
      </w:r>
    </w:p>
    <w:p w:rsidR="00267CB3" w:rsidRPr="00F1235B" w:rsidRDefault="00267CB3" w:rsidP="00267CB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35B">
        <w:rPr>
          <w:rFonts w:ascii="Arial" w:hAnsi="Arial" w:cs="Arial"/>
          <w:b/>
          <w:sz w:val="24"/>
          <w:szCs w:val="24"/>
        </w:rPr>
        <w:t>4) REFERÊNCIAS BIBLIOGRÁFICAS</w:t>
      </w:r>
    </w:p>
    <w:p w:rsidR="00CB336A" w:rsidRPr="00F1235B" w:rsidRDefault="002E53B7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1235B">
        <w:rPr>
          <w:rFonts w:ascii="Arial" w:hAnsi="Arial" w:cs="Arial"/>
          <w:sz w:val="24"/>
          <w:szCs w:val="24"/>
        </w:rPr>
        <w:t>FELICIANO</w:t>
      </w:r>
      <w:r w:rsidR="00CB336A" w:rsidRPr="00F1235B">
        <w:rPr>
          <w:rFonts w:ascii="Arial" w:hAnsi="Arial" w:cs="Arial"/>
          <w:sz w:val="24"/>
          <w:szCs w:val="24"/>
        </w:rPr>
        <w:t>, G</w:t>
      </w:r>
      <w:r w:rsidR="00911CE7" w:rsidRPr="00F1235B">
        <w:rPr>
          <w:rFonts w:ascii="Arial" w:hAnsi="Arial" w:cs="Arial"/>
          <w:sz w:val="24"/>
          <w:szCs w:val="24"/>
        </w:rPr>
        <w:t xml:space="preserve">uilherme Guimarães; PORTO, Marcos da Silva. </w:t>
      </w:r>
      <w:r w:rsidR="00911CE7" w:rsidRPr="00485953">
        <w:rPr>
          <w:rFonts w:ascii="Arial" w:hAnsi="Arial" w:cs="Arial"/>
          <w:b/>
          <w:sz w:val="24"/>
          <w:szCs w:val="24"/>
        </w:rPr>
        <w:t>Direito do tra</w:t>
      </w:r>
      <w:r w:rsidR="00F1235B" w:rsidRPr="00485953">
        <w:rPr>
          <w:rFonts w:ascii="Arial" w:hAnsi="Arial" w:cs="Arial"/>
          <w:b/>
          <w:sz w:val="24"/>
          <w:szCs w:val="24"/>
        </w:rPr>
        <w:t>balho</w:t>
      </w:r>
      <w:r w:rsidR="00911CE7" w:rsidRPr="00485953">
        <w:rPr>
          <w:rFonts w:ascii="Arial" w:hAnsi="Arial" w:cs="Arial"/>
          <w:b/>
          <w:sz w:val="24"/>
          <w:szCs w:val="24"/>
        </w:rPr>
        <w:t xml:space="preserve"> e </w:t>
      </w:r>
      <w:r w:rsidR="00F1235B" w:rsidRPr="00485953">
        <w:rPr>
          <w:rFonts w:ascii="Arial" w:hAnsi="Arial" w:cs="Arial"/>
          <w:b/>
          <w:sz w:val="24"/>
          <w:szCs w:val="24"/>
        </w:rPr>
        <w:t xml:space="preserve">direitos </w:t>
      </w:r>
      <w:r w:rsidR="00911CE7" w:rsidRPr="00485953">
        <w:rPr>
          <w:rFonts w:ascii="Arial" w:hAnsi="Arial" w:cs="Arial"/>
          <w:b/>
          <w:sz w:val="24"/>
          <w:szCs w:val="24"/>
        </w:rPr>
        <w:t xml:space="preserve">humanos na sociedade pós industrial: a </w:t>
      </w:r>
      <w:r w:rsidR="00F1235B" w:rsidRPr="00485953">
        <w:rPr>
          <w:rFonts w:ascii="Arial" w:hAnsi="Arial" w:cs="Arial"/>
          <w:b/>
          <w:sz w:val="24"/>
          <w:szCs w:val="24"/>
        </w:rPr>
        <w:t>afirmação</w:t>
      </w:r>
      <w:r w:rsidR="00911CE7" w:rsidRPr="00485953">
        <w:rPr>
          <w:rFonts w:ascii="Arial" w:hAnsi="Arial" w:cs="Arial"/>
          <w:b/>
          <w:sz w:val="24"/>
          <w:szCs w:val="24"/>
        </w:rPr>
        <w:t xml:space="preserve"> histórica da dignidade </w:t>
      </w:r>
      <w:r w:rsidR="00F1235B" w:rsidRPr="00485953">
        <w:rPr>
          <w:rFonts w:ascii="Arial" w:hAnsi="Arial" w:cs="Arial"/>
          <w:b/>
          <w:sz w:val="24"/>
          <w:szCs w:val="24"/>
        </w:rPr>
        <w:t>humana nas relações de trabalho</w:t>
      </w:r>
      <w:r w:rsidR="00F1235B" w:rsidRPr="00F1235B">
        <w:rPr>
          <w:rFonts w:ascii="Arial" w:hAnsi="Arial" w:cs="Arial"/>
          <w:sz w:val="24"/>
          <w:szCs w:val="24"/>
        </w:rPr>
        <w:t xml:space="preserve">. In: Revista Anamatra, Brasíia: Anamatra, out 2003, n, 45 </w:t>
      </w:r>
    </w:p>
    <w:p w:rsidR="000E5427" w:rsidRPr="00F1235B" w:rsidRDefault="000E5427" w:rsidP="00387661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CB336A" w:rsidRPr="00F1235B" w:rsidRDefault="00CB336A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235B">
        <w:rPr>
          <w:rFonts w:ascii="Arial" w:hAnsi="Arial" w:cs="Arial"/>
          <w:sz w:val="24"/>
          <w:szCs w:val="24"/>
        </w:rPr>
        <w:t xml:space="preserve">RODRIGUES, M.A. </w:t>
      </w:r>
      <w:r w:rsidRPr="00F1235B">
        <w:rPr>
          <w:rFonts w:ascii="Arial" w:hAnsi="Arial" w:cs="Arial"/>
          <w:b/>
          <w:sz w:val="24"/>
          <w:szCs w:val="24"/>
        </w:rPr>
        <w:t>Elementos e Direito Processual Civil</w:t>
      </w:r>
      <w:r w:rsidRPr="00F1235B">
        <w:rPr>
          <w:rFonts w:ascii="Arial" w:hAnsi="Arial" w:cs="Arial"/>
          <w:sz w:val="24"/>
          <w:szCs w:val="24"/>
        </w:rPr>
        <w:t>. 2ª Ed. São Paulo: Revista dos Tribunais, 2003, v.2.</w:t>
      </w:r>
    </w:p>
    <w:p w:rsidR="000E5427" w:rsidRPr="00F1235B" w:rsidRDefault="000E5427" w:rsidP="0038766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36A" w:rsidRPr="00F1235B" w:rsidRDefault="00F1235B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85953">
        <w:rPr>
          <w:rFonts w:ascii="Arial" w:hAnsi="Arial" w:cs="Arial"/>
          <w:b/>
          <w:sz w:val="24"/>
          <w:szCs w:val="24"/>
        </w:rPr>
        <w:lastRenderedPageBreak/>
        <w:t>Tutela processual dos direitos humanos nas relações de trabalho</w:t>
      </w:r>
      <w:r w:rsidRPr="00F1235B">
        <w:rPr>
          <w:rFonts w:ascii="Arial" w:hAnsi="Arial" w:cs="Arial"/>
          <w:sz w:val="24"/>
          <w:szCs w:val="24"/>
        </w:rPr>
        <w:t xml:space="preserve">. In: </w:t>
      </w:r>
      <w:r>
        <w:rPr>
          <w:rFonts w:ascii="Arial" w:hAnsi="Arial" w:cs="Arial"/>
          <w:sz w:val="24"/>
          <w:szCs w:val="24"/>
        </w:rPr>
        <w:t>R</w:t>
      </w:r>
      <w:r w:rsidRPr="00F1235B">
        <w:rPr>
          <w:rFonts w:ascii="Arial" w:hAnsi="Arial" w:cs="Arial"/>
          <w:sz w:val="24"/>
          <w:szCs w:val="24"/>
        </w:rPr>
        <w:t xml:space="preserve">evista do </w:t>
      </w:r>
      <w:r>
        <w:rPr>
          <w:rFonts w:ascii="Arial" w:hAnsi="Arial" w:cs="Arial"/>
          <w:sz w:val="24"/>
          <w:szCs w:val="24"/>
        </w:rPr>
        <w:t>D</w:t>
      </w:r>
      <w:r w:rsidRPr="00F1235B">
        <w:rPr>
          <w:rFonts w:ascii="Arial" w:hAnsi="Arial" w:cs="Arial"/>
          <w:sz w:val="24"/>
          <w:szCs w:val="24"/>
        </w:rPr>
        <w:t>ireito d</w:t>
      </w:r>
      <w:r>
        <w:rPr>
          <w:rFonts w:ascii="Arial" w:hAnsi="Arial" w:cs="Arial"/>
          <w:sz w:val="24"/>
          <w:szCs w:val="24"/>
        </w:rPr>
        <w:t>o</w:t>
      </w:r>
      <w:r w:rsidRPr="00F1235B">
        <w:rPr>
          <w:rFonts w:ascii="Arial" w:hAnsi="Arial" w:cs="Arial"/>
          <w:sz w:val="24"/>
          <w:szCs w:val="24"/>
        </w:rPr>
        <w:t xml:space="preserve"> Trabalho, São Paulo: Revista dos Tribunais, 2006, v.32, n.121.</w:t>
      </w:r>
    </w:p>
    <w:p w:rsidR="000E5427" w:rsidRPr="00F1235B" w:rsidRDefault="000E5427" w:rsidP="0038766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36A" w:rsidRPr="00F1235B" w:rsidRDefault="00CB336A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235B">
        <w:rPr>
          <w:rFonts w:ascii="Arial" w:hAnsi="Arial" w:cs="Arial"/>
          <w:sz w:val="24"/>
          <w:szCs w:val="24"/>
        </w:rPr>
        <w:t xml:space="preserve">FELICIANO, G. G. </w:t>
      </w:r>
      <w:r w:rsidRPr="00F1235B">
        <w:rPr>
          <w:rFonts w:ascii="Arial" w:hAnsi="Arial" w:cs="Arial"/>
          <w:b/>
          <w:sz w:val="24"/>
          <w:szCs w:val="24"/>
        </w:rPr>
        <w:t>“Ativismo Judicial</w:t>
      </w:r>
      <w:r w:rsidR="004D425C" w:rsidRPr="00F1235B">
        <w:rPr>
          <w:rFonts w:ascii="Arial" w:hAnsi="Arial" w:cs="Arial"/>
          <w:b/>
          <w:sz w:val="24"/>
          <w:szCs w:val="24"/>
        </w:rPr>
        <w:t>” Para Bom Entendedor</w:t>
      </w:r>
      <w:r w:rsidRPr="00F1235B">
        <w:rPr>
          <w:rFonts w:ascii="Arial" w:hAnsi="Arial" w:cs="Arial"/>
          <w:sz w:val="24"/>
          <w:szCs w:val="24"/>
        </w:rPr>
        <w:t>. In: Folha de S. Paulo, São Paulo, 25</w:t>
      </w:r>
      <w:r w:rsidR="004D425C" w:rsidRPr="00F1235B">
        <w:rPr>
          <w:rFonts w:ascii="Arial" w:hAnsi="Arial" w:cs="Arial"/>
          <w:sz w:val="24"/>
          <w:szCs w:val="24"/>
        </w:rPr>
        <w:t xml:space="preserve"> mai.</w:t>
      </w:r>
      <w:r w:rsidRPr="00F1235B">
        <w:rPr>
          <w:rFonts w:ascii="Arial" w:hAnsi="Arial" w:cs="Arial"/>
          <w:sz w:val="24"/>
          <w:szCs w:val="24"/>
        </w:rPr>
        <w:t>2009.</w:t>
      </w:r>
    </w:p>
    <w:p w:rsidR="00953EE7" w:rsidRPr="00F1235B" w:rsidRDefault="00953EE7" w:rsidP="0038766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36A" w:rsidRPr="00F1235B" w:rsidRDefault="00953EE7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235B">
        <w:rPr>
          <w:rFonts w:ascii="Arial" w:hAnsi="Arial" w:cs="Arial"/>
          <w:sz w:val="24"/>
          <w:szCs w:val="24"/>
          <w:shd w:val="clear" w:color="auto" w:fill="FFFFFF"/>
        </w:rPr>
        <w:t>WADIH, H.</w:t>
      </w:r>
      <w:r w:rsidRPr="00F1235B">
        <w:rPr>
          <w:rFonts w:ascii="Arial" w:hAnsi="Arial" w:cs="Arial"/>
          <w:b/>
          <w:sz w:val="24"/>
          <w:szCs w:val="24"/>
          <w:shd w:val="clear" w:color="auto" w:fill="FFFFFF"/>
        </w:rPr>
        <w:t>Audiência Una No Processo Do Trabalho</w:t>
      </w:r>
      <w:r w:rsidRPr="00F1235B">
        <w:rPr>
          <w:rFonts w:ascii="Arial" w:hAnsi="Arial" w:cs="Arial"/>
          <w:sz w:val="24"/>
          <w:szCs w:val="24"/>
        </w:rPr>
        <w:t>. Disponível em &lt;</w:t>
      </w:r>
      <w:hyperlink r:id="rId10" w:history="1">
        <w:r w:rsidR="00CB336A"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http://advocaciatrabalhistapassoapasso.blogspot.com.br/2012/05/audiencia-una-no-processo-do-trabalho.html</w:t>
        </w:r>
      </w:hyperlink>
      <w:r w:rsidRPr="00F1235B">
        <w:rPr>
          <w:rFonts w:ascii="Arial" w:hAnsi="Arial" w:cs="Arial"/>
          <w:sz w:val="24"/>
          <w:szCs w:val="24"/>
        </w:rPr>
        <w:t>&gt; Acesso em 12 jul.2013</w:t>
      </w:r>
    </w:p>
    <w:p w:rsidR="00953EE7" w:rsidRPr="00F1235B" w:rsidRDefault="00953EE7" w:rsidP="0038766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36A" w:rsidRPr="00F1235B" w:rsidRDefault="00953EE7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235B">
        <w:rPr>
          <w:rFonts w:ascii="Arial" w:hAnsi="Arial" w:cs="Arial"/>
          <w:sz w:val="24"/>
          <w:szCs w:val="24"/>
        </w:rPr>
        <w:t>SOUZA</w:t>
      </w:r>
      <w:r w:rsidR="00984575" w:rsidRPr="00F1235B">
        <w:rPr>
          <w:rFonts w:ascii="Arial" w:hAnsi="Arial" w:cs="Arial"/>
          <w:sz w:val="24"/>
          <w:szCs w:val="24"/>
        </w:rPr>
        <w:t>, M.</w:t>
      </w:r>
      <w:r w:rsidRPr="00F1235B">
        <w:rPr>
          <w:rFonts w:ascii="Arial" w:hAnsi="Arial" w:cs="Arial"/>
          <w:sz w:val="24"/>
          <w:szCs w:val="24"/>
        </w:rPr>
        <w:t>A.S.</w:t>
      </w:r>
      <w:r w:rsidRPr="00F1235B">
        <w:rPr>
          <w:rFonts w:ascii="Arial" w:hAnsi="Arial" w:cs="Arial"/>
          <w:b/>
          <w:sz w:val="24"/>
          <w:szCs w:val="24"/>
        </w:rPr>
        <w:t>A Especialização das Varas do Trabalho.</w:t>
      </w:r>
      <w:r w:rsidRPr="00F1235B">
        <w:rPr>
          <w:rFonts w:ascii="Arial" w:hAnsi="Arial" w:cs="Arial"/>
          <w:sz w:val="24"/>
          <w:szCs w:val="24"/>
        </w:rPr>
        <w:t xml:space="preserve"> Disponível em&lt;</w:t>
      </w:r>
      <w:hyperlink r:id="rId11" w:history="1">
        <w:r w:rsidR="00CB336A"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http://www.ambitojuridico.com.br/site/index.php?n_link=revista_artigos_leitura&amp;artigo_id=9028</w:t>
        </w:r>
      </w:hyperlink>
      <w:r w:rsidRPr="00F1235B">
        <w:rPr>
          <w:rFonts w:ascii="Arial" w:hAnsi="Arial" w:cs="Arial"/>
          <w:sz w:val="24"/>
          <w:szCs w:val="24"/>
        </w:rPr>
        <w:t>&gt; Acesso em 10 jul.2013</w:t>
      </w:r>
    </w:p>
    <w:p w:rsidR="00953EE7" w:rsidRPr="00F1235B" w:rsidRDefault="00953EE7" w:rsidP="0038766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84575" w:rsidRPr="00F1235B" w:rsidRDefault="00984575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235B">
        <w:rPr>
          <w:rFonts w:ascii="Arial" w:hAnsi="Arial" w:cs="Arial"/>
          <w:sz w:val="24"/>
          <w:szCs w:val="24"/>
        </w:rPr>
        <w:t xml:space="preserve">MOLINA, André Araújo. </w:t>
      </w:r>
      <w:r w:rsidRPr="00F1235B">
        <w:rPr>
          <w:rFonts w:ascii="Arial" w:hAnsi="Arial" w:cs="Arial"/>
          <w:b/>
          <w:sz w:val="24"/>
          <w:szCs w:val="24"/>
        </w:rPr>
        <w:t>Impugnação ou réplica no processo do trabalho</w:t>
      </w:r>
      <w:r w:rsidRPr="00F1235B">
        <w:rPr>
          <w:rFonts w:ascii="Arial" w:hAnsi="Arial" w:cs="Arial"/>
          <w:sz w:val="24"/>
          <w:szCs w:val="24"/>
        </w:rPr>
        <w:t xml:space="preserve">. </w:t>
      </w:r>
      <w:r w:rsidRPr="00F1235B">
        <w:rPr>
          <w:rStyle w:val="Forte"/>
          <w:rFonts w:ascii="Arial" w:hAnsi="Arial" w:cs="Arial"/>
          <w:b w:val="0"/>
          <w:sz w:val="24"/>
          <w:szCs w:val="24"/>
        </w:rPr>
        <w:t>Jus Navigandi</w:t>
      </w:r>
      <w:r w:rsidRPr="00F1235B">
        <w:rPr>
          <w:rFonts w:ascii="Arial" w:hAnsi="Arial" w:cs="Arial"/>
          <w:sz w:val="24"/>
          <w:szCs w:val="24"/>
        </w:rPr>
        <w:t xml:space="preserve">, Teresina, </w:t>
      </w:r>
      <w:hyperlink r:id="rId12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ano 15</w:t>
        </w:r>
      </w:hyperlink>
      <w:r w:rsidRPr="00F1235B">
        <w:rPr>
          <w:rFonts w:ascii="Arial" w:hAnsi="Arial" w:cs="Arial"/>
          <w:sz w:val="24"/>
          <w:szCs w:val="24"/>
        </w:rPr>
        <w:t xml:space="preserve">, </w:t>
      </w:r>
      <w:hyperlink r:id="rId13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n. 2605</w:t>
        </w:r>
      </w:hyperlink>
      <w:r w:rsidRPr="00F1235B">
        <w:rPr>
          <w:rFonts w:ascii="Arial" w:hAnsi="Arial" w:cs="Arial"/>
          <w:sz w:val="24"/>
          <w:szCs w:val="24"/>
        </w:rPr>
        <w:t xml:space="preserve">, </w:t>
      </w:r>
      <w:hyperlink r:id="rId14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19</w:t>
        </w:r>
      </w:hyperlink>
      <w:hyperlink r:id="rId15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ago.</w:t>
        </w:r>
      </w:hyperlink>
      <w:hyperlink r:id="rId16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2010</w:t>
        </w:r>
      </w:hyperlink>
      <w:r w:rsidRPr="00F1235B">
        <w:rPr>
          <w:rFonts w:ascii="Arial" w:hAnsi="Arial" w:cs="Arial"/>
          <w:sz w:val="24"/>
          <w:szCs w:val="24"/>
        </w:rPr>
        <w:t xml:space="preserve"> . Disponível em: </w:t>
      </w:r>
      <w:r w:rsidRPr="00F1235B">
        <w:rPr>
          <w:rStyle w:val="url1"/>
          <w:rFonts w:ascii="Arial" w:hAnsi="Arial" w:cs="Arial"/>
          <w:color w:val="auto"/>
          <w:sz w:val="24"/>
          <w:szCs w:val="24"/>
        </w:rPr>
        <w:t>&lt;</w:t>
      </w:r>
      <w:hyperlink r:id="rId17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http://jus.com.br/artigos/17219</w:t>
        </w:r>
      </w:hyperlink>
      <w:r w:rsidRPr="00F1235B">
        <w:rPr>
          <w:rStyle w:val="url1"/>
          <w:rFonts w:ascii="Arial" w:hAnsi="Arial" w:cs="Arial"/>
          <w:color w:val="auto"/>
          <w:sz w:val="24"/>
          <w:szCs w:val="24"/>
        </w:rPr>
        <w:t>&gt;</w:t>
      </w:r>
      <w:r w:rsidRPr="00F1235B">
        <w:rPr>
          <w:rFonts w:ascii="Arial" w:hAnsi="Arial" w:cs="Arial"/>
          <w:sz w:val="24"/>
          <w:szCs w:val="24"/>
        </w:rPr>
        <w:t xml:space="preserve">. Acesso em: </w:t>
      </w:r>
      <w:r w:rsidRPr="00F1235B">
        <w:rPr>
          <w:rStyle w:val="timeaccess"/>
          <w:rFonts w:ascii="Arial" w:hAnsi="Arial" w:cs="Arial"/>
          <w:sz w:val="24"/>
          <w:szCs w:val="24"/>
        </w:rPr>
        <w:t>22 ago. 2013</w:t>
      </w:r>
      <w:r w:rsidRPr="00F1235B">
        <w:rPr>
          <w:rFonts w:ascii="Arial" w:hAnsi="Arial" w:cs="Arial"/>
          <w:sz w:val="24"/>
          <w:szCs w:val="24"/>
        </w:rPr>
        <w:t>.</w:t>
      </w:r>
      <w:r w:rsidRPr="00F1235B">
        <w:rPr>
          <w:rFonts w:ascii="Arial" w:hAnsi="Arial" w:cs="Arial"/>
          <w:sz w:val="24"/>
          <w:szCs w:val="24"/>
        </w:rPr>
        <w:br/>
      </w:r>
    </w:p>
    <w:p w:rsidR="00984575" w:rsidRPr="00F1235B" w:rsidRDefault="00984575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235B">
        <w:rPr>
          <w:rFonts w:ascii="Arial" w:hAnsi="Arial" w:cs="Arial"/>
          <w:sz w:val="24"/>
          <w:szCs w:val="24"/>
        </w:rPr>
        <w:t xml:space="preserve">MOTA, Marcílio Florêncio. </w:t>
      </w:r>
      <w:r w:rsidRPr="00F1235B">
        <w:rPr>
          <w:rFonts w:ascii="Arial" w:hAnsi="Arial" w:cs="Arial"/>
          <w:b/>
          <w:sz w:val="24"/>
          <w:szCs w:val="24"/>
        </w:rPr>
        <w:t>A aplicação subsidiária da legislação comum na execução trabalhista, a jornada sobre a execução no processo do trabalho e o anteprojeto do TST que altera a execução trabalhista</w:t>
      </w:r>
      <w:r w:rsidRPr="00F1235B">
        <w:rPr>
          <w:rFonts w:ascii="Arial" w:hAnsi="Arial" w:cs="Arial"/>
          <w:sz w:val="24"/>
          <w:szCs w:val="24"/>
        </w:rPr>
        <w:t xml:space="preserve">. </w:t>
      </w:r>
      <w:r w:rsidRPr="00F1235B">
        <w:rPr>
          <w:rStyle w:val="Forte"/>
          <w:rFonts w:ascii="Arial" w:hAnsi="Arial" w:cs="Arial"/>
          <w:b w:val="0"/>
          <w:sz w:val="24"/>
          <w:szCs w:val="24"/>
        </w:rPr>
        <w:t>Jus Navigandi</w:t>
      </w:r>
      <w:r w:rsidRPr="00F1235B">
        <w:rPr>
          <w:rFonts w:ascii="Arial" w:hAnsi="Arial" w:cs="Arial"/>
          <w:sz w:val="24"/>
          <w:szCs w:val="24"/>
        </w:rPr>
        <w:t xml:space="preserve">, Teresina, </w:t>
      </w:r>
      <w:hyperlink r:id="rId18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ano 16</w:t>
        </w:r>
      </w:hyperlink>
      <w:r w:rsidRPr="00F1235B">
        <w:rPr>
          <w:rFonts w:ascii="Arial" w:hAnsi="Arial" w:cs="Arial"/>
          <w:sz w:val="24"/>
          <w:szCs w:val="24"/>
        </w:rPr>
        <w:t xml:space="preserve">, </w:t>
      </w:r>
      <w:hyperlink r:id="rId19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n. 3023</w:t>
        </w:r>
      </w:hyperlink>
      <w:r w:rsidRPr="00F1235B">
        <w:rPr>
          <w:rFonts w:ascii="Arial" w:hAnsi="Arial" w:cs="Arial"/>
          <w:sz w:val="24"/>
          <w:szCs w:val="24"/>
        </w:rPr>
        <w:t xml:space="preserve">, </w:t>
      </w:r>
      <w:hyperlink r:id="rId20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11</w:t>
        </w:r>
      </w:hyperlink>
      <w:hyperlink r:id="rId21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out.</w:t>
        </w:r>
      </w:hyperlink>
      <w:hyperlink r:id="rId22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2011</w:t>
        </w:r>
      </w:hyperlink>
      <w:r w:rsidRPr="00F1235B">
        <w:rPr>
          <w:rFonts w:ascii="Arial" w:hAnsi="Arial" w:cs="Arial"/>
          <w:sz w:val="24"/>
          <w:szCs w:val="24"/>
        </w:rPr>
        <w:t xml:space="preserve"> . Disponível em: </w:t>
      </w:r>
      <w:r w:rsidRPr="00F1235B">
        <w:rPr>
          <w:rStyle w:val="url1"/>
          <w:rFonts w:ascii="Arial" w:hAnsi="Arial" w:cs="Arial"/>
          <w:color w:val="auto"/>
          <w:sz w:val="24"/>
          <w:szCs w:val="24"/>
        </w:rPr>
        <w:t>&lt;</w:t>
      </w:r>
      <w:hyperlink r:id="rId23" w:history="1">
        <w:r w:rsidRPr="00F1235B">
          <w:rPr>
            <w:rStyle w:val="Hyperlink"/>
            <w:rFonts w:ascii="Arial" w:hAnsi="Arial" w:cs="Arial"/>
            <w:color w:val="auto"/>
            <w:sz w:val="24"/>
            <w:szCs w:val="24"/>
          </w:rPr>
          <w:t>http://jus.com.br/artigos/20187</w:t>
        </w:r>
      </w:hyperlink>
      <w:r w:rsidRPr="00F1235B">
        <w:rPr>
          <w:rStyle w:val="url1"/>
          <w:rFonts w:ascii="Arial" w:hAnsi="Arial" w:cs="Arial"/>
          <w:color w:val="auto"/>
          <w:sz w:val="24"/>
          <w:szCs w:val="24"/>
        </w:rPr>
        <w:t>&gt;</w:t>
      </w:r>
      <w:r w:rsidRPr="00F1235B">
        <w:rPr>
          <w:rFonts w:ascii="Arial" w:hAnsi="Arial" w:cs="Arial"/>
          <w:sz w:val="24"/>
          <w:szCs w:val="24"/>
        </w:rPr>
        <w:t xml:space="preserve">. Acesso em: </w:t>
      </w:r>
      <w:r w:rsidRPr="00F1235B">
        <w:rPr>
          <w:rStyle w:val="timeaccess"/>
          <w:rFonts w:ascii="Arial" w:hAnsi="Arial" w:cs="Arial"/>
          <w:sz w:val="24"/>
          <w:szCs w:val="24"/>
        </w:rPr>
        <w:t>22 ago. 2013</w:t>
      </w:r>
      <w:r w:rsidRPr="00F1235B">
        <w:rPr>
          <w:rFonts w:ascii="Arial" w:hAnsi="Arial" w:cs="Arial"/>
          <w:sz w:val="24"/>
          <w:szCs w:val="24"/>
        </w:rPr>
        <w:t>.</w:t>
      </w:r>
    </w:p>
    <w:p w:rsidR="00953EE7" w:rsidRPr="00F1235B" w:rsidRDefault="00953EE7" w:rsidP="0038766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B336A" w:rsidRPr="00F1235B" w:rsidRDefault="00CB336A" w:rsidP="0038766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1235B">
        <w:rPr>
          <w:rFonts w:ascii="Arial" w:hAnsi="Arial" w:cs="Arial"/>
          <w:sz w:val="24"/>
          <w:szCs w:val="24"/>
        </w:rPr>
        <w:t>NASSIF, E</w:t>
      </w:r>
      <w:r w:rsidR="00985F1D" w:rsidRPr="00F1235B">
        <w:rPr>
          <w:rFonts w:ascii="Arial" w:hAnsi="Arial" w:cs="Arial"/>
          <w:sz w:val="24"/>
          <w:szCs w:val="24"/>
        </w:rPr>
        <w:t>.</w:t>
      </w:r>
      <w:r w:rsidRPr="00F1235B">
        <w:rPr>
          <w:rFonts w:ascii="Arial" w:hAnsi="Arial" w:cs="Arial"/>
          <w:b/>
          <w:sz w:val="24"/>
          <w:szCs w:val="24"/>
        </w:rPr>
        <w:t xml:space="preserve">Fundamentos </w:t>
      </w:r>
      <w:r w:rsidR="00985F1D" w:rsidRPr="00F1235B">
        <w:rPr>
          <w:rFonts w:ascii="Arial" w:hAnsi="Arial" w:cs="Arial"/>
          <w:b/>
          <w:sz w:val="24"/>
          <w:szCs w:val="24"/>
        </w:rPr>
        <w:t xml:space="preserve">Da </w:t>
      </w:r>
      <w:r w:rsidRPr="00F1235B">
        <w:rPr>
          <w:rFonts w:ascii="Arial" w:hAnsi="Arial" w:cs="Arial"/>
          <w:b/>
          <w:sz w:val="24"/>
          <w:szCs w:val="24"/>
        </w:rPr>
        <w:t>Flexibilização</w:t>
      </w:r>
      <w:r w:rsidR="00985F1D" w:rsidRPr="00F1235B">
        <w:rPr>
          <w:rFonts w:ascii="Arial" w:hAnsi="Arial" w:cs="Arial"/>
          <w:b/>
          <w:sz w:val="24"/>
          <w:szCs w:val="24"/>
        </w:rPr>
        <w:t>: Uma Análise De Paradigma E Paradoxos Do Direito E Do Processo Do Trabalho</w:t>
      </w:r>
      <w:r w:rsidRPr="00F1235B">
        <w:rPr>
          <w:rFonts w:ascii="Arial" w:hAnsi="Arial" w:cs="Arial"/>
          <w:sz w:val="24"/>
          <w:szCs w:val="24"/>
        </w:rPr>
        <w:t>. São Paulo. Ltr, 2001.</w:t>
      </w:r>
    </w:p>
    <w:p w:rsidR="00953EE7" w:rsidRPr="00F1235B" w:rsidRDefault="00953EE7" w:rsidP="00387661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87661" w:rsidRPr="00F1235B" w:rsidRDefault="00985F1D" w:rsidP="009124C1">
      <w:pPr>
        <w:pStyle w:val="PargrafodaLista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124C1">
        <w:rPr>
          <w:rFonts w:ascii="Arial" w:hAnsi="Arial" w:cs="Arial"/>
          <w:sz w:val="24"/>
          <w:szCs w:val="24"/>
        </w:rPr>
        <w:t>OLIVEIRA, T</w:t>
      </w:r>
      <w:r w:rsidR="00953EE7" w:rsidRPr="009124C1">
        <w:rPr>
          <w:rFonts w:ascii="Arial" w:hAnsi="Arial" w:cs="Arial"/>
          <w:sz w:val="24"/>
          <w:szCs w:val="24"/>
        </w:rPr>
        <w:t>.</w:t>
      </w:r>
      <w:r w:rsidRPr="009124C1">
        <w:rPr>
          <w:rFonts w:ascii="Arial" w:hAnsi="Arial" w:cs="Arial"/>
          <w:sz w:val="24"/>
          <w:szCs w:val="24"/>
        </w:rPr>
        <w:t xml:space="preserve"> L. </w:t>
      </w:r>
      <w:r w:rsidRPr="009124C1">
        <w:rPr>
          <w:rFonts w:ascii="Arial" w:hAnsi="Arial" w:cs="Arial"/>
          <w:b/>
          <w:sz w:val="24"/>
          <w:szCs w:val="24"/>
        </w:rPr>
        <w:t>A revelia na Justiça do Trabalho. Análise do conceito de revelia e da ampla defesa na aplicação da Súmula nº 122 do TST</w:t>
      </w:r>
      <w:r w:rsidRPr="009124C1">
        <w:rPr>
          <w:rFonts w:ascii="Arial" w:hAnsi="Arial" w:cs="Arial"/>
          <w:sz w:val="24"/>
          <w:szCs w:val="24"/>
        </w:rPr>
        <w:t xml:space="preserve">. </w:t>
      </w:r>
      <w:r w:rsidRPr="009124C1">
        <w:rPr>
          <w:rStyle w:val="Forte"/>
          <w:rFonts w:ascii="Arial" w:hAnsi="Arial" w:cs="Arial"/>
          <w:b w:val="0"/>
          <w:sz w:val="24"/>
          <w:szCs w:val="24"/>
        </w:rPr>
        <w:t>Jus Navigandi</w:t>
      </w:r>
      <w:r w:rsidRPr="009124C1">
        <w:rPr>
          <w:rFonts w:ascii="Arial" w:hAnsi="Arial" w:cs="Arial"/>
          <w:sz w:val="24"/>
          <w:szCs w:val="24"/>
        </w:rPr>
        <w:t xml:space="preserve">, Teresina, </w:t>
      </w:r>
      <w:hyperlink r:id="rId24" w:history="1">
        <w:r w:rsidRPr="009124C1">
          <w:rPr>
            <w:rStyle w:val="Hyperlink"/>
            <w:rFonts w:ascii="Arial" w:hAnsi="Arial" w:cs="Arial"/>
            <w:color w:val="auto"/>
            <w:sz w:val="24"/>
            <w:szCs w:val="24"/>
          </w:rPr>
          <w:t>ano 14</w:t>
        </w:r>
      </w:hyperlink>
      <w:r w:rsidRPr="009124C1">
        <w:rPr>
          <w:rFonts w:ascii="Arial" w:hAnsi="Arial" w:cs="Arial"/>
          <w:sz w:val="24"/>
          <w:szCs w:val="24"/>
        </w:rPr>
        <w:t xml:space="preserve">, </w:t>
      </w:r>
      <w:hyperlink r:id="rId25" w:history="1">
        <w:r w:rsidRPr="009124C1">
          <w:rPr>
            <w:rStyle w:val="Hyperlink"/>
            <w:rFonts w:ascii="Arial" w:hAnsi="Arial" w:cs="Arial"/>
            <w:color w:val="auto"/>
            <w:sz w:val="24"/>
            <w:szCs w:val="24"/>
          </w:rPr>
          <w:t>n. 2083</w:t>
        </w:r>
      </w:hyperlink>
      <w:r w:rsidRPr="009124C1">
        <w:rPr>
          <w:rFonts w:ascii="Arial" w:hAnsi="Arial" w:cs="Arial"/>
          <w:sz w:val="24"/>
          <w:szCs w:val="24"/>
        </w:rPr>
        <w:t xml:space="preserve">, </w:t>
      </w:r>
      <w:hyperlink r:id="rId26" w:history="1">
        <w:r w:rsidRPr="009124C1">
          <w:rPr>
            <w:rStyle w:val="Hyperlink"/>
            <w:rFonts w:ascii="Arial" w:hAnsi="Arial" w:cs="Arial"/>
            <w:color w:val="auto"/>
            <w:sz w:val="24"/>
            <w:szCs w:val="24"/>
          </w:rPr>
          <w:t>15</w:t>
        </w:r>
      </w:hyperlink>
      <w:hyperlink r:id="rId27" w:history="1">
        <w:r w:rsidRPr="009124C1">
          <w:rPr>
            <w:rStyle w:val="Hyperlink"/>
            <w:rFonts w:ascii="Arial" w:hAnsi="Arial" w:cs="Arial"/>
            <w:color w:val="auto"/>
            <w:sz w:val="24"/>
            <w:szCs w:val="24"/>
          </w:rPr>
          <w:t>mar.</w:t>
        </w:r>
      </w:hyperlink>
      <w:hyperlink r:id="rId28" w:history="1">
        <w:r w:rsidRPr="009124C1">
          <w:rPr>
            <w:rStyle w:val="Hyperlink"/>
            <w:rFonts w:ascii="Arial" w:hAnsi="Arial" w:cs="Arial"/>
            <w:color w:val="auto"/>
            <w:sz w:val="24"/>
            <w:szCs w:val="24"/>
          </w:rPr>
          <w:t>2009</w:t>
        </w:r>
      </w:hyperlink>
      <w:r w:rsidRPr="009124C1">
        <w:rPr>
          <w:rFonts w:ascii="Arial" w:hAnsi="Arial" w:cs="Arial"/>
          <w:sz w:val="24"/>
          <w:szCs w:val="24"/>
        </w:rPr>
        <w:t xml:space="preserve"> . Disponível em: </w:t>
      </w:r>
      <w:r w:rsidRPr="009124C1">
        <w:rPr>
          <w:rStyle w:val="url1"/>
          <w:rFonts w:ascii="Arial" w:hAnsi="Arial" w:cs="Arial"/>
          <w:color w:val="auto"/>
          <w:sz w:val="24"/>
          <w:szCs w:val="24"/>
        </w:rPr>
        <w:t>&lt;</w:t>
      </w:r>
      <w:hyperlink r:id="rId29" w:history="1">
        <w:r w:rsidRPr="009124C1">
          <w:rPr>
            <w:rStyle w:val="Hyperlink"/>
            <w:rFonts w:ascii="Arial" w:hAnsi="Arial" w:cs="Arial"/>
            <w:color w:val="auto"/>
            <w:sz w:val="24"/>
            <w:szCs w:val="24"/>
          </w:rPr>
          <w:t>http://jus.com.br/artigos/12403</w:t>
        </w:r>
      </w:hyperlink>
      <w:r w:rsidRPr="009124C1">
        <w:rPr>
          <w:rStyle w:val="url1"/>
          <w:rFonts w:ascii="Arial" w:hAnsi="Arial" w:cs="Arial"/>
          <w:color w:val="auto"/>
          <w:sz w:val="24"/>
          <w:szCs w:val="24"/>
        </w:rPr>
        <w:t>&gt;</w:t>
      </w:r>
      <w:r w:rsidRPr="009124C1">
        <w:rPr>
          <w:rFonts w:ascii="Arial" w:hAnsi="Arial" w:cs="Arial"/>
          <w:sz w:val="24"/>
          <w:szCs w:val="24"/>
        </w:rPr>
        <w:t xml:space="preserve">. Acesso em: </w:t>
      </w:r>
      <w:r w:rsidRPr="009124C1">
        <w:rPr>
          <w:rStyle w:val="timeaccess"/>
          <w:rFonts w:ascii="Arial" w:hAnsi="Arial" w:cs="Arial"/>
          <w:sz w:val="24"/>
          <w:szCs w:val="24"/>
        </w:rPr>
        <w:t>22 ago. 2013</w:t>
      </w:r>
      <w:r w:rsidRPr="009124C1">
        <w:rPr>
          <w:rFonts w:ascii="Arial" w:hAnsi="Arial" w:cs="Arial"/>
          <w:sz w:val="24"/>
          <w:szCs w:val="24"/>
        </w:rPr>
        <w:t>.</w:t>
      </w:r>
    </w:p>
    <w:sectPr w:rsidR="00387661" w:rsidRPr="00F1235B" w:rsidSect="002C5936">
      <w:headerReference w:type="default" r:id="rId3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8C" w:rsidRDefault="0001128C" w:rsidP="00267CB3">
      <w:pPr>
        <w:spacing w:after="0" w:line="240" w:lineRule="auto"/>
      </w:pPr>
      <w:r>
        <w:separator/>
      </w:r>
    </w:p>
  </w:endnote>
  <w:endnote w:type="continuationSeparator" w:id="0">
    <w:p w:rsidR="0001128C" w:rsidRDefault="0001128C" w:rsidP="0026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8C" w:rsidRDefault="0001128C" w:rsidP="00267CB3">
      <w:pPr>
        <w:spacing w:after="0" w:line="240" w:lineRule="auto"/>
      </w:pPr>
      <w:r>
        <w:separator/>
      </w:r>
    </w:p>
  </w:footnote>
  <w:footnote w:type="continuationSeparator" w:id="0">
    <w:p w:rsidR="0001128C" w:rsidRDefault="0001128C" w:rsidP="0026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0018"/>
      <w:docPartObj>
        <w:docPartGallery w:val="Page Numbers (Top of Page)"/>
        <w:docPartUnique/>
      </w:docPartObj>
    </w:sdtPr>
    <w:sdtEndPr/>
    <w:sdtContent>
      <w:p w:rsidR="00911CE7" w:rsidRDefault="003559A3">
        <w:pPr>
          <w:pStyle w:val="Cabealho"/>
          <w:jc w:val="right"/>
        </w:pPr>
      </w:p>
    </w:sdtContent>
  </w:sdt>
  <w:p w:rsidR="00911CE7" w:rsidRDefault="00911CE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1CE7" w:rsidRDefault="00A03A35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59A3">
      <w:rPr>
        <w:noProof/>
      </w:rPr>
      <w:t>16</w:t>
    </w:r>
    <w:r>
      <w:rPr>
        <w:noProof/>
      </w:rPr>
      <w:fldChar w:fldCharType="end"/>
    </w:r>
  </w:p>
  <w:p w:rsidR="00911CE7" w:rsidRDefault="00911CE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1D07"/>
    <w:multiLevelType w:val="hybridMultilevel"/>
    <w:tmpl w:val="A29CDD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45928"/>
    <w:multiLevelType w:val="hybridMultilevel"/>
    <w:tmpl w:val="B8D66198"/>
    <w:lvl w:ilvl="0" w:tplc="59101C9E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16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6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CB3"/>
    <w:rsid w:val="00002AA6"/>
    <w:rsid w:val="0001128C"/>
    <w:rsid w:val="00036110"/>
    <w:rsid w:val="000C3D6C"/>
    <w:rsid w:val="000E5427"/>
    <w:rsid w:val="001A221A"/>
    <w:rsid w:val="00267CB3"/>
    <w:rsid w:val="002C5936"/>
    <w:rsid w:val="002E53B7"/>
    <w:rsid w:val="00334C7C"/>
    <w:rsid w:val="003559A3"/>
    <w:rsid w:val="00387661"/>
    <w:rsid w:val="003C21A6"/>
    <w:rsid w:val="00485953"/>
    <w:rsid w:val="004D425C"/>
    <w:rsid w:val="004E6A69"/>
    <w:rsid w:val="00513B1A"/>
    <w:rsid w:val="0054518C"/>
    <w:rsid w:val="00585155"/>
    <w:rsid w:val="00670AC9"/>
    <w:rsid w:val="006B27DD"/>
    <w:rsid w:val="006F5E98"/>
    <w:rsid w:val="00754F18"/>
    <w:rsid w:val="007633D1"/>
    <w:rsid w:val="007C7C15"/>
    <w:rsid w:val="007E28EE"/>
    <w:rsid w:val="00845A5E"/>
    <w:rsid w:val="008E5ADA"/>
    <w:rsid w:val="008F6C56"/>
    <w:rsid w:val="00911CE7"/>
    <w:rsid w:val="009124C1"/>
    <w:rsid w:val="009310E1"/>
    <w:rsid w:val="00953EE7"/>
    <w:rsid w:val="00961C22"/>
    <w:rsid w:val="00983210"/>
    <w:rsid w:val="00984575"/>
    <w:rsid w:val="00985F1D"/>
    <w:rsid w:val="009D7332"/>
    <w:rsid w:val="00A03A35"/>
    <w:rsid w:val="00A056FA"/>
    <w:rsid w:val="00A56A12"/>
    <w:rsid w:val="00A64020"/>
    <w:rsid w:val="00A64C47"/>
    <w:rsid w:val="00A81B13"/>
    <w:rsid w:val="00A834C9"/>
    <w:rsid w:val="00B2227B"/>
    <w:rsid w:val="00BA0F6E"/>
    <w:rsid w:val="00BE6ACE"/>
    <w:rsid w:val="00C100E7"/>
    <w:rsid w:val="00C46EED"/>
    <w:rsid w:val="00C8183C"/>
    <w:rsid w:val="00C91B93"/>
    <w:rsid w:val="00CB336A"/>
    <w:rsid w:val="00D30D78"/>
    <w:rsid w:val="00DE0315"/>
    <w:rsid w:val="00E144ED"/>
    <w:rsid w:val="00E15675"/>
    <w:rsid w:val="00E24457"/>
    <w:rsid w:val="00F1235B"/>
    <w:rsid w:val="00F21536"/>
    <w:rsid w:val="00F37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6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7CB3"/>
  </w:style>
  <w:style w:type="paragraph" w:styleId="PargrafodaLista">
    <w:name w:val="List Paragraph"/>
    <w:basedOn w:val="Normal"/>
    <w:uiPriority w:val="34"/>
    <w:qFormat/>
    <w:rsid w:val="00267CB3"/>
    <w:pPr>
      <w:ind w:left="720"/>
      <w:contextualSpacing/>
    </w:pPr>
  </w:style>
  <w:style w:type="paragraph" w:customStyle="1" w:styleId="Default">
    <w:name w:val="Default"/>
    <w:rsid w:val="00267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67CB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CB3"/>
  </w:style>
  <w:style w:type="character" w:styleId="Forte">
    <w:name w:val="Strong"/>
    <w:basedOn w:val="Fontepargpadro"/>
    <w:uiPriority w:val="22"/>
    <w:qFormat/>
    <w:rsid w:val="00985F1D"/>
    <w:rPr>
      <w:b/>
      <w:bCs/>
    </w:rPr>
  </w:style>
  <w:style w:type="character" w:customStyle="1" w:styleId="url1">
    <w:name w:val="url1"/>
    <w:basedOn w:val="Fontepargpadro"/>
    <w:rsid w:val="00985F1D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985F1D"/>
  </w:style>
  <w:style w:type="paragraph" w:customStyle="1" w:styleId="Texto">
    <w:name w:val="Texto"/>
    <w:basedOn w:val="Normal"/>
    <w:next w:val="Normal"/>
    <w:link w:val="TextoChar"/>
    <w:rsid w:val="009310E1"/>
    <w:pPr>
      <w:widowControl w:val="0"/>
      <w:autoSpaceDE w:val="0"/>
      <w:autoSpaceDN w:val="0"/>
      <w:adjustRightInd w:val="0"/>
      <w:spacing w:after="170" w:line="288" w:lineRule="auto"/>
      <w:ind w:firstLine="340"/>
      <w:jc w:val="both"/>
      <w:textAlignment w:val="center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TextoChar">
    <w:name w:val="Texto Char"/>
    <w:basedOn w:val="Fontepargpadro"/>
    <w:link w:val="Texto"/>
    <w:rsid w:val="009310E1"/>
    <w:rPr>
      <w:rFonts w:ascii="Times New Roman" w:eastAsia="Times New Roman" w:hAnsi="Times New Roman" w:cs="Times New Roman"/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6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67CB3"/>
  </w:style>
  <w:style w:type="paragraph" w:styleId="PargrafodaLista">
    <w:name w:val="List Paragraph"/>
    <w:basedOn w:val="Normal"/>
    <w:uiPriority w:val="34"/>
    <w:qFormat/>
    <w:rsid w:val="00267CB3"/>
    <w:pPr>
      <w:ind w:left="720"/>
      <w:contextualSpacing/>
    </w:pPr>
  </w:style>
  <w:style w:type="paragraph" w:customStyle="1" w:styleId="Default">
    <w:name w:val="Default"/>
    <w:rsid w:val="00267C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267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67CB3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67C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7CB3"/>
  </w:style>
  <w:style w:type="character" w:styleId="Forte">
    <w:name w:val="Strong"/>
    <w:basedOn w:val="Fontepargpadro"/>
    <w:uiPriority w:val="22"/>
    <w:qFormat/>
    <w:rsid w:val="00985F1D"/>
    <w:rPr>
      <w:b/>
      <w:bCs/>
    </w:rPr>
  </w:style>
  <w:style w:type="character" w:customStyle="1" w:styleId="url1">
    <w:name w:val="url1"/>
    <w:basedOn w:val="Fontepargpadro"/>
    <w:rsid w:val="00985F1D"/>
    <w:rPr>
      <w:strike w:val="0"/>
      <w:dstrike w:val="0"/>
      <w:color w:val="0746A8"/>
      <w:u w:val="none"/>
      <w:effect w:val="none"/>
    </w:rPr>
  </w:style>
  <w:style w:type="character" w:customStyle="1" w:styleId="timeaccess">
    <w:name w:val="timeaccess"/>
    <w:basedOn w:val="Fontepargpadro"/>
    <w:rsid w:val="00985F1D"/>
  </w:style>
  <w:style w:type="paragraph" w:customStyle="1" w:styleId="Texto">
    <w:name w:val="Texto"/>
    <w:basedOn w:val="Normal"/>
    <w:next w:val="Normal"/>
    <w:link w:val="TextoChar"/>
    <w:rsid w:val="009310E1"/>
    <w:pPr>
      <w:widowControl w:val="0"/>
      <w:autoSpaceDE w:val="0"/>
      <w:autoSpaceDN w:val="0"/>
      <w:adjustRightInd w:val="0"/>
      <w:spacing w:after="170" w:line="288" w:lineRule="auto"/>
      <w:ind w:firstLine="340"/>
      <w:jc w:val="both"/>
      <w:textAlignment w:val="center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TextoChar">
    <w:name w:val="Texto Char"/>
    <w:basedOn w:val="Fontepargpadro"/>
    <w:link w:val="Texto"/>
    <w:rsid w:val="009310E1"/>
    <w:rPr>
      <w:rFonts w:ascii="Times New Roman" w:eastAsia="Times New Roman" w:hAnsi="Times New Roman" w:cs="Times New Roman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jus.com.br/revista/edicoes/2010/8/19" TargetMode="External"/><Relationship Id="rId18" Type="http://schemas.openxmlformats.org/officeDocument/2006/relationships/hyperlink" Target="http://jus.com.br/revista/edicoes/2011" TargetMode="External"/><Relationship Id="rId26" Type="http://schemas.openxmlformats.org/officeDocument/2006/relationships/hyperlink" Target="http://jus.com.br/revista/edicoes/2009/3/1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jus.com.br/revista/edicoes/2011/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jus.com.br/revista/edicoes/2010" TargetMode="External"/><Relationship Id="rId17" Type="http://schemas.openxmlformats.org/officeDocument/2006/relationships/hyperlink" Target="http://jus.com.br/artigos/17219/impugnacao-ou-replica-no-processo-do-trabalho" TargetMode="External"/><Relationship Id="rId25" Type="http://schemas.openxmlformats.org/officeDocument/2006/relationships/hyperlink" Target="http://jus.com.br/revista/edicoes/2009/3/15" TargetMode="External"/><Relationship Id="rId2" Type="http://schemas.openxmlformats.org/officeDocument/2006/relationships/styles" Target="styles.xml"/><Relationship Id="rId16" Type="http://schemas.openxmlformats.org/officeDocument/2006/relationships/hyperlink" Target="http://jus.com.br/revista/edicoes/2010" TargetMode="External"/><Relationship Id="rId20" Type="http://schemas.openxmlformats.org/officeDocument/2006/relationships/hyperlink" Target="http://jus.com.br/revista/edicoes/2011/10/11" TargetMode="External"/><Relationship Id="rId29" Type="http://schemas.openxmlformats.org/officeDocument/2006/relationships/hyperlink" Target="http://jus.com.br/artigos/12403/a-revelia-na-justica-do-trabalh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mbitojuridico.com.br/site/index.php?n_link=revista_artigos_leitura&amp;artigo_id=9028" TargetMode="External"/><Relationship Id="rId24" Type="http://schemas.openxmlformats.org/officeDocument/2006/relationships/hyperlink" Target="http://jus.com.br/revista/edicoes/2009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jus.com.br/revista/edicoes/2010/8" TargetMode="External"/><Relationship Id="rId23" Type="http://schemas.openxmlformats.org/officeDocument/2006/relationships/hyperlink" Target="http://jus.com.br/artigos/20187/a-aplicacao-subsidiaria-da-legislacao-comum-na-execucao-trabalhista-a-jornada-sobre-a-execucao-no-processo-do-trabalho-e-o-anteprojeto-do-tst-que-altera-a-execucao-trabalhista" TargetMode="External"/><Relationship Id="rId28" Type="http://schemas.openxmlformats.org/officeDocument/2006/relationships/hyperlink" Target="http://jus.com.br/revista/edicoes/2009" TargetMode="External"/><Relationship Id="rId10" Type="http://schemas.openxmlformats.org/officeDocument/2006/relationships/hyperlink" Target="http://advocaciatrabalhistapassoapasso.blogspot.com.br/2012/05/audiencia-una-no-processo-do-trabalho.html" TargetMode="External"/><Relationship Id="rId19" Type="http://schemas.openxmlformats.org/officeDocument/2006/relationships/hyperlink" Target="http://jus.com.br/revista/edicoes/2011/10/11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lanalto.gov.br/ccivil_03/LEIS/L9022.htm" TargetMode="External"/><Relationship Id="rId14" Type="http://schemas.openxmlformats.org/officeDocument/2006/relationships/hyperlink" Target="http://jus.com.br/revista/edicoes/2010/8/19" TargetMode="External"/><Relationship Id="rId22" Type="http://schemas.openxmlformats.org/officeDocument/2006/relationships/hyperlink" Target="http://jus.com.br/revista/edicoes/2011" TargetMode="External"/><Relationship Id="rId27" Type="http://schemas.openxmlformats.org/officeDocument/2006/relationships/hyperlink" Target="http://jus.com.br/revista/edicoes/2009/3" TargetMode="External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4448</Words>
  <Characters>24021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Rodrigo Brisolla Polatto Silva</cp:lastModifiedBy>
  <cp:revision>5</cp:revision>
  <cp:lastPrinted>2013-08-23T01:57:00Z</cp:lastPrinted>
  <dcterms:created xsi:type="dcterms:W3CDTF">2015-05-19T18:50:00Z</dcterms:created>
  <dcterms:modified xsi:type="dcterms:W3CDTF">2015-05-20T10:51:00Z</dcterms:modified>
</cp:coreProperties>
</file>