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C1" w:rsidRPr="00C14A0F" w:rsidRDefault="0004723F" w:rsidP="006174C1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4723F">
        <w:rPr>
          <w:rFonts w:ascii="Times New Roman" w:hAnsi="Times New Roman"/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4.5pt;margin-top:-61.6pt;width:31.45pt;height:36.65pt;z-index:251658240;mso-width-relative:margin;mso-height-relative:margin" stroked="f">
            <v:textbox>
              <w:txbxContent>
                <w:p w:rsidR="000F04A9" w:rsidRDefault="000F04A9" w:rsidP="00ED3A15"/>
              </w:txbxContent>
            </v:textbox>
          </v:shape>
        </w:pict>
      </w:r>
      <w:r w:rsidR="006174C1" w:rsidRPr="00C14A0F">
        <w:rPr>
          <w:rFonts w:ascii="Times New Roman" w:hAnsi="Times New Roman"/>
          <w:b/>
          <w:sz w:val="28"/>
          <w:szCs w:val="28"/>
        </w:rPr>
        <w:t>A REGRA-MATRIZ DE INCIDÊNCIA TRIBUTÁRIA E O CONSTRUTIVISMO LÓGICO-SEMÂNTICO, NA DOUTRINA DE PAULO DE BARROS CARVALHO</w:t>
      </w:r>
      <w:r w:rsidR="006174C1" w:rsidRPr="00C14A0F">
        <w:rPr>
          <w:rFonts w:ascii="Times New Roman" w:hAnsi="Times New Roman"/>
          <w:sz w:val="28"/>
          <w:szCs w:val="28"/>
        </w:rPr>
        <w:t xml:space="preserve">: regra matriz de incidência tributária do IPTU à luz do critério </w:t>
      </w:r>
      <w:r w:rsidR="003D322C">
        <w:rPr>
          <w:rFonts w:ascii="Times New Roman" w:hAnsi="Times New Roman"/>
          <w:sz w:val="28"/>
          <w:szCs w:val="28"/>
        </w:rPr>
        <w:t>espacial</w:t>
      </w:r>
      <w:r w:rsidR="00CA2EEE">
        <w:rPr>
          <w:rFonts w:ascii="Times New Roman" w:hAnsi="Times New Roman"/>
          <w:sz w:val="28"/>
          <w:szCs w:val="28"/>
        </w:rPr>
        <w:t xml:space="preserve"> </w:t>
      </w:r>
      <w:r w:rsidR="006174C1" w:rsidRPr="00C14A0F">
        <w:rPr>
          <w:rStyle w:val="Refdenotaderodap"/>
          <w:rFonts w:ascii="Times New Roman" w:hAnsi="Times New Roman"/>
          <w:sz w:val="28"/>
          <w:szCs w:val="28"/>
        </w:rPr>
        <w:footnoteReference w:id="1"/>
      </w:r>
    </w:p>
    <w:p w:rsidR="006174C1" w:rsidRPr="00C14A0F" w:rsidRDefault="006174C1" w:rsidP="006174C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3427C" w:rsidRDefault="006174C1" w:rsidP="006174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4A0F">
        <w:rPr>
          <w:rFonts w:ascii="Times New Roman" w:hAnsi="Times New Roman"/>
          <w:sz w:val="24"/>
          <w:szCs w:val="24"/>
        </w:rPr>
        <w:t>Yuri Rios de Sena Santos</w:t>
      </w:r>
      <w:r w:rsidR="00E1655C">
        <w:rPr>
          <w:rFonts w:ascii="Times New Roman" w:hAnsi="Times New Roman"/>
          <w:sz w:val="24"/>
          <w:szCs w:val="24"/>
        </w:rPr>
        <w:t xml:space="preserve"> </w:t>
      </w:r>
      <w:r w:rsidR="00D3427C">
        <w:rPr>
          <w:rFonts w:ascii="Times New Roman" w:hAnsi="Times New Roman"/>
          <w:sz w:val="24"/>
          <w:szCs w:val="24"/>
        </w:rPr>
        <w:t>e</w:t>
      </w:r>
    </w:p>
    <w:p w:rsidR="006174C1" w:rsidRPr="00D3427C" w:rsidRDefault="00D3427C" w:rsidP="006174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427C">
        <w:rPr>
          <w:rFonts w:ascii="Times New Roman" w:hAnsi="Times New Roman"/>
          <w:sz w:val="24"/>
          <w:szCs w:val="24"/>
        </w:rPr>
        <w:t xml:space="preserve">Robston Cesar de Lima Filho </w:t>
      </w:r>
      <w:r w:rsidR="006174C1" w:rsidRPr="00D3427C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6174C1" w:rsidRPr="00C14A0F" w:rsidRDefault="006174C1" w:rsidP="006174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4A0F">
        <w:rPr>
          <w:rFonts w:ascii="Times New Roman" w:hAnsi="Times New Roman"/>
          <w:sz w:val="24"/>
        </w:rPr>
        <w:t>Antonio de Moraes Rego Gaspar</w:t>
      </w:r>
      <w:r w:rsidRPr="00C14A0F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6174C1" w:rsidRDefault="006174C1" w:rsidP="006174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5470" w:rsidRPr="00C14A0F" w:rsidRDefault="00935470" w:rsidP="006174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74C1" w:rsidRPr="00C14A0F" w:rsidRDefault="006174C1" w:rsidP="006174C1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4A0F">
        <w:rPr>
          <w:rFonts w:ascii="Times New Roman" w:hAnsi="Times New Roman"/>
          <w:b/>
          <w:sz w:val="24"/>
          <w:szCs w:val="24"/>
        </w:rPr>
        <w:t>RESUMO</w:t>
      </w:r>
    </w:p>
    <w:p w:rsidR="006174C1" w:rsidRPr="00C14A0F" w:rsidRDefault="006174C1" w:rsidP="00617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C1" w:rsidRPr="00C14A0F" w:rsidRDefault="003D322C" w:rsidP="00617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presente trab</w:t>
      </w:r>
      <w:r w:rsidR="00EF0DB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lh</w:t>
      </w:r>
      <w:r w:rsidR="00EF0DB0">
        <w:rPr>
          <w:rFonts w:ascii="Times New Roman" w:hAnsi="Times New Roman"/>
          <w:sz w:val="24"/>
          <w:szCs w:val="24"/>
        </w:rPr>
        <w:t xml:space="preserve">o visa estudar a construção lógico-semântica da regra matriz de incidência tributário à luz da doutrina de Paulo de Barros Carvalho. Nesse sentido, procurar-se-á compreender o que é regra-matriz de incidência </w:t>
      </w:r>
      <w:r w:rsidR="007D3A58">
        <w:rPr>
          <w:rFonts w:ascii="Times New Roman" w:hAnsi="Times New Roman"/>
          <w:sz w:val="24"/>
          <w:szCs w:val="24"/>
        </w:rPr>
        <w:t>tributá</w:t>
      </w:r>
      <w:r w:rsidR="00EF0DB0">
        <w:rPr>
          <w:rFonts w:ascii="Times New Roman" w:hAnsi="Times New Roman"/>
          <w:sz w:val="24"/>
          <w:szCs w:val="24"/>
        </w:rPr>
        <w:t xml:space="preserve">ria, bem como a sua construção. </w:t>
      </w:r>
      <w:r w:rsidR="007D3A58">
        <w:rPr>
          <w:rFonts w:ascii="Times New Roman" w:hAnsi="Times New Roman"/>
          <w:sz w:val="24"/>
          <w:szCs w:val="24"/>
        </w:rPr>
        <w:t xml:space="preserve">Posteriormente </w:t>
      </w:r>
      <w:r w:rsidR="00D16F3F">
        <w:rPr>
          <w:rFonts w:ascii="Times New Roman" w:hAnsi="Times New Roman"/>
          <w:sz w:val="24"/>
          <w:szCs w:val="24"/>
        </w:rPr>
        <w:t>tra</w:t>
      </w:r>
      <w:r w:rsidR="007720B8">
        <w:rPr>
          <w:rFonts w:ascii="Times New Roman" w:hAnsi="Times New Roman"/>
          <w:sz w:val="24"/>
          <w:szCs w:val="24"/>
        </w:rPr>
        <w:t>ta</w:t>
      </w:r>
      <w:r w:rsidR="00D16F3F">
        <w:rPr>
          <w:rFonts w:ascii="Times New Roman" w:hAnsi="Times New Roman"/>
          <w:sz w:val="24"/>
          <w:szCs w:val="24"/>
        </w:rPr>
        <w:t xml:space="preserve">r-se-á </w:t>
      </w:r>
      <w:r w:rsidR="007D3A58">
        <w:rPr>
          <w:rFonts w:ascii="Times New Roman" w:hAnsi="Times New Roman"/>
          <w:sz w:val="24"/>
          <w:szCs w:val="24"/>
        </w:rPr>
        <w:t>à tona a discussão existente acerca da expressão “zona urbana” do critério espacial da referida regra</w:t>
      </w:r>
      <w:r w:rsidR="00D16F3F">
        <w:rPr>
          <w:rFonts w:ascii="Times New Roman" w:hAnsi="Times New Roman"/>
          <w:sz w:val="24"/>
          <w:szCs w:val="24"/>
        </w:rPr>
        <w:t xml:space="preserve"> no IPTU, uma vez que não é absoluto o emprego deste tributo em determinadas situações</w:t>
      </w:r>
      <w:r w:rsidR="007D3A58">
        <w:rPr>
          <w:rFonts w:ascii="Times New Roman" w:hAnsi="Times New Roman"/>
          <w:sz w:val="24"/>
          <w:szCs w:val="24"/>
        </w:rPr>
        <w:t>. Por fim, procurar-se-á explanar o entendimento dos tribunais, bem como a sua resolução.</w:t>
      </w:r>
    </w:p>
    <w:p w:rsidR="006174C1" w:rsidRPr="00C14A0F" w:rsidRDefault="006174C1" w:rsidP="006174C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6174C1" w:rsidRPr="003D322C" w:rsidRDefault="006174C1" w:rsidP="006174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655C">
        <w:rPr>
          <w:rFonts w:ascii="Times New Roman" w:hAnsi="Times New Roman"/>
          <w:b/>
          <w:sz w:val="24"/>
          <w:szCs w:val="24"/>
        </w:rPr>
        <w:t>Palavras-chave</w:t>
      </w:r>
      <w:r w:rsidRPr="003D322C">
        <w:rPr>
          <w:rFonts w:ascii="Times New Roman" w:hAnsi="Times New Roman"/>
          <w:sz w:val="24"/>
          <w:szCs w:val="24"/>
        </w:rPr>
        <w:t>:</w:t>
      </w:r>
      <w:r w:rsidR="003D322C">
        <w:rPr>
          <w:rFonts w:ascii="Times New Roman" w:hAnsi="Times New Roman"/>
          <w:sz w:val="24"/>
          <w:szCs w:val="24"/>
        </w:rPr>
        <w:t xml:space="preserve"> Direito Tributário. Regra Matriz.</w:t>
      </w:r>
      <w:r w:rsidR="00D16F3F">
        <w:rPr>
          <w:rFonts w:ascii="Times New Roman" w:hAnsi="Times New Roman"/>
          <w:sz w:val="24"/>
          <w:szCs w:val="24"/>
        </w:rPr>
        <w:t xml:space="preserve"> IPTU.</w:t>
      </w:r>
    </w:p>
    <w:p w:rsidR="006174C1" w:rsidRPr="00C14A0F" w:rsidRDefault="006174C1" w:rsidP="006174C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174C1" w:rsidRPr="00C14A0F" w:rsidRDefault="006174C1" w:rsidP="006174C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14A0F">
        <w:rPr>
          <w:rFonts w:ascii="Times New Roman" w:hAnsi="Times New Roman"/>
          <w:b/>
          <w:sz w:val="24"/>
          <w:szCs w:val="24"/>
        </w:rPr>
        <w:t>INTRODUÇÃO</w:t>
      </w:r>
    </w:p>
    <w:p w:rsidR="006174C1" w:rsidRDefault="006174C1" w:rsidP="00770B2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CE4D5D" w:rsidRDefault="00EF5337" w:rsidP="00770B2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presente estudo </w:t>
      </w:r>
      <w:r w:rsidR="00F34980">
        <w:rPr>
          <w:rFonts w:ascii="Times New Roman" w:hAnsi="Times New Roman"/>
          <w:sz w:val="24"/>
          <w:szCs w:val="24"/>
        </w:rPr>
        <w:t xml:space="preserve">traz à tona a regra-matriz de incidência tributária e construtivismo lógico-semântico na doutrina de Paulo de Barros Carvalho. Assim sendo, </w:t>
      </w:r>
      <w:r w:rsidR="00CE4D5D">
        <w:rPr>
          <w:rFonts w:ascii="Times New Roman" w:hAnsi="Times New Roman"/>
          <w:sz w:val="24"/>
          <w:szCs w:val="24"/>
        </w:rPr>
        <w:t xml:space="preserve">abordar-se-á o entendimento do fato jurídico, bem como a sua subsunção à norma tributária. </w:t>
      </w:r>
    </w:p>
    <w:p w:rsidR="00EF5337" w:rsidRDefault="00CE4D5D" w:rsidP="00770B2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</w:t>
      </w:r>
      <w:r w:rsidR="00F34980">
        <w:rPr>
          <w:rFonts w:ascii="Times New Roman" w:hAnsi="Times New Roman"/>
          <w:sz w:val="24"/>
          <w:szCs w:val="24"/>
        </w:rPr>
        <w:t>ocurar-se-á conceituar a significação da regra matriz</w:t>
      </w:r>
      <w:r>
        <w:rPr>
          <w:rFonts w:ascii="Times New Roman" w:hAnsi="Times New Roman"/>
          <w:sz w:val="24"/>
          <w:szCs w:val="24"/>
        </w:rPr>
        <w:t>, bem como sua finalidade</w:t>
      </w:r>
      <w:r w:rsidR="00F34980">
        <w:rPr>
          <w:rFonts w:ascii="Times New Roman" w:hAnsi="Times New Roman"/>
          <w:sz w:val="24"/>
          <w:szCs w:val="24"/>
        </w:rPr>
        <w:t xml:space="preserve"> nos entendimentos da aludida doutrina</w:t>
      </w:r>
      <w:r>
        <w:rPr>
          <w:rFonts w:ascii="Times New Roman" w:hAnsi="Times New Roman"/>
          <w:sz w:val="24"/>
          <w:szCs w:val="24"/>
        </w:rPr>
        <w:t xml:space="preserve">. </w:t>
      </w:r>
      <w:r w:rsidR="00F34980">
        <w:rPr>
          <w:rFonts w:ascii="Times New Roman" w:hAnsi="Times New Roman"/>
          <w:sz w:val="24"/>
          <w:szCs w:val="24"/>
        </w:rPr>
        <w:t>Desse modo, com o intuito de saber como e quando se aplica a regra matriz de incidência tributária, se verificará os critérios necessários para a construção lógico-semântica, não só na doutrina de Paulo de Barros, mas também aos entendimentos de Aurora Tomazini.</w:t>
      </w:r>
    </w:p>
    <w:p w:rsidR="00CE4D5D" w:rsidRDefault="00CE4D5D" w:rsidP="00770B2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Posteriormente, explanar-se-á acerca do Imposto Predial Territorial Urbano (IPTU), onde se abordará o conceito, bem como a sua finalidade e competência, mostrando </w:t>
      </w:r>
      <w:r>
        <w:rPr>
          <w:rFonts w:ascii="Times New Roman" w:hAnsi="Times New Roman"/>
          <w:sz w:val="24"/>
          <w:szCs w:val="24"/>
        </w:rPr>
        <w:lastRenderedPageBreak/>
        <w:t xml:space="preserve">que a função do referido tributo é preponderantemente fiscal, objetivando recursos aos municípios brasileiros. </w:t>
      </w:r>
    </w:p>
    <w:p w:rsidR="003D4FBE" w:rsidRDefault="00B44A37" w:rsidP="00770B2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Havendo</w:t>
      </w:r>
      <w:r w:rsidR="003D4FBE">
        <w:rPr>
          <w:rFonts w:ascii="Times New Roman" w:hAnsi="Times New Roman"/>
          <w:sz w:val="24"/>
          <w:szCs w:val="24"/>
        </w:rPr>
        <w:t xml:space="preserve"> o entendimento da regra, bem como as acepções do IPTU, procurar-se-á </w:t>
      </w:r>
      <w:r w:rsidR="00510733">
        <w:rPr>
          <w:rFonts w:ascii="Times New Roman" w:hAnsi="Times New Roman"/>
          <w:sz w:val="24"/>
          <w:szCs w:val="24"/>
        </w:rPr>
        <w:t xml:space="preserve">analisar a incidência tributária da regra matriz no imposto em escólio. Com isso, se construirá uma estrutura lógico-semântica conforme a doutrina de Paulo de Barros Carvalho do tributo (IPTU) à regra matriz. </w:t>
      </w:r>
    </w:p>
    <w:p w:rsidR="00F34980" w:rsidRDefault="00510733" w:rsidP="00770B2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fim, se discutirá acerca da incidência ou não do critério espacial do IPTU em determinadas áreas,</w:t>
      </w:r>
      <w:r w:rsidR="00973B5C">
        <w:rPr>
          <w:rFonts w:ascii="Times New Roman" w:hAnsi="Times New Roman"/>
          <w:sz w:val="24"/>
          <w:szCs w:val="24"/>
        </w:rPr>
        <w:t xml:space="preserve"> uma vez que a expressão “zona urbana” possibilita vários entendimentos. posteriormente far-se-á as considerações finais acerca do entendido.</w:t>
      </w:r>
    </w:p>
    <w:p w:rsidR="00F34980" w:rsidRPr="00C14A0F" w:rsidRDefault="00F34980" w:rsidP="00770B2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174C1" w:rsidRPr="00C14A0F" w:rsidRDefault="006174C1" w:rsidP="00770B23">
      <w:p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14A0F">
        <w:rPr>
          <w:rFonts w:ascii="Times New Roman" w:hAnsi="Times New Roman"/>
          <w:b/>
          <w:sz w:val="24"/>
          <w:szCs w:val="24"/>
        </w:rPr>
        <w:t>1 NOÇÃO GERAL DE REGRA-MATRIZ DE INCIDÊNCIA TRIBUTÁRIA</w:t>
      </w:r>
      <w:r>
        <w:rPr>
          <w:rFonts w:ascii="Times New Roman" w:hAnsi="Times New Roman"/>
          <w:b/>
          <w:sz w:val="24"/>
          <w:szCs w:val="24"/>
        </w:rPr>
        <w:t xml:space="preserve"> NA DOUTRINA DE PAULO DE BARROS CARVALHO</w:t>
      </w:r>
    </w:p>
    <w:p w:rsidR="006174C1" w:rsidRPr="00C14A0F" w:rsidRDefault="006174C1" w:rsidP="00770B23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4C1" w:rsidRPr="00C14A0F" w:rsidRDefault="006174C1" w:rsidP="00770B23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C14A0F">
        <w:rPr>
          <w:rFonts w:ascii="Times New Roman" w:hAnsi="Times New Roman"/>
          <w:color w:val="000000"/>
          <w:sz w:val="24"/>
          <w:szCs w:val="24"/>
        </w:rPr>
        <w:t xml:space="preserve">No presente tópico abordar-se-á sobre o conceito da regra matriz, bem como a sua </w:t>
      </w:r>
      <w:r>
        <w:rPr>
          <w:rFonts w:ascii="Times New Roman" w:hAnsi="Times New Roman"/>
          <w:color w:val="000000"/>
          <w:sz w:val="24"/>
          <w:szCs w:val="24"/>
        </w:rPr>
        <w:t xml:space="preserve">significação e </w:t>
      </w:r>
      <w:r w:rsidRPr="00C14A0F">
        <w:rPr>
          <w:rFonts w:ascii="Times New Roman" w:hAnsi="Times New Roman"/>
          <w:color w:val="000000"/>
          <w:sz w:val="24"/>
          <w:szCs w:val="24"/>
        </w:rPr>
        <w:t>finalidade como instrumento paradigma para interpretações de determinadas normas jurídicas tributárias.</w:t>
      </w:r>
    </w:p>
    <w:p w:rsidR="006174C1" w:rsidRPr="00C14A0F" w:rsidRDefault="006174C1" w:rsidP="00770B23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4C1" w:rsidRPr="00CD27B2" w:rsidRDefault="006174C1" w:rsidP="00770B23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27B2">
        <w:rPr>
          <w:rFonts w:ascii="Times New Roman" w:hAnsi="Times New Roman"/>
          <w:b/>
          <w:color w:val="000000"/>
          <w:sz w:val="24"/>
          <w:szCs w:val="24"/>
        </w:rPr>
        <w:t>1.1 Explicação da regra-matriz</w:t>
      </w:r>
    </w:p>
    <w:p w:rsidR="006174C1" w:rsidRPr="00C14A0F" w:rsidRDefault="006174C1" w:rsidP="00770B2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4C1" w:rsidRDefault="006174C1" w:rsidP="00770B23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C14A0F">
        <w:rPr>
          <w:rFonts w:ascii="Times New Roman" w:hAnsi="Times New Roman"/>
          <w:color w:val="000000"/>
          <w:sz w:val="24"/>
          <w:szCs w:val="24"/>
        </w:rPr>
        <w:t xml:space="preserve">A expressão “regra-matriz” se relevou como um importante meio de interpretação das normas, por causa das observações de Paulo de Barros, onde o mesmo verificou que o legislador escolhia </w:t>
      </w:r>
      <w:r w:rsidR="00197635">
        <w:rPr>
          <w:rFonts w:ascii="Times New Roman" w:hAnsi="Times New Roman"/>
          <w:color w:val="000000"/>
          <w:sz w:val="24"/>
          <w:szCs w:val="24"/>
        </w:rPr>
        <w:t xml:space="preserve">determinadas </w:t>
      </w:r>
      <w:r w:rsidRPr="00C14A0F">
        <w:rPr>
          <w:rFonts w:ascii="Times New Roman" w:hAnsi="Times New Roman"/>
          <w:color w:val="000000"/>
          <w:sz w:val="24"/>
          <w:szCs w:val="24"/>
        </w:rPr>
        <w:t>proprie</w:t>
      </w:r>
      <w:r w:rsidR="0042017E">
        <w:rPr>
          <w:rFonts w:ascii="Times New Roman" w:hAnsi="Times New Roman"/>
          <w:color w:val="000000"/>
          <w:sz w:val="24"/>
          <w:szCs w:val="24"/>
        </w:rPr>
        <w:t xml:space="preserve">dades para delimitar hipóteses </w:t>
      </w:r>
      <w:r w:rsidRPr="00C14A0F">
        <w:rPr>
          <w:rFonts w:ascii="Times New Roman" w:hAnsi="Times New Roman"/>
          <w:color w:val="000000"/>
          <w:sz w:val="24"/>
          <w:szCs w:val="24"/>
        </w:rPr>
        <w:t>e consequentes, no qual alguns componentes se repetiam. Estas repetições foram apresentadas como regra, denominadas de (CARVALHO,</w:t>
      </w:r>
      <w:r>
        <w:rPr>
          <w:rFonts w:ascii="Times New Roman" w:hAnsi="Times New Roman"/>
          <w:color w:val="000000"/>
          <w:sz w:val="24"/>
          <w:szCs w:val="24"/>
        </w:rPr>
        <w:t xml:space="preserve"> A.,</w:t>
      </w:r>
      <w:r w:rsidRPr="00C14A0F">
        <w:rPr>
          <w:rFonts w:ascii="Times New Roman" w:hAnsi="Times New Roman"/>
          <w:color w:val="000000"/>
          <w:sz w:val="24"/>
          <w:szCs w:val="24"/>
        </w:rPr>
        <w:t xml:space="preserve"> 2012, p. 371). Nesse sentido, Paulo de Barros afirma que o legislador escolhe tanto os fatos jurídicos como as relações jurídicas no momento do acontecimento destes. Assim sendo, os fatos e as relações constituem conce</w:t>
      </w:r>
      <w:r w:rsidR="00E91377">
        <w:rPr>
          <w:rFonts w:ascii="Times New Roman" w:hAnsi="Times New Roman"/>
          <w:color w:val="000000"/>
          <w:sz w:val="24"/>
          <w:szCs w:val="24"/>
        </w:rPr>
        <w:t>ito de hipótese e consequente. N</w:t>
      </w:r>
      <w:r w:rsidRPr="00C14A0F">
        <w:rPr>
          <w:rFonts w:ascii="Times New Roman" w:hAnsi="Times New Roman"/>
          <w:color w:val="000000"/>
          <w:sz w:val="24"/>
          <w:szCs w:val="24"/>
        </w:rPr>
        <w:t>esse processo de selecionar tais fatos, bem como as relações, há uma constante, em que, no caso da hipótese, os fenômenos analisados apontavam para um aconteciment</w:t>
      </w:r>
      <w:r w:rsidR="00E91377">
        <w:rPr>
          <w:rFonts w:ascii="Times New Roman" w:hAnsi="Times New Roman"/>
          <w:color w:val="000000"/>
          <w:sz w:val="24"/>
          <w:szCs w:val="24"/>
        </w:rPr>
        <w:t>o em determinado espaço e tempo - p</w:t>
      </w:r>
      <w:r w:rsidRPr="00C14A0F">
        <w:rPr>
          <w:rFonts w:ascii="Times New Roman" w:hAnsi="Times New Roman"/>
          <w:color w:val="000000"/>
          <w:sz w:val="24"/>
          <w:szCs w:val="24"/>
        </w:rPr>
        <w:t>or isso a necessidade de referenciação às propriedades da ação, do local e do momento exato que o fato ocorre. Em relação ao consequente normativo, percebe-se a exigência de haver uma indicação dos elementos que indiquem a obrigação de um sujeito para com o outro sujeito, no caso um ativo e outro passivo, bem como o objeto da relação processual (CARVALHO,</w:t>
      </w:r>
      <w:r>
        <w:rPr>
          <w:rFonts w:ascii="Times New Roman" w:hAnsi="Times New Roman"/>
          <w:color w:val="000000"/>
          <w:sz w:val="24"/>
          <w:szCs w:val="24"/>
        </w:rPr>
        <w:t xml:space="preserve"> A.,</w:t>
      </w:r>
      <w:r w:rsidRPr="00C14A0F">
        <w:rPr>
          <w:rFonts w:ascii="Times New Roman" w:hAnsi="Times New Roman"/>
          <w:color w:val="000000"/>
          <w:sz w:val="24"/>
          <w:szCs w:val="24"/>
        </w:rPr>
        <w:t xml:space="preserve"> 2012, p. 372-373). </w:t>
      </w:r>
    </w:p>
    <w:p w:rsidR="006174C1" w:rsidRPr="00C14A0F" w:rsidRDefault="006174C1" w:rsidP="00770B23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C14A0F">
        <w:rPr>
          <w:rFonts w:ascii="Times New Roman" w:hAnsi="Times New Roman"/>
          <w:color w:val="000000"/>
          <w:sz w:val="24"/>
          <w:szCs w:val="24"/>
        </w:rPr>
        <w:lastRenderedPageBreak/>
        <w:t xml:space="preserve">Aurora Tomazini assegura com </w:t>
      </w:r>
      <w:r w:rsidR="00216D26">
        <w:rPr>
          <w:rFonts w:ascii="Times New Roman" w:hAnsi="Times New Roman"/>
          <w:color w:val="000000"/>
          <w:sz w:val="24"/>
          <w:szCs w:val="24"/>
        </w:rPr>
        <w:t>propriedade</w:t>
      </w:r>
      <w:r w:rsidRPr="00C14A0F">
        <w:rPr>
          <w:rFonts w:ascii="Times New Roman" w:hAnsi="Times New Roman"/>
          <w:color w:val="000000"/>
          <w:sz w:val="24"/>
          <w:szCs w:val="24"/>
        </w:rPr>
        <w:t xml:space="preserve"> que o termo </w:t>
      </w:r>
      <w:r w:rsidR="00777EE5">
        <w:rPr>
          <w:rFonts w:ascii="Times New Roman" w:hAnsi="Times New Roman"/>
          <w:color w:val="000000"/>
          <w:sz w:val="24"/>
          <w:szCs w:val="24"/>
        </w:rPr>
        <w:t>“</w:t>
      </w:r>
      <w:r w:rsidRPr="00C14A0F">
        <w:rPr>
          <w:rFonts w:ascii="Times New Roman" w:hAnsi="Times New Roman"/>
          <w:color w:val="000000"/>
          <w:sz w:val="24"/>
          <w:szCs w:val="24"/>
        </w:rPr>
        <w:t>regra</w:t>
      </w:r>
      <w:r w:rsidR="00777EE5">
        <w:rPr>
          <w:rFonts w:ascii="Times New Roman" w:hAnsi="Times New Roman"/>
          <w:color w:val="000000"/>
          <w:sz w:val="24"/>
          <w:szCs w:val="24"/>
        </w:rPr>
        <w:t>”</w:t>
      </w:r>
      <w:r w:rsidRPr="00C14A0F">
        <w:rPr>
          <w:rFonts w:ascii="Times New Roman" w:hAnsi="Times New Roman"/>
          <w:color w:val="000000"/>
          <w:sz w:val="24"/>
          <w:szCs w:val="24"/>
        </w:rPr>
        <w:t xml:space="preserve"> é empregado no sentido sinônimo de norma jurídica, uma vez que trata-se de uma construç</w:t>
      </w:r>
      <w:r w:rsidR="00777EE5">
        <w:rPr>
          <w:rFonts w:ascii="Times New Roman" w:hAnsi="Times New Roman"/>
          <w:color w:val="000000"/>
          <w:sz w:val="24"/>
          <w:szCs w:val="24"/>
        </w:rPr>
        <w:t>ão do intérprete. Por sua vez, “</w:t>
      </w:r>
      <w:r w:rsidRPr="00C14A0F">
        <w:rPr>
          <w:rFonts w:ascii="Times New Roman" w:hAnsi="Times New Roman"/>
          <w:color w:val="000000"/>
          <w:sz w:val="24"/>
          <w:szCs w:val="24"/>
        </w:rPr>
        <w:t xml:space="preserve">o termo ‘matriz’ é utilizado para significar que tal construção serve como modelo padrão sintático-semântico na produção da linguagem jurídica concreta” (2010, p. 376). </w:t>
      </w:r>
    </w:p>
    <w:p w:rsidR="006174C1" w:rsidRPr="00C14A0F" w:rsidRDefault="006174C1" w:rsidP="00770B23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C14A0F">
        <w:rPr>
          <w:rFonts w:ascii="Times New Roman" w:hAnsi="Times New Roman"/>
          <w:color w:val="000000"/>
          <w:sz w:val="24"/>
          <w:szCs w:val="24"/>
        </w:rPr>
        <w:t xml:space="preserve">Posto isto, verificando a existência de todos os aludidos elementos, verifica-se a possibilidade da construção de um esquema padrão para a elaboração de determinada norma, </w:t>
      </w:r>
      <w:r w:rsidR="00E91377">
        <w:rPr>
          <w:rFonts w:ascii="Times New Roman" w:hAnsi="Times New Roman"/>
          <w:color w:val="000000"/>
          <w:sz w:val="24"/>
          <w:szCs w:val="24"/>
        </w:rPr>
        <w:t>daí</w:t>
      </w:r>
      <w:r w:rsidRPr="00C14A0F">
        <w:rPr>
          <w:rFonts w:ascii="Times New Roman" w:hAnsi="Times New Roman"/>
          <w:color w:val="000000"/>
          <w:sz w:val="24"/>
          <w:szCs w:val="24"/>
        </w:rPr>
        <w:t xml:space="preserve"> a denominação “regra-matriz”.</w:t>
      </w:r>
      <w:r w:rsidR="00FC5D14">
        <w:rPr>
          <w:rFonts w:ascii="Times New Roman" w:hAnsi="Times New Roman"/>
          <w:color w:val="000000"/>
          <w:sz w:val="24"/>
          <w:szCs w:val="24"/>
        </w:rPr>
        <w:t xml:space="preserve"> Nesse entendimento, conclui-se que a regra-matriz de incidência tributária nada mais é do que “a </w:t>
      </w:r>
      <w:r w:rsidR="006728D7">
        <w:rPr>
          <w:rFonts w:ascii="Times New Roman" w:hAnsi="Times New Roman"/>
          <w:color w:val="000000"/>
          <w:sz w:val="24"/>
          <w:szCs w:val="24"/>
        </w:rPr>
        <w:t>visualização</w:t>
      </w:r>
      <w:r w:rsidR="00FC5D14">
        <w:rPr>
          <w:rFonts w:ascii="Times New Roman" w:hAnsi="Times New Roman"/>
          <w:color w:val="000000"/>
          <w:sz w:val="24"/>
          <w:szCs w:val="24"/>
        </w:rPr>
        <w:t xml:space="preserve"> de uma norma jurídica tributária” (ROÇ</w:t>
      </w:r>
      <w:r w:rsidR="00A5469A">
        <w:rPr>
          <w:rFonts w:ascii="Times New Roman" w:hAnsi="Times New Roman"/>
          <w:color w:val="000000"/>
          <w:sz w:val="24"/>
          <w:szCs w:val="24"/>
        </w:rPr>
        <w:t>A</w:t>
      </w:r>
      <w:r w:rsidR="00FC5D14">
        <w:rPr>
          <w:rFonts w:ascii="Times New Roman" w:hAnsi="Times New Roman"/>
          <w:color w:val="000000"/>
          <w:sz w:val="24"/>
          <w:szCs w:val="24"/>
        </w:rPr>
        <w:t>, p. 37).</w:t>
      </w:r>
    </w:p>
    <w:p w:rsidR="006174C1" w:rsidRPr="00C14A0F" w:rsidRDefault="006174C1" w:rsidP="00770B23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4C1" w:rsidRPr="00CD27B2" w:rsidRDefault="006174C1" w:rsidP="00E91377">
      <w:pPr>
        <w:spacing w:after="0" w:line="360" w:lineRule="auto"/>
        <w:ind w:left="284" w:hanging="284"/>
        <w:rPr>
          <w:rFonts w:ascii="Times New Roman" w:hAnsi="Times New Roman"/>
          <w:b/>
        </w:rPr>
      </w:pPr>
      <w:r w:rsidRPr="00CD27B2">
        <w:rPr>
          <w:rFonts w:ascii="Times New Roman" w:hAnsi="Times New Roman"/>
          <w:b/>
          <w:color w:val="000000"/>
          <w:sz w:val="24"/>
          <w:szCs w:val="24"/>
        </w:rPr>
        <w:t>1.2 E</w:t>
      </w:r>
      <w:r w:rsidRPr="00CD27B2">
        <w:rPr>
          <w:rFonts w:ascii="Times New Roman" w:hAnsi="Times New Roman"/>
          <w:b/>
          <w:sz w:val="24"/>
          <w:szCs w:val="24"/>
        </w:rPr>
        <w:t>strutura da norma tributária (regra matriz) à luz do constructivismo lógico semântico: a hipótese e o consequente</w:t>
      </w:r>
    </w:p>
    <w:p w:rsidR="006174C1" w:rsidRPr="00C14A0F" w:rsidRDefault="006174C1" w:rsidP="00770B23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4C1" w:rsidRDefault="006174C1" w:rsidP="00770B23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C14A0F">
        <w:rPr>
          <w:rFonts w:ascii="Times New Roman" w:hAnsi="Times New Roman"/>
          <w:color w:val="000000"/>
          <w:sz w:val="24"/>
          <w:szCs w:val="24"/>
        </w:rPr>
        <w:t xml:space="preserve">Nesta subseção analisar-se-á acerca da estrutura lógica, de um esquema que auxilia o intérprete na construção de determinada norma jurídica. </w:t>
      </w:r>
      <w:r>
        <w:rPr>
          <w:rFonts w:ascii="Times New Roman" w:hAnsi="Times New Roman"/>
          <w:color w:val="000000"/>
          <w:sz w:val="24"/>
          <w:szCs w:val="24"/>
        </w:rPr>
        <w:t xml:space="preserve">Posteriormente abordar-se-á </w:t>
      </w:r>
      <w:r w:rsidRPr="00C14A0F">
        <w:rPr>
          <w:rFonts w:ascii="Times New Roman" w:hAnsi="Times New Roman"/>
          <w:color w:val="000000"/>
          <w:sz w:val="24"/>
          <w:szCs w:val="24"/>
        </w:rPr>
        <w:t>o objeto do presente subtópico, onde se abordará os critérios da regra-matriz, ou seja, critérios da hipótese, bem como do consequente.</w:t>
      </w:r>
    </w:p>
    <w:p w:rsidR="006728D7" w:rsidRDefault="006728D7" w:rsidP="00770B2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4C1" w:rsidRPr="00CD27B2" w:rsidRDefault="006174C1" w:rsidP="00770B2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27B2">
        <w:rPr>
          <w:rFonts w:ascii="Times New Roman" w:hAnsi="Times New Roman"/>
          <w:color w:val="000000"/>
          <w:sz w:val="24"/>
          <w:szCs w:val="24"/>
        </w:rPr>
        <w:t>1.2.1 O “fato jurídico” e a subsunção do fato à norma tributária</w:t>
      </w:r>
    </w:p>
    <w:p w:rsidR="006174C1" w:rsidRPr="00D02175" w:rsidRDefault="006174C1" w:rsidP="00770B2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4C1" w:rsidRDefault="006174C1" w:rsidP="00770B2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obra de Paulo de Barros Carvalho (2012),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“Curso de Direito Tributário”</w:t>
      </w:r>
      <w:r>
        <w:rPr>
          <w:rFonts w:ascii="Times New Roman" w:hAnsi="Times New Roman"/>
          <w:color w:val="000000"/>
          <w:sz w:val="24"/>
          <w:szCs w:val="24"/>
        </w:rPr>
        <w:t xml:space="preserve">, demonstra a existência de três critérios da hipótese normativa e duas do consequente, antes de analisá-los, o referenciado autor abrange a importância da delimitação da expressão “fato jurídico”, bem como sua diferenciação em relação a existência de outros fatos, como o “fato puro” e o “fato contábil”, por exemplo, onde </w:t>
      </w:r>
      <w:r w:rsidR="00CE4D5D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construção de um fato jurídico é a constituição de um fraseado normativo capaz de justapor-se como antecedente normativo de uma norma individual e concreta, em que as palavras componentes desta frase tem denotação”, complementa afirmando que a constituição do fato jurídico é justamente a produção de um novo signo individualizado no tempo e  no espaço do direito com uma certa qualificação jurídica, denominando-se essa qualificação de </w:t>
      </w:r>
      <w:r>
        <w:rPr>
          <w:rFonts w:ascii="Times New Roman" w:hAnsi="Times New Roman"/>
          <w:i/>
          <w:sz w:val="24"/>
          <w:szCs w:val="24"/>
        </w:rPr>
        <w:t xml:space="preserve">fato jurídico </w:t>
      </w:r>
      <w:r>
        <w:rPr>
          <w:rFonts w:ascii="Times New Roman" w:hAnsi="Times New Roman"/>
          <w:sz w:val="24"/>
          <w:szCs w:val="24"/>
        </w:rPr>
        <w:t xml:space="preserve">(2012, p. 306). </w:t>
      </w:r>
    </w:p>
    <w:p w:rsidR="006174C1" w:rsidRDefault="006174C1" w:rsidP="00770B2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Além do conceito de fato jurídico, o aludido autor traz a importância da subsunção do fato à norma e a “fenomenologia da incidência”, eis aí a o ponto principal do presente estudo, a análise e o entendimento de determinado fato com finalidade de subsunção </w:t>
      </w:r>
      <w:r>
        <w:rPr>
          <w:rFonts w:ascii="Times New Roman" w:hAnsi="Times New Roman"/>
          <w:sz w:val="24"/>
          <w:szCs w:val="24"/>
        </w:rPr>
        <w:lastRenderedPageBreak/>
        <w:t xml:space="preserve">a uma certa norma jurídica, no caso em escólio, uma norma jurídica do campo tributário.nesse sentido, tal subsunção ocorre quando “um fato o fato [...] guardar absoluta identidade com o desenho normativo [...]. Ao ganhar concretude o fato, instala-se [...] o laço abstrato  pelo qual o sujeito ativo torna-se titular do direito do direito subjetivo público de exigir a prestação” (2012, p. 316). </w:t>
      </w:r>
    </w:p>
    <w:p w:rsidR="006174C1" w:rsidRDefault="006174C1" w:rsidP="00770B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74C1" w:rsidRDefault="006174C1" w:rsidP="00770B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 A hipótese e o consequente</w:t>
      </w:r>
    </w:p>
    <w:p w:rsidR="006174C1" w:rsidRDefault="006174C1" w:rsidP="00770B2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174C1" w:rsidRDefault="006174C1" w:rsidP="00770B23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C14A0F">
        <w:rPr>
          <w:rFonts w:ascii="Times New Roman" w:hAnsi="Times New Roman"/>
          <w:color w:val="000000"/>
          <w:sz w:val="24"/>
          <w:szCs w:val="24"/>
        </w:rPr>
        <w:t xml:space="preserve">No que tange </w:t>
      </w:r>
      <w:r>
        <w:rPr>
          <w:rFonts w:ascii="Times New Roman" w:hAnsi="Times New Roman"/>
          <w:color w:val="000000"/>
          <w:sz w:val="24"/>
          <w:szCs w:val="24"/>
        </w:rPr>
        <w:t>ao entendimento de</w:t>
      </w:r>
      <w:r w:rsidRPr="00C14A0F">
        <w:rPr>
          <w:rFonts w:ascii="Times New Roman" w:hAnsi="Times New Roman"/>
          <w:color w:val="000000"/>
          <w:sz w:val="24"/>
          <w:szCs w:val="24"/>
        </w:rPr>
        <w:t xml:space="preserve"> Paulo de Barros Carvalho</w:t>
      </w:r>
      <w:r>
        <w:rPr>
          <w:rFonts w:ascii="Times New Roman" w:hAnsi="Times New Roman"/>
          <w:color w:val="000000"/>
          <w:sz w:val="24"/>
          <w:szCs w:val="24"/>
        </w:rPr>
        <w:t>, este</w:t>
      </w:r>
      <w:r w:rsidRPr="00C14A0F">
        <w:rPr>
          <w:rFonts w:ascii="Times New Roman" w:hAnsi="Times New Roman"/>
          <w:color w:val="000000"/>
          <w:sz w:val="24"/>
          <w:szCs w:val="24"/>
        </w:rPr>
        <w:t xml:space="preserve"> apresenta os critérios da hipótese e os do consequente. Vale ressaltar que o critério da hipótese, o próprio nome já </w:t>
      </w:r>
      <w:r>
        <w:rPr>
          <w:rFonts w:ascii="Times New Roman" w:hAnsi="Times New Roman"/>
          <w:color w:val="000000"/>
          <w:sz w:val="24"/>
          <w:szCs w:val="24"/>
        </w:rPr>
        <w:t>con</w:t>
      </w:r>
      <w:r w:rsidRPr="00C14A0F">
        <w:rPr>
          <w:rFonts w:ascii="Times New Roman" w:hAnsi="Times New Roman"/>
          <w:color w:val="000000"/>
          <w:sz w:val="24"/>
          <w:szCs w:val="24"/>
        </w:rPr>
        <w:t xml:space="preserve">diz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C14A0F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m o</w:t>
      </w:r>
      <w:r w:rsidRPr="00C14A0F">
        <w:rPr>
          <w:rFonts w:ascii="Times New Roman" w:hAnsi="Times New Roman"/>
          <w:color w:val="000000"/>
          <w:sz w:val="24"/>
          <w:szCs w:val="24"/>
        </w:rPr>
        <w:t xml:space="preserve"> seu significado, ou seja, demonstram apenas hipóteses em que não contêm evento, nem o fato jurídico, mas sim a descrição de uma situação futura, onde </w:t>
      </w:r>
      <w:r w:rsidR="001F2D40">
        <w:rPr>
          <w:rFonts w:ascii="Times New Roman" w:hAnsi="Times New Roman"/>
          <w:color w:val="000000"/>
          <w:sz w:val="24"/>
          <w:szCs w:val="24"/>
        </w:rPr>
        <w:t>identificam a</w:t>
      </w:r>
      <w:r w:rsidRPr="00C14A0F">
        <w:rPr>
          <w:rFonts w:ascii="Times New Roman" w:hAnsi="Times New Roman"/>
          <w:color w:val="000000"/>
          <w:sz w:val="24"/>
          <w:szCs w:val="24"/>
        </w:rPr>
        <w:t xml:space="preserve"> ocorrência do fato no tempo e no espaço, por isso a necessidade da existência de uma indeterminação, um conceito abstrato</w:t>
      </w:r>
      <w:r>
        <w:rPr>
          <w:rFonts w:ascii="Times New Roman" w:hAnsi="Times New Roman"/>
          <w:color w:val="000000"/>
          <w:sz w:val="24"/>
          <w:szCs w:val="24"/>
        </w:rPr>
        <w:t>, um enunciado conotativo</w:t>
      </w:r>
      <w:r w:rsidRPr="00C14A0F">
        <w:rPr>
          <w:rFonts w:ascii="Times New Roman" w:hAnsi="Times New Roman"/>
          <w:color w:val="000000"/>
          <w:sz w:val="24"/>
          <w:szCs w:val="24"/>
        </w:rPr>
        <w:t>. No sentido contrário, o critério do consequente, apesar de ser elaborado como status de indeterminação, há uma delimitação desse abstrativismo, em que identifica os sujeitos e o objeto da relação</w:t>
      </w:r>
      <w:r>
        <w:rPr>
          <w:rFonts w:ascii="Times New Roman" w:hAnsi="Times New Roman"/>
          <w:color w:val="000000"/>
          <w:sz w:val="24"/>
          <w:szCs w:val="24"/>
        </w:rPr>
        <w:t>, um conceito e individual, um enunciado denotativo</w:t>
      </w:r>
      <w:r w:rsidRPr="00C14A0F">
        <w:rPr>
          <w:rFonts w:ascii="Times New Roman" w:hAnsi="Times New Roman"/>
          <w:color w:val="000000"/>
          <w:sz w:val="24"/>
          <w:szCs w:val="24"/>
        </w:rPr>
        <w:t xml:space="preserve">  (CARVALHO,</w:t>
      </w:r>
      <w:r>
        <w:rPr>
          <w:rFonts w:ascii="Times New Roman" w:hAnsi="Times New Roman"/>
          <w:color w:val="000000"/>
          <w:sz w:val="24"/>
          <w:szCs w:val="24"/>
        </w:rPr>
        <w:t xml:space="preserve"> A.,</w:t>
      </w:r>
      <w:r w:rsidRPr="00C14A0F">
        <w:rPr>
          <w:rFonts w:ascii="Times New Roman" w:hAnsi="Times New Roman"/>
          <w:color w:val="000000"/>
          <w:sz w:val="24"/>
          <w:szCs w:val="24"/>
        </w:rPr>
        <w:t xml:space="preserve"> 2010, p. 381 e 400). O consequente caracteriza-se por particularizar a existência de uma satisfação da obrigação de determinada pessoa que praticou o fato jur</w:t>
      </w:r>
      <w:r>
        <w:rPr>
          <w:rFonts w:ascii="Times New Roman" w:hAnsi="Times New Roman"/>
          <w:color w:val="000000"/>
          <w:sz w:val="24"/>
          <w:szCs w:val="24"/>
        </w:rPr>
        <w:t>ídico em prol do outro sujeito.</w:t>
      </w:r>
    </w:p>
    <w:p w:rsidR="006174C1" w:rsidRDefault="006174C1" w:rsidP="00770B2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4C1" w:rsidRDefault="006174C1" w:rsidP="00770B2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Critérios da hipótese: material, espacial e temporal</w:t>
      </w:r>
    </w:p>
    <w:p w:rsidR="006174C1" w:rsidRDefault="006174C1" w:rsidP="00770B2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174C1" w:rsidRDefault="006174C1" w:rsidP="00770B2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que diz respeito </w:t>
      </w:r>
      <w:r w:rsidR="00EE2748">
        <w:rPr>
          <w:rFonts w:ascii="Times New Roman" w:hAnsi="Times New Roman"/>
          <w:sz w:val="24"/>
          <w:szCs w:val="24"/>
        </w:rPr>
        <w:t xml:space="preserve">ao </w:t>
      </w:r>
      <w:r w:rsidR="00EE2748" w:rsidRPr="00EE2748">
        <w:rPr>
          <w:rFonts w:ascii="Times New Roman" w:hAnsi="Times New Roman"/>
          <w:i/>
          <w:sz w:val="24"/>
          <w:szCs w:val="24"/>
        </w:rPr>
        <w:t xml:space="preserve">critério </w:t>
      </w:r>
      <w:r w:rsidR="00EE2748">
        <w:rPr>
          <w:rFonts w:ascii="Times New Roman" w:hAnsi="Times New Roman"/>
          <w:i/>
          <w:sz w:val="24"/>
          <w:szCs w:val="24"/>
        </w:rPr>
        <w:t>material</w:t>
      </w:r>
      <w:r>
        <w:rPr>
          <w:rFonts w:ascii="Times New Roman" w:hAnsi="Times New Roman"/>
          <w:sz w:val="24"/>
          <w:szCs w:val="24"/>
        </w:rPr>
        <w:t xml:space="preserve"> da hipótese, Paulo de Barros explana sua dificuldade de definição, devido à confusão que a maioria dos autores fazem, confundindo a parte pelo todo, ou seja, “confundiram o núcleo da hipótese normativa com a própria hipótese [...], por isso, a indevida alusão ao critério material, como a </w:t>
      </w:r>
      <w:r>
        <w:rPr>
          <w:rFonts w:ascii="Times New Roman" w:hAnsi="Times New Roman"/>
          <w:i/>
          <w:sz w:val="24"/>
          <w:szCs w:val="24"/>
        </w:rPr>
        <w:t>descrição objetiva do fato</w:t>
      </w:r>
      <w:r>
        <w:rPr>
          <w:rFonts w:ascii="Times New Roman" w:hAnsi="Times New Roman"/>
          <w:sz w:val="24"/>
          <w:szCs w:val="24"/>
        </w:rPr>
        <w:t>”</w:t>
      </w:r>
      <w:r w:rsidRPr="00FC7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(2012, p. 324, </w:t>
      </w:r>
      <w:r>
        <w:rPr>
          <w:rFonts w:ascii="Times New Roman" w:hAnsi="Times New Roman"/>
          <w:i/>
          <w:sz w:val="24"/>
          <w:szCs w:val="24"/>
        </w:rPr>
        <w:t>grifo nosso</w:t>
      </w:r>
      <w:r>
        <w:rPr>
          <w:rFonts w:ascii="Times New Roman" w:hAnsi="Times New Roman"/>
          <w:sz w:val="24"/>
          <w:szCs w:val="24"/>
        </w:rPr>
        <w:t xml:space="preserve">). Em sua obra “teoria da norma tributária”, o autor em questão, expõe que nessa abstração material há expressões genéricas que designam comportamentos de pessoas, indicando uma ação ou estado. Para indicar tais situações, necessita-se de um verbo (núcleo), bem como seu complemento, por exemplo, “ser proprietário”, “vender mercadorias”, dentre outros. </w:t>
      </w:r>
    </w:p>
    <w:p w:rsidR="006174C1" w:rsidRDefault="006174C1" w:rsidP="00EA271A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Com relação ao </w:t>
      </w:r>
      <w:r w:rsidRPr="00EE2748">
        <w:rPr>
          <w:rFonts w:ascii="Times New Roman" w:hAnsi="Times New Roman"/>
          <w:i/>
          <w:color w:val="000000"/>
          <w:sz w:val="24"/>
          <w:szCs w:val="24"/>
        </w:rPr>
        <w:t>critério espacial</w:t>
      </w:r>
      <w:r>
        <w:rPr>
          <w:rFonts w:ascii="Times New Roman" w:hAnsi="Times New Roman"/>
          <w:color w:val="000000"/>
          <w:sz w:val="24"/>
          <w:szCs w:val="24"/>
        </w:rPr>
        <w:t xml:space="preserve">, sua importância se dá, uma vez que o fato jurídico incide justamente no local onde a norma, interpretada através da lei, expressa. Um exemplo seria o IPTU, em que tal tributo alcança aqueles bens imóveis dispostos no perímetro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urbano. Continuando o entendimento da doutrina de Paulo de Barros, este, por sua vez, traz o entendimento acerca da existência de três níveis de elaboração às coordenadas de espaço dos antecedentes das regras tributárias, como: a) hipóteses com critérios que fazem menção a determinado local para ocorrência do fato típico, como por exemplo os Impostos de Importação e Exportação; b) hipóteses com critérios que aludem áreas específicas, como o IPTU; e c) hipóteses com critérios genéricos (2012, p. 329).</w:t>
      </w:r>
    </w:p>
    <w:p w:rsidR="00EE2748" w:rsidRDefault="00EE2748" w:rsidP="00EA271A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Por fim, Paulo de Barros expõe o </w:t>
      </w:r>
      <w:r w:rsidRPr="004C4DBA">
        <w:rPr>
          <w:rFonts w:ascii="Times New Roman" w:hAnsi="Times New Roman"/>
          <w:i/>
          <w:color w:val="000000"/>
          <w:sz w:val="24"/>
          <w:szCs w:val="24"/>
        </w:rPr>
        <w:t>crit</w:t>
      </w:r>
      <w:r w:rsidR="004C4DBA" w:rsidRPr="004C4DBA">
        <w:rPr>
          <w:rFonts w:ascii="Times New Roman" w:hAnsi="Times New Roman"/>
          <w:i/>
          <w:color w:val="000000"/>
          <w:sz w:val="24"/>
          <w:szCs w:val="24"/>
        </w:rPr>
        <w:t>ério temporal</w:t>
      </w:r>
      <w:r w:rsidR="00C86D9F">
        <w:rPr>
          <w:rFonts w:ascii="Times New Roman" w:hAnsi="Times New Roman"/>
          <w:color w:val="000000"/>
          <w:sz w:val="24"/>
          <w:szCs w:val="24"/>
        </w:rPr>
        <w:t>, onde abrange a necessidade de que “a norma tributária revele o marco de tempo em que se dá por ocorrido o fato, abrindo-se aos sujeitos da relação o exato conhecimento da existência de seus direitos e de suas obrigações</w:t>
      </w:r>
      <w:r w:rsidR="000A0A4A">
        <w:rPr>
          <w:rFonts w:ascii="Times New Roman" w:hAnsi="Times New Roman"/>
          <w:color w:val="000000"/>
          <w:sz w:val="24"/>
          <w:szCs w:val="24"/>
        </w:rPr>
        <w:t xml:space="preserve"> [...] passando a existir o liame jurídico que amarra o devedor e credor</w:t>
      </w:r>
      <w:r w:rsidR="00C86D9F">
        <w:rPr>
          <w:rFonts w:ascii="Times New Roman" w:hAnsi="Times New Roman"/>
          <w:color w:val="000000"/>
          <w:sz w:val="24"/>
          <w:szCs w:val="24"/>
        </w:rPr>
        <w:t>” (2012, p. 330</w:t>
      </w:r>
      <w:r w:rsidR="00F635E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635E1">
        <w:rPr>
          <w:rFonts w:ascii="Times New Roman" w:hAnsi="Times New Roman"/>
          <w:i/>
          <w:color w:val="000000"/>
          <w:sz w:val="24"/>
          <w:szCs w:val="24"/>
        </w:rPr>
        <w:t>grifo nosso</w:t>
      </w:r>
      <w:r w:rsidR="00C86D9F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="006A098A">
        <w:rPr>
          <w:rFonts w:ascii="Times New Roman" w:hAnsi="Times New Roman"/>
          <w:color w:val="000000"/>
          <w:sz w:val="24"/>
          <w:szCs w:val="24"/>
        </w:rPr>
        <w:t>E</w:t>
      </w:r>
      <w:r w:rsidR="00D34E24">
        <w:rPr>
          <w:rFonts w:ascii="Times New Roman" w:hAnsi="Times New Roman"/>
          <w:color w:val="000000"/>
          <w:sz w:val="24"/>
          <w:szCs w:val="24"/>
        </w:rPr>
        <w:t xml:space="preserve">ste </w:t>
      </w:r>
      <w:r w:rsidR="006A098A">
        <w:rPr>
          <w:rFonts w:ascii="Times New Roman" w:hAnsi="Times New Roman"/>
          <w:color w:val="000000"/>
          <w:sz w:val="24"/>
          <w:szCs w:val="24"/>
        </w:rPr>
        <w:t xml:space="preserve">complementa dizendo que uma suposto regra fornece elementos onde oferece precisamente o instante em que acontece o fato descrito, em que o marco de um tempo pressupõe o início de um dever jurídico ao sujeito passivo e um direito subjetivo ao Estado. </w:t>
      </w:r>
    </w:p>
    <w:p w:rsidR="006174C1" w:rsidRPr="007F67A7" w:rsidRDefault="006174C1" w:rsidP="00EA271A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4C1" w:rsidRPr="00D36699" w:rsidRDefault="006174C1" w:rsidP="00EA271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Critério do consequente: pessoal e prestacional</w:t>
      </w:r>
      <w:r w:rsidR="003C7D5A">
        <w:rPr>
          <w:rFonts w:ascii="Times New Roman" w:hAnsi="Times New Roman"/>
          <w:color w:val="000000"/>
          <w:sz w:val="24"/>
          <w:szCs w:val="24"/>
        </w:rPr>
        <w:t xml:space="preserve"> (quantitativo)</w:t>
      </w:r>
    </w:p>
    <w:p w:rsidR="006174C1" w:rsidRDefault="006174C1" w:rsidP="00EA271A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4C1" w:rsidRDefault="006174C1" w:rsidP="00EA271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critérios do consequente normativo abrangem aspecto pessoal e aspe</w:t>
      </w:r>
      <w:r w:rsidR="00066B2D">
        <w:rPr>
          <w:rFonts w:ascii="Times New Roman" w:hAnsi="Times New Roman"/>
          <w:sz w:val="24"/>
          <w:szCs w:val="24"/>
        </w:rPr>
        <w:t>cto prestacional (quantitativo), constituindo um vínculo jurídico entre duas ou mais pessoas, além de estabelecer as obrigações do sujeito passivo em relação ao sujeito ativo.</w:t>
      </w:r>
    </w:p>
    <w:p w:rsidR="000F04A9" w:rsidRDefault="000F04A9" w:rsidP="00EA271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que se refere ao </w:t>
      </w:r>
      <w:r>
        <w:rPr>
          <w:rFonts w:ascii="Times New Roman" w:hAnsi="Times New Roman"/>
          <w:i/>
          <w:sz w:val="24"/>
          <w:szCs w:val="24"/>
        </w:rPr>
        <w:t>critério pessoal</w:t>
      </w:r>
      <w:r>
        <w:rPr>
          <w:rFonts w:ascii="Times New Roman" w:hAnsi="Times New Roman"/>
          <w:sz w:val="24"/>
          <w:szCs w:val="24"/>
        </w:rPr>
        <w:t xml:space="preserve">, este define quem são os sujeitos da relação jurídica, quando da constituição do fato jurídico (CARVALHO A., p. 402). </w:t>
      </w:r>
      <w:r w:rsidR="006F1AB9">
        <w:rPr>
          <w:rFonts w:ascii="Times New Roman" w:hAnsi="Times New Roman"/>
          <w:sz w:val="24"/>
          <w:szCs w:val="24"/>
        </w:rPr>
        <w:t>Algumas normas jurídicas delimitam o critério pessoal com precisão, como são os casos das normas penais. Aurora Tomazini adota alguns requisitos para a escolha dos sujeitos, como o apontamento das notas identificativas dos sujeitos à pessoas diferentes, bem como a escolha de um sujeito dentre uma infinidade.</w:t>
      </w:r>
    </w:p>
    <w:p w:rsidR="00807CBF" w:rsidRDefault="00807CBF" w:rsidP="00EA271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Quanto ao </w:t>
      </w:r>
      <w:r>
        <w:rPr>
          <w:rFonts w:ascii="Times New Roman" w:hAnsi="Times New Roman"/>
          <w:i/>
          <w:sz w:val="24"/>
          <w:szCs w:val="24"/>
        </w:rPr>
        <w:t>critério prestacional</w:t>
      </w:r>
      <w:r>
        <w:rPr>
          <w:rFonts w:ascii="Times New Roman" w:hAnsi="Times New Roman"/>
          <w:sz w:val="24"/>
          <w:szCs w:val="24"/>
        </w:rPr>
        <w:t xml:space="preserve">, este </w:t>
      </w:r>
      <w:r w:rsidR="00144865">
        <w:rPr>
          <w:rFonts w:ascii="Times New Roman" w:hAnsi="Times New Roman"/>
          <w:sz w:val="24"/>
          <w:szCs w:val="24"/>
        </w:rPr>
        <w:t>aponta “qual conduta dever ser cumprida pelo sujeito passivo em favor do sujeito ativo”, sendo um “feixe de informações” onde dita o dever jurídico de um sujeito em relação ao outro (CARVALHO A., p. 408).</w:t>
      </w:r>
    </w:p>
    <w:p w:rsidR="008D4E79" w:rsidRPr="00807CBF" w:rsidRDefault="008D4E79" w:rsidP="00EA271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174C1" w:rsidRDefault="001E5517" w:rsidP="00EA27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ACEPÇÕES ACERCA DO IPTU</w:t>
      </w:r>
    </w:p>
    <w:p w:rsidR="00E26DE3" w:rsidRDefault="00E26DE3" w:rsidP="00EA27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74C1" w:rsidRPr="00C14A0F" w:rsidRDefault="006174C1" w:rsidP="00EA271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14A0F">
        <w:rPr>
          <w:rFonts w:ascii="Times New Roman" w:hAnsi="Times New Roman"/>
          <w:sz w:val="24"/>
          <w:szCs w:val="24"/>
        </w:rPr>
        <w:t xml:space="preserve">O IPTU consiste no imposto sobre a propriedade predial e territorial urbana, e quanto às legislações pertinentes, temos a Constituição Federal, o Código Tributário </w:t>
      </w:r>
      <w:r w:rsidRPr="00C14A0F">
        <w:rPr>
          <w:rFonts w:ascii="Times New Roman" w:hAnsi="Times New Roman"/>
          <w:sz w:val="24"/>
          <w:szCs w:val="24"/>
        </w:rPr>
        <w:lastRenderedPageBreak/>
        <w:t xml:space="preserve">Nacional, o Decreto – Lei 57/66, o Estatuto da Cidade e Leis Municipais. Segundo Terasaca; Cunico; Shimamura (2010), a CF estabelece em seu art. 156, I que compete aos municípios instituir sobre a propriedade predial e territorial urbana; o art. 32 do CTN, por sua vez, que dispõe ser de competência dos Municípios, e ainda, possuir como fato gerador, a propriedade, o domínio útil ou a posse de bem imóvel por natureza ou acessão física, acrescentando em seu parágrafo primeiro, o artigo define que para incidência é necessário que esteja o imóvel servido de no mínimo dois dos melhoramentos ali elencados. </w:t>
      </w:r>
    </w:p>
    <w:p w:rsidR="006174C1" w:rsidRPr="00C14A0F" w:rsidRDefault="006174C1" w:rsidP="00EA271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14A0F">
        <w:rPr>
          <w:rFonts w:ascii="Times New Roman" w:hAnsi="Times New Roman"/>
          <w:sz w:val="24"/>
          <w:szCs w:val="24"/>
        </w:rPr>
        <w:t xml:space="preserve">Com o advento do decreto – lei 57/66, as autoras indicam que passou-se a estabelecer critérios para estabelecer o que seria zona urbana e rural, já o Estatuto da cidade, estabeleceu quais as diretrizes para criação de um Plano Diretor, instituindo a função social da propriedade, enquanto as leis municipais, instituíram direcionamentos aos Planos Diretores de Municípios que possuíssem mais de 20 mil habitantes. </w:t>
      </w:r>
    </w:p>
    <w:p w:rsidR="006174C1" w:rsidRPr="00C14A0F" w:rsidRDefault="006174C1" w:rsidP="00EA271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14A0F">
        <w:rPr>
          <w:rFonts w:ascii="Times New Roman" w:hAnsi="Times New Roman"/>
          <w:sz w:val="24"/>
          <w:szCs w:val="24"/>
        </w:rPr>
        <w:t xml:space="preserve">Carlos Leonetti (2010) define o que se entenderia por propriedade, domínio útil e posse. Sobre o primeiro, seria de acordo com o art. 524 CC, o direito real por excelência, que confere ao titular os direitos ou atributos de uso, gozo e disposição da coisa podendo reavê-la de quem injustamente a possua. Quanto ao domínio útil seria o conjunto de atributos conferidos ao titular de enfiteuse, aforamento ou emprazamento, um direito real em favor de terceiro que não é proprietário do bem, mas lhe é permitido agir como se o fosse. A posse consistiria no comportamento de alguém como se fosse proprietário de um bem, sendo-o ou não, seria “a relação de fato entre a pessoa e a coisa, tendo em vista a utilização econômica desta; a exteriorização da conduta de quem procede como normalmente age o dono” (Op. cit, p. 10). </w:t>
      </w:r>
    </w:p>
    <w:p w:rsidR="006174C1" w:rsidRDefault="005F7406" w:rsidP="00EA271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função do IPTU</w:t>
      </w:r>
      <w:r w:rsidR="006174C1" w:rsidRPr="00C14A0F">
        <w:rPr>
          <w:rFonts w:ascii="Times New Roman" w:hAnsi="Times New Roman"/>
          <w:sz w:val="24"/>
          <w:szCs w:val="24"/>
        </w:rPr>
        <w:t xml:space="preserve"> consiste em tipicamente fiscal, tendo como objetivo primordial a aquisição de recursos financeiros para os Municípios, segundo Hugo Machado (2011). O autor faz referência também às alíquotas, indicando que estas são fixadas pelos Municípios, não sofrendo qualquer limitação por parte da Constituição Federal e nem do CTN. Com relação à base de cálculo, Hugo Machado expõe ser o valor venal do imóvel, consistindo esse, aquele valor que o bem alcançaria se fosse colocado à venda. </w:t>
      </w:r>
    </w:p>
    <w:p w:rsidR="006174C1" w:rsidRPr="00C14A0F" w:rsidRDefault="006174C1" w:rsidP="00EA27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74C1" w:rsidRPr="00C14A0F" w:rsidRDefault="00ED7E47" w:rsidP="00E91377">
      <w:p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r w:rsidR="006174C1" w:rsidRPr="00C14A0F">
        <w:rPr>
          <w:rFonts w:ascii="Times New Roman" w:hAnsi="Times New Roman"/>
          <w:b/>
          <w:sz w:val="24"/>
          <w:szCs w:val="24"/>
        </w:rPr>
        <w:t xml:space="preserve">REGRA MATRIZ DE INCIDÊNCIA TRIBUTÁRIA </w:t>
      </w:r>
      <w:r w:rsidR="006453E2">
        <w:rPr>
          <w:rFonts w:ascii="Times New Roman" w:hAnsi="Times New Roman"/>
          <w:b/>
          <w:sz w:val="24"/>
          <w:szCs w:val="24"/>
        </w:rPr>
        <w:t xml:space="preserve">E A DIVERGÊNCIA DOS ESPAÇOS CONFLITANTES </w:t>
      </w:r>
      <w:r w:rsidR="006453E2" w:rsidRPr="00C14A0F">
        <w:rPr>
          <w:rFonts w:ascii="Times New Roman" w:hAnsi="Times New Roman"/>
          <w:b/>
          <w:sz w:val="24"/>
          <w:szCs w:val="24"/>
        </w:rPr>
        <w:t>DO IPTU</w:t>
      </w:r>
    </w:p>
    <w:p w:rsidR="006174C1" w:rsidRPr="00C14A0F" w:rsidRDefault="006174C1" w:rsidP="00EA27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74C1" w:rsidRPr="00C14A0F" w:rsidRDefault="006174C1" w:rsidP="00EA271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14A0F">
        <w:rPr>
          <w:rFonts w:ascii="Times New Roman" w:hAnsi="Times New Roman"/>
          <w:sz w:val="24"/>
          <w:szCs w:val="24"/>
        </w:rPr>
        <w:t xml:space="preserve">Conforme já explicitado, a norma tributária é composta de um antecedente e de um consequente, sendo o primeiro formado pelos critérios material, espacial e temporal, e o </w:t>
      </w:r>
      <w:r w:rsidRPr="00C14A0F">
        <w:rPr>
          <w:rFonts w:ascii="Times New Roman" w:hAnsi="Times New Roman"/>
          <w:sz w:val="24"/>
          <w:szCs w:val="24"/>
        </w:rPr>
        <w:lastRenderedPageBreak/>
        <w:t>segundo pelo pessoal e pelo quantitativo</w:t>
      </w:r>
      <w:r w:rsidR="006B5A3F">
        <w:rPr>
          <w:rFonts w:ascii="Times New Roman" w:hAnsi="Times New Roman"/>
          <w:sz w:val="24"/>
          <w:szCs w:val="24"/>
        </w:rPr>
        <w:t xml:space="preserve"> (prestacional)</w:t>
      </w:r>
      <w:r w:rsidR="00FC5D14">
        <w:rPr>
          <w:rFonts w:ascii="Times New Roman" w:hAnsi="Times New Roman"/>
          <w:sz w:val="24"/>
          <w:szCs w:val="24"/>
        </w:rPr>
        <w:t>. A importância da utilização de tais critérios se dá, uma vez que estes definem as diretrizes que nortearão a execução de incidência do tributo. Assim sendo, caracterizar-se-á tais</w:t>
      </w:r>
      <w:r w:rsidRPr="00C14A0F">
        <w:rPr>
          <w:rFonts w:ascii="Times New Roman" w:hAnsi="Times New Roman"/>
          <w:sz w:val="24"/>
          <w:szCs w:val="24"/>
        </w:rPr>
        <w:t xml:space="preserve"> critérios no Imposto sobre a propriedade predial e territorial urbana – IPTU</w:t>
      </w:r>
      <w:r w:rsidR="001E5517">
        <w:rPr>
          <w:rFonts w:ascii="Times New Roman" w:hAnsi="Times New Roman"/>
          <w:sz w:val="24"/>
          <w:szCs w:val="24"/>
        </w:rPr>
        <w:t>, bem como a análise de sua incidência no qu diz respeito ao critério espacial.</w:t>
      </w:r>
    </w:p>
    <w:p w:rsidR="006174C1" w:rsidRPr="00C14A0F" w:rsidRDefault="006174C1" w:rsidP="00EA27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74C1" w:rsidRPr="00C14A0F" w:rsidRDefault="006174C1" w:rsidP="00EA27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4A0F">
        <w:rPr>
          <w:rFonts w:ascii="Times New Roman" w:hAnsi="Times New Roman"/>
          <w:b/>
          <w:sz w:val="24"/>
          <w:szCs w:val="24"/>
        </w:rPr>
        <w:t xml:space="preserve">3.1 Antecedente </w:t>
      </w:r>
    </w:p>
    <w:p w:rsidR="006174C1" w:rsidRPr="00C14A0F" w:rsidRDefault="006174C1" w:rsidP="00EA27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74C1" w:rsidRPr="00C14A0F" w:rsidRDefault="006174C1" w:rsidP="00EA271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14A0F">
        <w:rPr>
          <w:rFonts w:ascii="Times New Roman" w:hAnsi="Times New Roman"/>
          <w:sz w:val="24"/>
          <w:szCs w:val="24"/>
        </w:rPr>
        <w:t>Começando pelo critério material, este no caso do IPTU, consiste no comportamento pessoal de ser o proprietário do bem imóvel, de ser o titular da propriedade ou ainda o comportamento de deter algum dos poderes inerentes à propriedade capazes de ensejar a presunção de riqueza (BITTENCOURT, 2011). Gabriela Bittencourt expõe ainda que existe uma divergência doutrinal acerca do termo propriedade, pois discute-se se o vocábulo seria utilizado no sentido comum, de domínio útil, ou no sentido técnico/jurídico de direito pleno de uso, gozo e disposição. A autora assevera</w:t>
      </w:r>
      <w:r w:rsidR="006B5A3F">
        <w:rPr>
          <w:rFonts w:ascii="Times New Roman" w:hAnsi="Times New Roman"/>
          <w:sz w:val="24"/>
          <w:szCs w:val="24"/>
        </w:rPr>
        <w:t>,</w:t>
      </w:r>
      <w:r w:rsidRPr="00C14A0F">
        <w:rPr>
          <w:rFonts w:ascii="Times New Roman" w:hAnsi="Times New Roman"/>
          <w:sz w:val="24"/>
          <w:szCs w:val="24"/>
        </w:rPr>
        <w:t xml:space="preserve"> entretanto, que o entendimento do CTN seria o de que a propriedade consiste no gozo jurídico de uso, fruição e disposição de bem imóvel.</w:t>
      </w:r>
    </w:p>
    <w:p w:rsidR="006174C1" w:rsidRPr="00F75020" w:rsidRDefault="006174C1" w:rsidP="00EA271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F75020">
        <w:rPr>
          <w:rFonts w:ascii="Times New Roman" w:hAnsi="Times New Roman"/>
          <w:sz w:val="24"/>
          <w:szCs w:val="24"/>
        </w:rPr>
        <w:t xml:space="preserve">O critério temporal do IPTU, de acordo com Terasaca (Op. cit.), representa o momento em que nasce o direito e o dever de pagar o tributo, cabendo ao legislador municipal, estipular a data em que se considera existente o evento que enseja a hipótese tributária. As autoras asseveram ainda que essa incidência do imposto pode ser bienal, semestral, trimestral, mas, via de regra, o ano, sendo 1º de janeiro de cada um, é escolhido como marco do critério temporal. </w:t>
      </w:r>
    </w:p>
    <w:p w:rsidR="006174C1" w:rsidRPr="00C14A0F" w:rsidRDefault="006174C1" w:rsidP="00EA271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14A0F">
        <w:rPr>
          <w:rFonts w:ascii="Times New Roman" w:hAnsi="Times New Roman"/>
          <w:sz w:val="24"/>
          <w:szCs w:val="24"/>
        </w:rPr>
        <w:t xml:space="preserve">Por último, o critério espacial, se refere ao local onde está situada a propriedade imóvel, devendo necessariamente estar localizada em zona urbana da cidade; sendo que, se o imóvel é edificado, o imposto será o predial, e não o sendo, será do territorial urbano (BARBOSA, 2006). </w:t>
      </w:r>
    </w:p>
    <w:p w:rsidR="005F7406" w:rsidRPr="00C14A0F" w:rsidRDefault="005F7406" w:rsidP="00EA271A">
      <w:pPr>
        <w:spacing w:after="0"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6174C1" w:rsidRPr="00C14A0F" w:rsidRDefault="006174C1" w:rsidP="00EA27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4A0F">
        <w:rPr>
          <w:rFonts w:ascii="Times New Roman" w:hAnsi="Times New Roman"/>
          <w:b/>
          <w:sz w:val="24"/>
          <w:szCs w:val="24"/>
        </w:rPr>
        <w:t>3.2 Consequente</w:t>
      </w:r>
    </w:p>
    <w:p w:rsidR="006174C1" w:rsidRPr="00C14A0F" w:rsidRDefault="006174C1" w:rsidP="00EA27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74C1" w:rsidRPr="00C14A0F" w:rsidRDefault="006174C1" w:rsidP="00EA271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14A0F">
        <w:rPr>
          <w:rFonts w:ascii="Times New Roman" w:hAnsi="Times New Roman"/>
          <w:sz w:val="24"/>
          <w:szCs w:val="24"/>
        </w:rPr>
        <w:t xml:space="preserve">O critério pessoal designa os sujeitos da relação jurídica, sendo no caso do IPTU, quanto sujeito ativo, os Municípios e o DF e quanto ao passivo o proprietário, o titular do domínio útil e o possuidor (SILVA, 2010). O Autor indica ainda que não comporta como sujeito passivo o locatário ou comodatário, tendo em vista que “são meros titulares de direitos </w:t>
      </w:r>
      <w:r w:rsidRPr="00C14A0F">
        <w:rPr>
          <w:rFonts w:ascii="Times New Roman" w:hAnsi="Times New Roman"/>
          <w:sz w:val="24"/>
          <w:szCs w:val="24"/>
        </w:rPr>
        <w:lastRenderedPageBreak/>
        <w:t xml:space="preserve">pessoais limitados em relação à coisa, cujos proprietários mantém a posse indireta do imóvel” (Op.cit, p. 7). Assim, o imposto incidirá segundo Nilson Silva na posse </w:t>
      </w:r>
      <w:r w:rsidRPr="00C14A0F">
        <w:rPr>
          <w:rFonts w:ascii="Times New Roman" w:hAnsi="Times New Roman"/>
          <w:i/>
          <w:sz w:val="24"/>
          <w:szCs w:val="24"/>
        </w:rPr>
        <w:t>ad usucapionem</w:t>
      </w:r>
      <w:r w:rsidRPr="00C14A0F">
        <w:rPr>
          <w:rFonts w:ascii="Times New Roman" w:hAnsi="Times New Roman"/>
          <w:sz w:val="24"/>
          <w:szCs w:val="24"/>
        </w:rPr>
        <w:t xml:space="preserve">, na qual se exterioriza a propriedade ou o domínio, e após decorrido certo tempo, gera usucapião. </w:t>
      </w:r>
    </w:p>
    <w:p w:rsidR="006174C1" w:rsidRDefault="006174C1" w:rsidP="00EA271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14A0F">
        <w:rPr>
          <w:rFonts w:ascii="Times New Roman" w:hAnsi="Times New Roman"/>
          <w:sz w:val="24"/>
          <w:szCs w:val="24"/>
        </w:rPr>
        <w:t xml:space="preserve">Com relação ao critério quantitativo, conforme já fora visto, a base de cálculo é o valor venal do imóvel, o valor de mercado desse imóvel. Por alíquota, se entente a parte fixa ou variável, que estabelece progressiva ou regressivamente, a medida exata do tributo, sendo normalmente estabelecida em forma de porcentagem; podendo ocorrer de vir em número exato também (BARBOSA, Op.cit.). </w:t>
      </w:r>
    </w:p>
    <w:p w:rsidR="003A2494" w:rsidRPr="006B5A3F" w:rsidRDefault="003A2494" w:rsidP="00EA27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494" w:rsidRPr="006B5A3F" w:rsidRDefault="003A2494" w:rsidP="00E91377">
      <w:p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B5A3F">
        <w:rPr>
          <w:rFonts w:ascii="Times New Roman" w:hAnsi="Times New Roman"/>
          <w:b/>
          <w:sz w:val="24"/>
          <w:szCs w:val="24"/>
        </w:rPr>
        <w:t xml:space="preserve">3.3 </w:t>
      </w:r>
      <w:r w:rsidR="00990EBF">
        <w:rPr>
          <w:rFonts w:ascii="Times New Roman" w:hAnsi="Times New Roman"/>
          <w:b/>
          <w:sz w:val="24"/>
          <w:szCs w:val="24"/>
        </w:rPr>
        <w:t xml:space="preserve">Análise à indefinição da expressão “zona </w:t>
      </w:r>
      <w:r w:rsidR="00990EBF" w:rsidRPr="00990EBF">
        <w:rPr>
          <w:rFonts w:ascii="Times New Roman" w:hAnsi="Times New Roman"/>
          <w:b/>
          <w:sz w:val="24"/>
          <w:szCs w:val="24"/>
        </w:rPr>
        <w:t>urbana” n</w:t>
      </w:r>
      <w:r w:rsidR="00515650" w:rsidRPr="00990EBF">
        <w:rPr>
          <w:rFonts w:ascii="Times New Roman" w:hAnsi="Times New Roman"/>
          <w:b/>
          <w:sz w:val="24"/>
          <w:szCs w:val="24"/>
        </w:rPr>
        <w:t>a incidência</w:t>
      </w:r>
      <w:r w:rsidR="001F4231">
        <w:rPr>
          <w:rFonts w:ascii="Times New Roman" w:hAnsi="Times New Roman"/>
          <w:b/>
          <w:sz w:val="24"/>
          <w:szCs w:val="24"/>
        </w:rPr>
        <w:t xml:space="preserve"> do critério espacial</w:t>
      </w:r>
      <w:r w:rsidR="00515650" w:rsidRPr="00990EBF">
        <w:rPr>
          <w:rFonts w:ascii="Times New Roman" w:hAnsi="Times New Roman"/>
          <w:b/>
          <w:sz w:val="24"/>
          <w:szCs w:val="24"/>
        </w:rPr>
        <w:t xml:space="preserve"> do</w:t>
      </w:r>
      <w:r w:rsidR="00BA02A6" w:rsidRPr="00990EBF">
        <w:rPr>
          <w:rFonts w:ascii="Times New Roman" w:hAnsi="Times New Roman"/>
          <w:b/>
          <w:sz w:val="24"/>
          <w:szCs w:val="24"/>
        </w:rPr>
        <w:t xml:space="preserve"> IPTU</w:t>
      </w:r>
      <w:r w:rsidR="00D17390">
        <w:rPr>
          <w:rFonts w:ascii="Times New Roman" w:hAnsi="Times New Roman"/>
          <w:b/>
          <w:sz w:val="24"/>
          <w:szCs w:val="24"/>
        </w:rPr>
        <w:t xml:space="preserve"> e o entendimento jurisprudencial</w:t>
      </w:r>
    </w:p>
    <w:p w:rsidR="006174C1" w:rsidRDefault="006174C1" w:rsidP="00EA271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C14A0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5650" w:rsidRDefault="00515650" w:rsidP="00EA271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 presente tópico objetiva analisar </w:t>
      </w:r>
      <w:r w:rsidR="00990EBF">
        <w:rPr>
          <w:rFonts w:ascii="Times New Roman" w:hAnsi="Times New Roman"/>
          <w:color w:val="000000"/>
          <w:sz w:val="24"/>
          <w:szCs w:val="24"/>
        </w:rPr>
        <w:t>indefinição da expressão “zona urbana”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0EBF"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z w:val="24"/>
          <w:szCs w:val="24"/>
        </w:rPr>
        <w:t xml:space="preserve"> incidência do IPTU, utilizando, especificamente</w:t>
      </w:r>
      <w:r w:rsidR="00EB4D65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o critério espacial. Nesse sentido, faz-se necessário entender até que ponto se emprega tal tributo.</w:t>
      </w:r>
      <w:r w:rsidR="00EB4D65">
        <w:rPr>
          <w:rFonts w:ascii="Times New Roman" w:hAnsi="Times New Roman"/>
          <w:color w:val="000000"/>
          <w:sz w:val="24"/>
          <w:szCs w:val="24"/>
        </w:rPr>
        <w:t xml:space="preserve">  Para atingir tal finalidade, utilizar-se-ão decisões jurisprudenciais, como norteadores para possíveis soluções de cobranças do IPTU em espaços urbanos conflitantes.</w:t>
      </w:r>
    </w:p>
    <w:p w:rsidR="00B86B13" w:rsidRDefault="00B86B13" w:rsidP="00EA271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 que diz respeito ao limite do emprego do presente tributo, o artigo 32 do Código Tributário Nacional assegura que tal imposto tem como fato gerador a propriedade, o domínio útil, bem como a posse do bem imóvel por natureza ou ascensão física, sendo que há necessidade de localizarem na zona urbana do município. E o que seria zona urbana? O presente código define</w:t>
      </w:r>
      <w:r w:rsidR="008975A2">
        <w:rPr>
          <w:rFonts w:ascii="Times New Roman" w:hAnsi="Times New Roman"/>
          <w:color w:val="000000"/>
          <w:sz w:val="24"/>
          <w:szCs w:val="24"/>
        </w:rPr>
        <w:t xml:space="preserve"> a referida expressão nas seguintes</w:t>
      </w:r>
      <w:r>
        <w:rPr>
          <w:rFonts w:ascii="Times New Roman" w:hAnsi="Times New Roman"/>
          <w:color w:val="000000"/>
          <w:sz w:val="24"/>
          <w:szCs w:val="24"/>
        </w:rPr>
        <w:t xml:space="preserve"> hipótese</w:t>
      </w:r>
      <w:r w:rsidR="008975A2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86B13" w:rsidRDefault="00B86B13" w:rsidP="00B86B13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Style w:val="apple-converted-space"/>
          <w:rFonts w:eastAsia="Calibri"/>
          <w:color w:val="000000"/>
          <w:sz w:val="20"/>
          <w:szCs w:val="20"/>
        </w:rPr>
      </w:pPr>
      <w:r w:rsidRPr="00AD0F4A">
        <w:rPr>
          <w:rStyle w:val="apple-converted-space"/>
          <w:rFonts w:eastAsia="Calibri"/>
          <w:color w:val="000000"/>
          <w:sz w:val="20"/>
          <w:szCs w:val="20"/>
        </w:rPr>
        <w:t> </w:t>
      </w:r>
    </w:p>
    <w:p w:rsidR="00B86B13" w:rsidRPr="00AD0F4A" w:rsidRDefault="00B86B13" w:rsidP="00B86B13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AD0F4A">
        <w:rPr>
          <w:color w:val="000000"/>
          <w:sz w:val="20"/>
          <w:szCs w:val="20"/>
        </w:rPr>
        <w:t>§ 1º Para os efeitos deste imposto, entende-se como zona urbana a definida em lei municipal; observado o requisito mínimo da existência de melhoramentos indicados em pelo menos 2 (dois) dos incisos seguintes, construídos ou mantidos pelo Poder Público:</w:t>
      </w:r>
    </w:p>
    <w:p w:rsidR="00B86B13" w:rsidRPr="00AD0F4A" w:rsidRDefault="00B86B13" w:rsidP="00B86B13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AD0F4A">
        <w:rPr>
          <w:color w:val="000000"/>
          <w:sz w:val="20"/>
          <w:szCs w:val="20"/>
        </w:rPr>
        <w:t>        I - meio-fio ou calçamento, com canalização de águas pluviais;</w:t>
      </w:r>
    </w:p>
    <w:p w:rsidR="00B86B13" w:rsidRPr="00AD0F4A" w:rsidRDefault="00B86B13" w:rsidP="00B86B13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AD0F4A">
        <w:rPr>
          <w:color w:val="000000"/>
          <w:sz w:val="20"/>
          <w:szCs w:val="20"/>
        </w:rPr>
        <w:t>        II - abastecimento de água;</w:t>
      </w:r>
    </w:p>
    <w:p w:rsidR="00B86B13" w:rsidRPr="00AD0F4A" w:rsidRDefault="00B86B13" w:rsidP="00B86B13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AD0F4A">
        <w:rPr>
          <w:color w:val="000000"/>
          <w:sz w:val="20"/>
          <w:szCs w:val="20"/>
        </w:rPr>
        <w:t>        III - sistema de esgotos sanitários;</w:t>
      </w:r>
    </w:p>
    <w:p w:rsidR="00B86B13" w:rsidRPr="00AD0F4A" w:rsidRDefault="00B86B13" w:rsidP="00B86B13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AD0F4A">
        <w:rPr>
          <w:color w:val="000000"/>
          <w:sz w:val="20"/>
          <w:szCs w:val="20"/>
        </w:rPr>
        <w:t>        IV - rede de iluminação pública, com ou sem posteamento para distribuição domiciliar;</w:t>
      </w:r>
    </w:p>
    <w:p w:rsidR="00B86B13" w:rsidRPr="00AD0F4A" w:rsidRDefault="00B86B13" w:rsidP="00B86B13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AD0F4A">
        <w:rPr>
          <w:color w:val="000000"/>
          <w:sz w:val="20"/>
          <w:szCs w:val="20"/>
        </w:rPr>
        <w:t>        V - escola primária ou posto de saúde a uma distância máxima de 3 (três) quilômetros do imóvel considerado.</w:t>
      </w:r>
    </w:p>
    <w:p w:rsidR="00B86B13" w:rsidRPr="00AD0F4A" w:rsidRDefault="00B86B13" w:rsidP="00B86B13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AD0F4A">
        <w:rPr>
          <w:color w:val="000000"/>
          <w:sz w:val="20"/>
          <w:szCs w:val="20"/>
        </w:rPr>
        <w:t>        § 2º A lei municipal pode considerar urbanas as áreas urbanizáveis, ou de expansão urbana, constantes de loteamentos aprovados pelos órgãos competentes, destinados à habitação, à indústria ou ao comércio, mesmo que localizados fora das zonas definidas nos termos do parágrafo anterior.</w:t>
      </w:r>
    </w:p>
    <w:p w:rsidR="00B86B13" w:rsidRPr="00AD0F4A" w:rsidRDefault="00B86B13" w:rsidP="00B86B13">
      <w:pPr>
        <w:spacing w:after="0"/>
        <w:ind w:left="2268"/>
        <w:jc w:val="both"/>
        <w:rPr>
          <w:rFonts w:ascii="Times New Roman" w:hAnsi="Times New Roman"/>
          <w:sz w:val="20"/>
          <w:szCs w:val="20"/>
        </w:rPr>
      </w:pPr>
    </w:p>
    <w:p w:rsidR="00EF5337" w:rsidRDefault="008975A2" w:rsidP="00EF5337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Percebe-</w:t>
      </w:r>
      <w:r w:rsidR="000F5D0F">
        <w:rPr>
          <w:rFonts w:ascii="Times New Roman" w:hAnsi="Times New Roman"/>
          <w:color w:val="000000"/>
          <w:sz w:val="24"/>
          <w:szCs w:val="24"/>
        </w:rPr>
        <w:t>se que a</w:t>
      </w:r>
      <w:r>
        <w:rPr>
          <w:rFonts w:ascii="Times New Roman" w:hAnsi="Times New Roman"/>
          <w:color w:val="000000"/>
          <w:sz w:val="24"/>
          <w:szCs w:val="24"/>
        </w:rPr>
        <w:t xml:space="preserve"> legislação </w:t>
      </w:r>
      <w:r w:rsidR="00990EBF">
        <w:rPr>
          <w:rFonts w:ascii="Times New Roman" w:hAnsi="Times New Roman"/>
          <w:color w:val="000000"/>
          <w:sz w:val="24"/>
          <w:szCs w:val="24"/>
        </w:rPr>
        <w:t>possibilita</w:t>
      </w:r>
      <w:r w:rsidR="00EF5337">
        <w:rPr>
          <w:rFonts w:ascii="Times New Roman" w:hAnsi="Times New Roman"/>
          <w:color w:val="000000"/>
          <w:sz w:val="24"/>
          <w:szCs w:val="24"/>
        </w:rPr>
        <w:t xml:space="preserve"> poderes à lei municipal para </w:t>
      </w:r>
      <w:r>
        <w:rPr>
          <w:rFonts w:ascii="Times New Roman" w:hAnsi="Times New Roman"/>
          <w:color w:val="000000"/>
          <w:sz w:val="24"/>
          <w:szCs w:val="24"/>
        </w:rPr>
        <w:t>delimita</w:t>
      </w:r>
      <w:r w:rsidR="00EF5337">
        <w:rPr>
          <w:rFonts w:ascii="Times New Roman" w:hAnsi="Times New Roman"/>
          <w:color w:val="000000"/>
          <w:sz w:val="24"/>
          <w:szCs w:val="24"/>
        </w:rPr>
        <w:t xml:space="preserve">r a zona urbana. Além disso, traz um rol exemplificativo, de elementos que devem existir nessa zona, típicos da urbe. </w:t>
      </w:r>
    </w:p>
    <w:p w:rsidR="006D23EA" w:rsidRPr="00B73708" w:rsidRDefault="00990EBF" w:rsidP="006D23EA">
      <w:pPr>
        <w:pStyle w:val="PargrafodaLista"/>
        <w:spacing w:after="0" w:line="360" w:lineRule="auto"/>
        <w:ind w:left="0" w:firstLine="1134"/>
        <w:jc w:val="both"/>
        <w:rPr>
          <w:rStyle w:val="A0"/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Entretanto, o problema se dá pela indefinição do que seja “zona urbana”</w:t>
      </w:r>
      <w:r w:rsidR="006D23EA">
        <w:rPr>
          <w:rFonts w:ascii="Times New Roman" w:hAnsi="Times New Roman"/>
          <w:color w:val="000000"/>
          <w:sz w:val="24"/>
          <w:szCs w:val="24"/>
        </w:rPr>
        <w:t>, uma vez que dependendo da situação, tanto o município quanto a União poderia exigir tributo do proprietário, aquele (município) o IPTU, este (União) o ITR. Nesse contexto, Pincelli (2002, p. 153) tenta amenizar a problemática propondo um entendimento partindo de duas perspectivas, ou seja, “a palavra urbana pode ser entendida como adjetivo do objeto, do caso a propriedade, ou ainda como relação entre o objeto e o local em que o mesmo se inscreve”</w:t>
      </w:r>
      <w:r w:rsidR="009B34F8">
        <w:rPr>
          <w:rFonts w:ascii="Times New Roman" w:hAnsi="Times New Roman"/>
          <w:color w:val="000000"/>
          <w:sz w:val="24"/>
          <w:szCs w:val="24"/>
        </w:rPr>
        <w:t xml:space="preserve">, como “imóvel urbano” ou “imóvel situado em área </w:t>
      </w:r>
      <w:r w:rsidR="009B34F8" w:rsidRPr="009B34F8">
        <w:rPr>
          <w:rFonts w:ascii="Times New Roman" w:hAnsi="Times New Roman"/>
          <w:color w:val="000000"/>
          <w:sz w:val="24"/>
          <w:szCs w:val="24"/>
        </w:rPr>
        <w:t xml:space="preserve">urbana”, havendo dois critérios distintos: a) destinação/utilização e </w:t>
      </w:r>
      <w:r w:rsidR="00E80EA2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="009B34F8" w:rsidRPr="009B34F8">
        <w:rPr>
          <w:rFonts w:ascii="Times New Roman" w:hAnsi="Times New Roman"/>
          <w:color w:val="000000"/>
          <w:sz w:val="24"/>
          <w:szCs w:val="24"/>
        </w:rPr>
        <w:t>situação/localização (</w:t>
      </w:r>
      <w:r w:rsidR="009B34F8" w:rsidRPr="009B34F8">
        <w:rPr>
          <w:rFonts w:ascii="Times New Roman" w:hAnsi="Times New Roman"/>
          <w:i/>
          <w:color w:val="000000"/>
          <w:sz w:val="24"/>
          <w:szCs w:val="24"/>
        </w:rPr>
        <w:t>apud</w:t>
      </w:r>
      <w:r w:rsidR="009B34F8" w:rsidRPr="009B3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34F8" w:rsidRPr="009B34F8">
        <w:rPr>
          <w:rStyle w:val="A0"/>
          <w:rFonts w:ascii="Times New Roman" w:hAnsi="Times New Roman"/>
          <w:b w:val="0"/>
          <w:i w:val="0"/>
          <w:sz w:val="24"/>
          <w:szCs w:val="24"/>
        </w:rPr>
        <w:t>DENOBI; RUBBO, 2010)</w:t>
      </w:r>
      <w:r w:rsidR="00D172C3">
        <w:rPr>
          <w:rStyle w:val="A0"/>
          <w:rFonts w:ascii="Times New Roman" w:hAnsi="Times New Roman"/>
          <w:b w:val="0"/>
          <w:i w:val="0"/>
          <w:sz w:val="24"/>
          <w:szCs w:val="24"/>
        </w:rPr>
        <w:t xml:space="preserve">. O aludido autor complementa assegurando que, caso haja uma interpretação restritiva, (“o preenchimento dos critérios localização e destinação concomitantemente”) ou ampliativa (“preenchimento de um ou outro critério bastaria para caracterizar a subsunção”) poderia  se instalar o </w:t>
      </w:r>
      <w:r w:rsidR="00D172C3" w:rsidRPr="00B73708">
        <w:rPr>
          <w:rStyle w:val="A0"/>
          <w:rFonts w:ascii="Times New Roman" w:hAnsi="Times New Roman"/>
          <w:b w:val="0"/>
          <w:i w:val="0"/>
          <w:sz w:val="24"/>
          <w:szCs w:val="24"/>
        </w:rPr>
        <w:t xml:space="preserve">conflito de competência in concreto, havendo incidência simultânea de dois impostos (IPTU e ITR) por dois sujeitos ativos distintos (União e Município). Daí a necessidade de uma lei complementar com finalidade de </w:t>
      </w:r>
      <w:r w:rsidR="003D17BC" w:rsidRPr="00B73708">
        <w:rPr>
          <w:rStyle w:val="A0"/>
          <w:rFonts w:ascii="Times New Roman" w:hAnsi="Times New Roman"/>
          <w:b w:val="0"/>
          <w:i w:val="0"/>
          <w:sz w:val="24"/>
          <w:szCs w:val="24"/>
        </w:rPr>
        <w:t xml:space="preserve">limitar tanto as hipóteses de incidência do IPTU quanto do ITR. </w:t>
      </w:r>
    </w:p>
    <w:p w:rsidR="00B73708" w:rsidRPr="00AB0637" w:rsidRDefault="003D17BC" w:rsidP="00AB0637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B73708">
        <w:rPr>
          <w:rStyle w:val="A0"/>
          <w:rFonts w:ascii="Times New Roman" w:hAnsi="Times New Roman"/>
          <w:b w:val="0"/>
          <w:i w:val="0"/>
          <w:sz w:val="24"/>
          <w:szCs w:val="24"/>
        </w:rPr>
        <w:t>Ao que se refere o entendimento dos tribunais</w:t>
      </w:r>
      <w:r w:rsidR="00B73708" w:rsidRPr="00B73708">
        <w:rPr>
          <w:rStyle w:val="A0"/>
          <w:rFonts w:ascii="Times New Roman" w:hAnsi="Times New Roman"/>
          <w:b w:val="0"/>
          <w:i w:val="0"/>
          <w:sz w:val="24"/>
          <w:szCs w:val="24"/>
        </w:rPr>
        <w:t xml:space="preserve">, verifica-se que tal classificação não se faz necessária, onde a segunda turma do STJ </w:t>
      </w:r>
      <w:r w:rsidR="00E80EA2">
        <w:rPr>
          <w:rStyle w:val="A0"/>
          <w:rFonts w:ascii="Times New Roman" w:hAnsi="Times New Roman"/>
          <w:b w:val="0"/>
          <w:i w:val="0"/>
          <w:sz w:val="24"/>
          <w:szCs w:val="24"/>
        </w:rPr>
        <w:t xml:space="preserve">afirma que </w:t>
      </w:r>
      <w:r w:rsidR="00B73708" w:rsidRPr="00B73708">
        <w:rPr>
          <w:rStyle w:val="A0"/>
          <w:rFonts w:ascii="Times New Roman" w:hAnsi="Times New Roman"/>
          <w:b w:val="0"/>
          <w:i w:val="0"/>
          <w:sz w:val="24"/>
          <w:szCs w:val="24"/>
        </w:rPr>
        <w:t>o que importa para a incidência do IPTU é a localização do imóvel, como já dito anteriormente no art. 32, §1º do CTN</w:t>
      </w:r>
      <w:r w:rsidR="00E80EA2">
        <w:rPr>
          <w:rStyle w:val="A0"/>
          <w:rFonts w:ascii="Times New Roman" w:hAnsi="Times New Roman"/>
          <w:b w:val="0"/>
          <w:i w:val="0"/>
          <w:sz w:val="24"/>
          <w:szCs w:val="24"/>
        </w:rPr>
        <w:t>, e não sua destinação</w:t>
      </w:r>
      <w:r w:rsidR="00B73708" w:rsidRPr="00B73708">
        <w:rPr>
          <w:rStyle w:val="A0"/>
          <w:rFonts w:ascii="Times New Roman" w:hAnsi="Times New Roman"/>
          <w:b w:val="0"/>
          <w:i w:val="0"/>
          <w:sz w:val="24"/>
          <w:szCs w:val="24"/>
        </w:rPr>
        <w:t>:</w:t>
      </w:r>
    </w:p>
    <w:p w:rsidR="00AB0637" w:rsidRDefault="00AB0637" w:rsidP="00B73708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B73708" w:rsidRDefault="00B73708" w:rsidP="00B73708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B73708">
        <w:rPr>
          <w:rFonts w:ascii="Times New Roman" w:hAnsi="Times New Roman"/>
          <w:sz w:val="20"/>
          <w:szCs w:val="20"/>
        </w:rPr>
        <w:t xml:space="preserve">TRIBUTÁRIO. IPTU. CARACTERIZAÇÃO DO IMÓVEL. INCIDÊNCIA DO IMPOSTO. D.L. 57/66. PREVALECIMENTO DO CTN COMO LEI COMPLEMENTAR. PRECEDENTE DO STF. </w:t>
      </w:r>
    </w:p>
    <w:p w:rsidR="00B73708" w:rsidRDefault="00B73708" w:rsidP="00B73708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B73708">
        <w:rPr>
          <w:rFonts w:ascii="Times New Roman" w:hAnsi="Times New Roman"/>
          <w:sz w:val="20"/>
          <w:szCs w:val="20"/>
        </w:rPr>
        <w:t xml:space="preserve">1. Consoante fixado pela Excelsa Corte, o Código Tributário Nacional é Lei Complementar que não pode ser alterado por Decreto-lei. </w:t>
      </w:r>
      <w:r w:rsidRPr="00B73708">
        <w:rPr>
          <w:rFonts w:ascii="Times New Roman" w:hAnsi="Times New Roman"/>
          <w:b/>
          <w:sz w:val="20"/>
          <w:szCs w:val="20"/>
        </w:rPr>
        <w:t>Assim, para efeito da incidência do IPTU o que importa é a localização do imóvel, como previsto no art. 32, § 1º, do CTN e não sua destinação.</w:t>
      </w:r>
      <w:r w:rsidRPr="00B73708">
        <w:rPr>
          <w:rFonts w:ascii="Times New Roman" w:hAnsi="Times New Roman"/>
          <w:sz w:val="20"/>
          <w:szCs w:val="20"/>
        </w:rPr>
        <w:t xml:space="preserve"> </w:t>
      </w:r>
    </w:p>
    <w:p w:rsidR="00B73708" w:rsidRDefault="00B73708" w:rsidP="00B73708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B73708">
        <w:rPr>
          <w:rFonts w:ascii="Times New Roman" w:hAnsi="Times New Roman"/>
          <w:sz w:val="20"/>
          <w:szCs w:val="20"/>
        </w:rPr>
        <w:t>2. Recurso especial conhecido, porém, improvido. (STJ - REsp: 169924 RS 1998/0024007-1, Relator: Ministro FRANCISCO PEÇANHA MARTINS, Data de Julgamento: 16/11/2000, T2 - SEGUNDA TURMA, Data de Publicação: DJ 04/06/2001 p. 87)</w:t>
      </w:r>
      <w:r>
        <w:rPr>
          <w:rFonts w:ascii="Times New Roman" w:hAnsi="Times New Roman"/>
          <w:sz w:val="20"/>
          <w:szCs w:val="20"/>
        </w:rPr>
        <w:t xml:space="preserve"> (grifo nosso).</w:t>
      </w:r>
    </w:p>
    <w:p w:rsidR="00B73708" w:rsidRPr="00B73708" w:rsidRDefault="00B73708" w:rsidP="004F577B">
      <w:pPr>
        <w:spacing w:after="12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B73708" w:rsidRPr="004F577B" w:rsidRDefault="00AB0637" w:rsidP="004F577B">
      <w:pPr>
        <w:shd w:val="clear" w:color="auto" w:fill="FFFFFF"/>
        <w:spacing w:after="0" w:line="360" w:lineRule="auto"/>
        <w:ind w:firstLine="1134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Outra decisão jurisprudencial do STJ foi o Recurso Especial 492869</w:t>
      </w:r>
      <w:r w:rsidR="004F57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577B" w:rsidRPr="000F06A8">
        <w:rPr>
          <w:rFonts w:ascii="Times New Roman" w:hAnsi="Times New Roman"/>
          <w:bCs/>
          <w:kern w:val="36"/>
          <w:sz w:val="24"/>
          <w:szCs w:val="24"/>
        </w:rPr>
        <w:t>PR 2003/0011619-3</w:t>
      </w:r>
      <w:r>
        <w:rPr>
          <w:rFonts w:ascii="Times New Roman" w:hAnsi="Times New Roman"/>
          <w:color w:val="000000"/>
          <w:sz w:val="24"/>
          <w:szCs w:val="24"/>
        </w:rPr>
        <w:t xml:space="preserve">, em que o tribunal </w:t>
      </w:r>
      <w:r w:rsidR="00E80EA2">
        <w:rPr>
          <w:rFonts w:ascii="Times New Roman" w:hAnsi="Times New Roman"/>
          <w:color w:val="000000"/>
          <w:sz w:val="24"/>
          <w:szCs w:val="24"/>
        </w:rPr>
        <w:t xml:space="preserve">decidiu que o artigo 32 deve ser analisado em face do art. </w:t>
      </w:r>
      <w:r w:rsidR="00E80EA2">
        <w:rPr>
          <w:rFonts w:ascii="Times New Roman" w:hAnsi="Times New Roman"/>
          <w:color w:val="000000"/>
          <w:sz w:val="24"/>
          <w:szCs w:val="24"/>
        </w:rPr>
        <w:lastRenderedPageBreak/>
        <w:t>15 do DL 57/66</w:t>
      </w:r>
      <w:r w:rsidR="004F577B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4"/>
      </w:r>
      <w:r w:rsidR="00E80EA2">
        <w:rPr>
          <w:rFonts w:ascii="Times New Roman" w:hAnsi="Times New Roman"/>
          <w:color w:val="000000"/>
          <w:sz w:val="24"/>
          <w:szCs w:val="24"/>
        </w:rPr>
        <w:t>, ou seja, caso o imóvel esta localizado em área urbana, porém comprovado a sua atividade de exploração vegetal, agrícola, pecuária, etc., não há incidência do IPTU, mas sim do ITR:</w:t>
      </w:r>
    </w:p>
    <w:p w:rsidR="00E80EA2" w:rsidRDefault="00E80EA2" w:rsidP="00E80EA2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E80EA2" w:rsidRPr="00E80EA2" w:rsidRDefault="00E80EA2" w:rsidP="00E80EA2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E80EA2">
        <w:rPr>
          <w:rFonts w:ascii="Times New Roman" w:hAnsi="Times New Roman"/>
          <w:sz w:val="20"/>
          <w:szCs w:val="20"/>
        </w:rPr>
        <w:t xml:space="preserve">TRIBUTÁRIO. IPTU. ITR. FATO GERADOR. IMÓVEL SITUADO NA ZONA URBANA. LOCALIZAÇÃO. DESTINAÇÃO. CTN, ART. 32. DECRETO-LEI N. 57/66. VIGÊNCIA. </w:t>
      </w:r>
    </w:p>
    <w:p w:rsidR="00E80EA2" w:rsidRPr="00E80EA2" w:rsidRDefault="00E80EA2" w:rsidP="00E80EA2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E80EA2">
        <w:rPr>
          <w:rFonts w:ascii="Times New Roman" w:hAnsi="Times New Roman"/>
          <w:sz w:val="20"/>
          <w:szCs w:val="20"/>
        </w:rPr>
        <w:t xml:space="preserve">1. (grifo nosso). </w:t>
      </w:r>
    </w:p>
    <w:p w:rsidR="00E80EA2" w:rsidRPr="00E80EA2" w:rsidRDefault="00E80EA2" w:rsidP="00E80EA2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E80EA2">
        <w:rPr>
          <w:rFonts w:ascii="Times New Roman" w:hAnsi="Times New Roman"/>
          <w:sz w:val="20"/>
          <w:szCs w:val="20"/>
        </w:rPr>
        <w:t xml:space="preserve">2. (grifo nosso). </w:t>
      </w:r>
    </w:p>
    <w:p w:rsidR="00E80EA2" w:rsidRPr="00E80EA2" w:rsidRDefault="00E80EA2" w:rsidP="00E80EA2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E80EA2">
        <w:rPr>
          <w:rFonts w:ascii="Times New Roman" w:hAnsi="Times New Roman"/>
          <w:sz w:val="20"/>
          <w:szCs w:val="20"/>
        </w:rPr>
        <w:t xml:space="preserve">3. A jurisprudência reconheceu validade ao DL 57/66, o qual, assim como o CTN, passou a ter o status de lei complementar em face da superveniente Constituição de 1967. Assim, </w:t>
      </w:r>
      <w:r w:rsidRPr="00E80EA2">
        <w:rPr>
          <w:rFonts w:ascii="Times New Roman" w:hAnsi="Times New Roman"/>
          <w:b/>
          <w:sz w:val="20"/>
          <w:szCs w:val="20"/>
        </w:rPr>
        <w:t>o critério topográfico previsto no art. 32 do CTN deve ser analisado em face do comando do art. 15 do DL 57/66, de modo que não incide o IPTU quando o imóvel situado na zona urbana receber quaisquer das destinações previstas nesse diploma legal</w:t>
      </w:r>
      <w:r w:rsidRPr="00E80EA2">
        <w:rPr>
          <w:rFonts w:ascii="Times New Roman" w:hAnsi="Times New Roman"/>
          <w:sz w:val="20"/>
          <w:szCs w:val="20"/>
        </w:rPr>
        <w:t xml:space="preserve">. </w:t>
      </w:r>
    </w:p>
    <w:p w:rsidR="00E80EA2" w:rsidRDefault="00E80EA2" w:rsidP="00E80EA2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E80EA2">
        <w:rPr>
          <w:rFonts w:ascii="Times New Roman" w:hAnsi="Times New Roman"/>
          <w:sz w:val="20"/>
          <w:szCs w:val="20"/>
        </w:rPr>
        <w:t>4. Recurso especial provido. (STJ - REsp: 492869 PR 2003/0011619-3, Relator: Ministro TEORI ALBINO ZAVASCKI, Data de Julgamento: 15/02/2005, T1 - PRIMEIRA TURMA, Data de Publicação: DJ 07/03/2005 p. 141RDDT vol. 117 p. 161)</w:t>
      </w:r>
    </w:p>
    <w:p w:rsidR="00E80EA2" w:rsidRPr="00E80EA2" w:rsidRDefault="00E80EA2" w:rsidP="00E80EA2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EF5337" w:rsidRDefault="00172B03" w:rsidP="00E80EA2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Posto isso, percebe-se que a expressão “zona urbana” é utilizada para aqueles imóveis localizados não só na área urbana definida em lei (critério situação/localização), mas também à sua destinação, daí a necessidade de fazer uma interpretação sistemática entre o art. 32 do CTN, junto com o art. 15 do DL57/66. </w:t>
      </w:r>
    </w:p>
    <w:p w:rsidR="00E80EA2" w:rsidRPr="00B73708" w:rsidRDefault="00E80EA2" w:rsidP="00B7370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5337" w:rsidRPr="00B73708" w:rsidRDefault="00EF5337" w:rsidP="00B73708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3708">
        <w:rPr>
          <w:rFonts w:ascii="Times New Roman" w:hAnsi="Times New Roman"/>
          <w:b/>
          <w:color w:val="000000"/>
          <w:sz w:val="24"/>
          <w:szCs w:val="24"/>
        </w:rPr>
        <w:t>CONCLUSÃO</w:t>
      </w:r>
    </w:p>
    <w:p w:rsidR="00EF5337" w:rsidRPr="00B73708" w:rsidRDefault="00EF5337" w:rsidP="00B73708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2B03" w:rsidRDefault="00442B03" w:rsidP="00B73708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 presente trabalho teve por finalidade estudar a regra-matriz de incidência tributária e o construtivismo lógico semântico à luz do entendimento da doutrina de Paulo de Barros Carvalho, bem como a doutrina de Aurora Tomazini. Tal construtivismo se mostra como uma referencia à interpretações normativas, uma vez que pode ser usada não só no contexto tributário, bem como penal, administrativo, daí sua importância.</w:t>
      </w:r>
    </w:p>
    <w:p w:rsidR="00442B03" w:rsidRDefault="00442B03" w:rsidP="00B73708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Procurou-se estabelecer o entendimento da regra-matriz de incidência tributária do IPTU, em que, utilizando os critérios da hipótese e do consequente, pode se estabelecer uma interpretação normativa acerca da incidência do imposto em escólio. </w:t>
      </w:r>
    </w:p>
    <w:p w:rsidR="00442B03" w:rsidRPr="00442B03" w:rsidRDefault="00442B03" w:rsidP="00B73708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Entretanto, apesar de haver tal construção normativa, observou-se as diferentes interpretações acerca da expressão “zona urbana”, ou seja, qual seria o limite de incidência do IPTU em determinada zona? Por isso, a utilização do critério espacial. Para tanto, procurou-se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na jurisprudência, as possíveis decisões a serem tomadas. Assim sendo, verificou-se que há a necessidade de se fazer uma interpretação sistemática entre o código tributário e o decreto lei nº 57/66.</w:t>
      </w:r>
    </w:p>
    <w:p w:rsidR="00442B03" w:rsidRPr="00442B03" w:rsidRDefault="00442B03" w:rsidP="00B73708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442B03">
        <w:rPr>
          <w:rFonts w:ascii="Times New Roman" w:hAnsi="Times New Roman"/>
          <w:color w:val="000000"/>
          <w:sz w:val="24"/>
          <w:szCs w:val="24"/>
        </w:rPr>
        <w:t>Deste modo,</w:t>
      </w:r>
      <w:r>
        <w:rPr>
          <w:rFonts w:ascii="Times New Roman" w:hAnsi="Times New Roman"/>
          <w:color w:val="000000"/>
          <w:sz w:val="24"/>
          <w:szCs w:val="24"/>
        </w:rPr>
        <w:t xml:space="preserve"> a jurisprudência predominante entende que</w:t>
      </w:r>
      <w:r w:rsidRPr="00442B03">
        <w:rPr>
          <w:rFonts w:ascii="Times New Roman" w:hAnsi="Times New Roman"/>
          <w:color w:val="000000"/>
          <w:sz w:val="24"/>
          <w:szCs w:val="24"/>
        </w:rPr>
        <w:t xml:space="preserve"> o critério espacial não incidirá sempre nos imóveis situados em áreas urbanos, ou seja, caso haja a exploração </w:t>
      </w:r>
      <w:r w:rsidRPr="00442B03">
        <w:rPr>
          <w:rFonts w:ascii="Times New Roman" w:hAnsi="Times New Roman"/>
          <w:sz w:val="24"/>
          <w:szCs w:val="24"/>
          <w:shd w:val="clear" w:color="auto" w:fill="FFFFFF"/>
        </w:rPr>
        <w:t>extrativa vegetal, agrícola, pecuária ou agro-industrial</w:t>
      </w:r>
      <w:r>
        <w:rPr>
          <w:rFonts w:ascii="Times New Roman" w:hAnsi="Times New Roman"/>
          <w:sz w:val="24"/>
          <w:szCs w:val="24"/>
          <w:shd w:val="clear" w:color="auto" w:fill="FFFFFF"/>
        </w:rPr>
        <w:t>, apesar de estar na “zona urbana”, o tributo a ser cobrado será ITR.</w:t>
      </w:r>
    </w:p>
    <w:p w:rsidR="00442B03" w:rsidRPr="00442B03" w:rsidRDefault="00442B03" w:rsidP="00B73708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4C1" w:rsidRPr="00443130" w:rsidRDefault="006174C1" w:rsidP="00D10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4A0F">
        <w:rPr>
          <w:rFonts w:ascii="Times New Roman" w:hAnsi="Times New Roman"/>
          <w:sz w:val="24"/>
          <w:szCs w:val="24"/>
        </w:rPr>
        <w:br w:type="page"/>
      </w:r>
      <w:r w:rsidRPr="00443130">
        <w:rPr>
          <w:rFonts w:ascii="Times New Roman" w:hAnsi="Times New Roman"/>
          <w:b/>
          <w:sz w:val="24"/>
          <w:szCs w:val="24"/>
        </w:rPr>
        <w:lastRenderedPageBreak/>
        <w:t>REFERÊNCIAS</w:t>
      </w:r>
    </w:p>
    <w:p w:rsidR="006174C1" w:rsidRPr="00443130" w:rsidRDefault="006174C1" w:rsidP="00D105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C1" w:rsidRPr="00443130" w:rsidRDefault="006174C1" w:rsidP="00D105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71E" w:rsidRPr="00637631" w:rsidRDefault="0069071E" w:rsidP="00D10564">
      <w:pPr>
        <w:pStyle w:val="Default"/>
        <w:rPr>
          <w:color w:val="auto"/>
        </w:rPr>
      </w:pPr>
      <w:r w:rsidRPr="00637631">
        <w:rPr>
          <w:color w:val="auto"/>
        </w:rPr>
        <w:t xml:space="preserve">BRASIL. </w:t>
      </w:r>
      <w:r w:rsidRPr="00637631">
        <w:rPr>
          <w:b/>
          <w:iCs/>
          <w:color w:val="auto"/>
        </w:rPr>
        <w:t>Constituição da República Federativa do Brasil de 1988, de 05 de outubro de 1988</w:t>
      </w:r>
      <w:r w:rsidRPr="00637631">
        <w:rPr>
          <w:b/>
          <w:color w:val="auto"/>
        </w:rPr>
        <w:t>.</w:t>
      </w:r>
      <w:r w:rsidRPr="00637631">
        <w:rPr>
          <w:color w:val="auto"/>
        </w:rPr>
        <w:t xml:space="preserve"> Disponível em: &lt;http://www.planalto.gov.br/ccivil_03/Constituicao/Constituicao.htm&gt;. Acesso em: 01 de out de 2013.</w:t>
      </w:r>
    </w:p>
    <w:p w:rsidR="0069071E" w:rsidRPr="0069071E" w:rsidRDefault="0069071E" w:rsidP="00D10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71E" w:rsidRDefault="0069071E" w:rsidP="00D10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071E">
        <w:rPr>
          <w:rFonts w:ascii="Times New Roman" w:hAnsi="Times New Roman"/>
          <w:sz w:val="24"/>
          <w:szCs w:val="24"/>
        </w:rPr>
        <w:t xml:space="preserve">BRASIL. Decreto Lei nº </w:t>
      </w:r>
      <w:hyperlink r:id="rId8" w:history="1">
        <w:r w:rsidRPr="0069071E">
          <w:rPr>
            <w:rStyle w:val="Forte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Pr="0069071E">
          <w:rPr>
            <w:rStyle w:val="Forte"/>
            <w:rFonts w:ascii="Times New Roman" w:hAnsi="Times New Roman"/>
            <w:b w:val="0"/>
            <w:sz w:val="24"/>
            <w:szCs w:val="24"/>
            <w:shd w:val="clear" w:color="auto" w:fill="FFFFFF"/>
          </w:rPr>
          <w:t>57, de 18 de novembro de 1966</w:t>
        </w:r>
        <w:r w:rsidRPr="0069071E">
          <w:rPr>
            <w:rStyle w:val="Forte"/>
            <w:rFonts w:ascii="Times New Roman" w:hAnsi="Times New Roman"/>
            <w:sz w:val="24"/>
            <w:szCs w:val="24"/>
            <w:shd w:val="clear" w:color="auto" w:fill="FFFFFF"/>
          </w:rPr>
          <w:t>.</w:t>
        </w:r>
      </w:hyperlink>
      <w:r w:rsidRPr="0069071E">
        <w:rPr>
          <w:rFonts w:ascii="Times New Roman" w:hAnsi="Times New Roman"/>
          <w:sz w:val="24"/>
          <w:szCs w:val="24"/>
        </w:rPr>
        <w:t xml:space="preserve"> Disponível em: &lt;</w:t>
      </w:r>
      <w:hyperlink r:id="rId9" w:history="1">
        <w:r w:rsidRPr="0069071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http://www.planalto.gov.br/ccivil_03/decreto-lei/del0057.htm</w:t>
        </w:r>
      </w:hyperlink>
      <w:r w:rsidRPr="0069071E">
        <w:rPr>
          <w:rFonts w:ascii="Times New Roman" w:hAnsi="Times New Roman"/>
          <w:sz w:val="24"/>
          <w:szCs w:val="24"/>
        </w:rPr>
        <w:t>&gt;. Acesso em nov de 2013.</w:t>
      </w:r>
    </w:p>
    <w:p w:rsidR="007A4397" w:rsidRDefault="007A4397" w:rsidP="00D10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397" w:rsidRPr="00343F3A" w:rsidRDefault="007A4397" w:rsidP="007A4397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7A4397">
        <w:rPr>
          <w:rFonts w:ascii="Times New Roman" w:hAnsi="Times New Roman"/>
          <w:sz w:val="24"/>
          <w:szCs w:val="24"/>
        </w:rPr>
        <w:t xml:space="preserve">BRASIL. </w:t>
      </w:r>
      <w:r w:rsidRPr="007A4397">
        <w:rPr>
          <w:rFonts w:ascii="Times New Roman" w:hAnsi="Times New Roman"/>
          <w:b/>
          <w:sz w:val="24"/>
          <w:szCs w:val="24"/>
        </w:rPr>
        <w:t>STJ</w:t>
      </w:r>
      <w:r w:rsidRPr="007A4397">
        <w:rPr>
          <w:rFonts w:ascii="Times New Roman" w:hAnsi="Times New Roman"/>
          <w:sz w:val="24"/>
          <w:szCs w:val="24"/>
        </w:rPr>
        <w:t xml:space="preserve">. </w:t>
      </w:r>
      <w:r w:rsidR="00D1096E" w:rsidRPr="00343F3A">
        <w:rPr>
          <w:rFonts w:ascii="Times New Roman" w:hAnsi="Times New Roman"/>
          <w:bCs/>
          <w:kern w:val="36"/>
          <w:sz w:val="24"/>
          <w:szCs w:val="24"/>
        </w:rPr>
        <w:t xml:space="preserve">Recurso Especial </w:t>
      </w:r>
      <w:r w:rsidRPr="00343F3A">
        <w:rPr>
          <w:rFonts w:ascii="Times New Roman" w:hAnsi="Times New Roman"/>
          <w:bCs/>
          <w:kern w:val="36"/>
          <w:sz w:val="24"/>
          <w:szCs w:val="24"/>
        </w:rPr>
        <w:t>: REsp 492869 PR 2003/0011619-3</w:t>
      </w:r>
      <w:r w:rsidRPr="007A4397">
        <w:rPr>
          <w:rFonts w:ascii="Times New Roman" w:hAnsi="Times New Roman"/>
          <w:bCs/>
          <w:kern w:val="36"/>
          <w:sz w:val="24"/>
          <w:szCs w:val="24"/>
        </w:rPr>
        <w:t>. Relator: Ministro TEORI ALBINO ZAVASCKI, Data de Julgamento: 15/02/2005, T1 - PRIMEIRA TURMA, Data de Publicação: DJ 07/03/2005 p. 141RDDT vol. 117 p. 161. Disponível em:&lt;</w:t>
      </w:r>
      <w:hyperlink r:id="rId10" w:history="1">
        <w:r w:rsidRPr="00D1096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http://stj.jusbrasil.com.br/jurisprudencia/7233063/recurso-especial-resp-492869-pr-2003-0011619-3</w:t>
        </w:r>
      </w:hyperlink>
      <w:r w:rsidRPr="00D1096E">
        <w:rPr>
          <w:rFonts w:ascii="Times New Roman" w:hAnsi="Times New Roman"/>
          <w:sz w:val="24"/>
          <w:szCs w:val="24"/>
        </w:rPr>
        <w:t>&gt;. Acesso em nov de 2013.</w:t>
      </w:r>
    </w:p>
    <w:p w:rsidR="007A4397" w:rsidRPr="00D1096E" w:rsidRDefault="007A4397" w:rsidP="00D10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96E" w:rsidRPr="00D1096E" w:rsidRDefault="00D1096E" w:rsidP="00D10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096E">
        <w:rPr>
          <w:rFonts w:ascii="Times New Roman" w:hAnsi="Times New Roman"/>
          <w:sz w:val="24"/>
          <w:szCs w:val="24"/>
        </w:rPr>
        <w:t xml:space="preserve">BRASIL. </w:t>
      </w:r>
      <w:r w:rsidRPr="00D1096E">
        <w:rPr>
          <w:rFonts w:ascii="Times New Roman" w:hAnsi="Times New Roman"/>
          <w:b/>
          <w:sz w:val="24"/>
          <w:szCs w:val="24"/>
        </w:rPr>
        <w:t>STJ</w:t>
      </w:r>
      <w:r w:rsidRPr="00D1096E">
        <w:rPr>
          <w:rFonts w:ascii="Times New Roman" w:hAnsi="Times New Roman"/>
          <w:sz w:val="24"/>
          <w:szCs w:val="24"/>
        </w:rPr>
        <w:t xml:space="preserve">. </w:t>
      </w:r>
      <w:r w:rsidRPr="00D1096E">
        <w:rPr>
          <w:rFonts w:ascii="Times New Roman" w:hAnsi="Times New Roman"/>
          <w:bCs/>
          <w:kern w:val="36"/>
          <w:sz w:val="24"/>
          <w:szCs w:val="24"/>
        </w:rPr>
        <w:t xml:space="preserve">Recurso Especial </w:t>
      </w:r>
      <w:r w:rsidRPr="00343F3A">
        <w:rPr>
          <w:rFonts w:ascii="Times New Roman" w:hAnsi="Times New Roman"/>
          <w:bCs/>
          <w:kern w:val="36"/>
          <w:sz w:val="24"/>
          <w:szCs w:val="24"/>
        </w:rPr>
        <w:t>: REsp 169924 RS 1998/0024007-1</w:t>
      </w:r>
      <w:r w:rsidRPr="00D1096E">
        <w:rPr>
          <w:rFonts w:ascii="Times New Roman" w:hAnsi="Times New Roman"/>
          <w:bCs/>
          <w:kern w:val="36"/>
          <w:sz w:val="24"/>
          <w:szCs w:val="24"/>
        </w:rPr>
        <w:t>.</w:t>
      </w:r>
      <w:r w:rsidRPr="00D1096E">
        <w:rPr>
          <w:rFonts w:ascii="Times New Roman" w:hAnsi="Times New Roman"/>
          <w:sz w:val="24"/>
          <w:szCs w:val="24"/>
        </w:rPr>
        <w:t xml:space="preserve"> </w:t>
      </w:r>
      <w:r w:rsidRPr="00D1096E">
        <w:rPr>
          <w:rFonts w:ascii="Times New Roman" w:hAnsi="Times New Roman"/>
          <w:bCs/>
          <w:kern w:val="36"/>
          <w:sz w:val="24"/>
          <w:szCs w:val="24"/>
        </w:rPr>
        <w:t>Relator: Ministro FRANCISCO PEÇANHA MARTINS, Data de Julgamento: 16/11/2000, T2 - SEGUNDA TURMA, Data de Publicação: DJ 04/06/2001 p. 87. Disponível em:&lt;</w:t>
      </w:r>
      <w:hyperlink r:id="rId11" w:history="1">
        <w:r w:rsidRPr="00D1096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http://stj.jusbrasil.com.br/jurisprudencia/8024516/recurso-especial-resp-169924-rs-1998-0024007-1-stj</w:t>
        </w:r>
      </w:hyperlink>
      <w:r w:rsidRPr="00D1096E">
        <w:rPr>
          <w:rFonts w:ascii="Times New Roman" w:hAnsi="Times New Roman"/>
          <w:sz w:val="24"/>
          <w:szCs w:val="24"/>
        </w:rPr>
        <w:t>&gt;. Acesso em: Nov de 2013.</w:t>
      </w:r>
    </w:p>
    <w:p w:rsidR="0069071E" w:rsidRPr="00D1096E" w:rsidRDefault="0069071E" w:rsidP="00D10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EBF" w:rsidRPr="00D1096E" w:rsidRDefault="00990EBF" w:rsidP="00D10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096E">
        <w:rPr>
          <w:rFonts w:ascii="Times New Roman" w:hAnsi="Times New Roman"/>
          <w:sz w:val="24"/>
          <w:szCs w:val="24"/>
        </w:rPr>
        <w:t xml:space="preserve">CARVALHO, Aurora Tomazini de. </w:t>
      </w:r>
      <w:r w:rsidRPr="00D1096E">
        <w:rPr>
          <w:rFonts w:ascii="Times New Roman" w:hAnsi="Times New Roman"/>
          <w:b/>
          <w:sz w:val="24"/>
          <w:szCs w:val="24"/>
        </w:rPr>
        <w:t>Curso de teoria geral do direito: o constructivismo lógico semântico</w:t>
      </w:r>
      <w:r w:rsidRPr="00D1096E">
        <w:rPr>
          <w:rFonts w:ascii="Times New Roman" w:hAnsi="Times New Roman"/>
          <w:sz w:val="24"/>
          <w:szCs w:val="24"/>
        </w:rPr>
        <w:t>. São Paulo: Noeses, 2012.</w:t>
      </w:r>
    </w:p>
    <w:p w:rsidR="00990EBF" w:rsidRPr="00D1096E" w:rsidRDefault="00990EBF" w:rsidP="00D10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EBF" w:rsidRPr="00990EBF" w:rsidRDefault="00990EBF" w:rsidP="00D10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096E">
        <w:rPr>
          <w:rFonts w:ascii="Times New Roman" w:hAnsi="Times New Roman"/>
          <w:sz w:val="24"/>
          <w:szCs w:val="24"/>
        </w:rPr>
        <w:t xml:space="preserve">CARVALHO, Paulo de Barros. </w:t>
      </w:r>
      <w:r w:rsidRPr="00D1096E">
        <w:rPr>
          <w:rFonts w:ascii="Times New Roman" w:hAnsi="Times New Roman"/>
          <w:b/>
          <w:bCs/>
          <w:sz w:val="24"/>
          <w:szCs w:val="24"/>
        </w:rPr>
        <w:t>Curso de dir</w:t>
      </w:r>
      <w:r w:rsidRPr="00990EBF">
        <w:rPr>
          <w:rFonts w:ascii="Times New Roman" w:hAnsi="Times New Roman"/>
          <w:b/>
          <w:bCs/>
          <w:sz w:val="24"/>
          <w:szCs w:val="24"/>
        </w:rPr>
        <w:t>eito tributário</w:t>
      </w:r>
      <w:r w:rsidRPr="00990EBF">
        <w:rPr>
          <w:rFonts w:ascii="Times New Roman" w:hAnsi="Times New Roman"/>
          <w:sz w:val="24"/>
          <w:szCs w:val="24"/>
        </w:rPr>
        <w:t>. 17 ed. São Paulo: Saraiva, 2006.</w:t>
      </w:r>
    </w:p>
    <w:p w:rsidR="00990EBF" w:rsidRPr="00990EBF" w:rsidRDefault="00990EBF" w:rsidP="00D10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4C1" w:rsidRPr="00990EBF" w:rsidRDefault="006174C1" w:rsidP="00D10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EBF">
        <w:rPr>
          <w:rFonts w:ascii="Times New Roman" w:hAnsi="Times New Roman"/>
          <w:sz w:val="24"/>
          <w:szCs w:val="24"/>
        </w:rPr>
        <w:t xml:space="preserve">BARBOSA, Evandro Paes. </w:t>
      </w:r>
      <w:r w:rsidRPr="00990EBF">
        <w:rPr>
          <w:rFonts w:ascii="Times New Roman" w:hAnsi="Times New Roman"/>
          <w:b/>
          <w:sz w:val="24"/>
          <w:szCs w:val="24"/>
        </w:rPr>
        <w:t>Progressividade do IPTU</w:t>
      </w:r>
      <w:r w:rsidRPr="00990EBF">
        <w:rPr>
          <w:rFonts w:ascii="Times New Roman" w:hAnsi="Times New Roman"/>
          <w:sz w:val="24"/>
          <w:szCs w:val="24"/>
        </w:rPr>
        <w:t xml:space="preserve">. Dissertação (Mestrado em Direito) – Pontifícia Universidade Católica de São Paulo (PUC), São Paulo, 2006). </w:t>
      </w:r>
    </w:p>
    <w:p w:rsidR="006174C1" w:rsidRPr="00990EBF" w:rsidRDefault="006174C1" w:rsidP="00D10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4C1" w:rsidRPr="00990EBF" w:rsidRDefault="006174C1" w:rsidP="00D10564">
      <w:pPr>
        <w:tabs>
          <w:tab w:val="left" w:pos="85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0EBF">
        <w:rPr>
          <w:rFonts w:ascii="Times New Roman" w:hAnsi="Times New Roman"/>
          <w:sz w:val="24"/>
          <w:szCs w:val="24"/>
        </w:rPr>
        <w:t xml:space="preserve">BITTENCOURT, Gabriela. </w:t>
      </w:r>
      <w:r w:rsidRPr="00990EBF">
        <w:rPr>
          <w:rFonts w:ascii="Times New Roman" w:hAnsi="Times New Roman"/>
          <w:b/>
          <w:sz w:val="24"/>
          <w:szCs w:val="24"/>
        </w:rPr>
        <w:t>IPTU nas hipóteses de desapropriação indireta</w:t>
      </w:r>
      <w:r w:rsidRPr="00990EBF">
        <w:rPr>
          <w:rFonts w:ascii="Times New Roman" w:hAnsi="Times New Roman"/>
          <w:sz w:val="24"/>
          <w:szCs w:val="24"/>
        </w:rPr>
        <w:t xml:space="preserve">. 2011. 33f. Dissertação (Especialista em Direito Tributário) – Instituto Brasileiro de Estudos Tributários, Florianópolis, 2011. Disponível em: &lt;http://ibet.provisorio.ws/WEB/monografias/2011.1/196.pdf&gt;. Acesso em: 01 out. 2013. </w:t>
      </w:r>
    </w:p>
    <w:p w:rsidR="006174C1" w:rsidRPr="00990EBF" w:rsidRDefault="006174C1" w:rsidP="00443130">
      <w:pPr>
        <w:tabs>
          <w:tab w:val="left" w:pos="85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6E24" w:rsidRPr="00737AFD" w:rsidRDefault="00CD6E24" w:rsidP="00CD6E24">
      <w:pPr>
        <w:pStyle w:val="Default"/>
        <w:rPr>
          <w:color w:val="auto"/>
        </w:rPr>
      </w:pPr>
      <w:r w:rsidRPr="00737AFD">
        <w:rPr>
          <w:rStyle w:val="A0"/>
          <w:b w:val="0"/>
          <w:i w:val="0"/>
          <w:sz w:val="24"/>
          <w:szCs w:val="24"/>
        </w:rPr>
        <w:t xml:space="preserve">DENOBI, </w:t>
      </w:r>
      <w:r w:rsidRPr="00737AFD">
        <w:rPr>
          <w:rStyle w:val="A0"/>
          <w:rFonts w:eastAsia="Calibri"/>
          <w:b w:val="0"/>
          <w:i w:val="0"/>
          <w:sz w:val="24"/>
          <w:szCs w:val="24"/>
        </w:rPr>
        <w:t xml:space="preserve">Lilian </w:t>
      </w:r>
      <w:r w:rsidRPr="00737AFD">
        <w:rPr>
          <w:rStyle w:val="A0"/>
          <w:b w:val="0"/>
          <w:i w:val="0"/>
          <w:sz w:val="24"/>
          <w:szCs w:val="24"/>
        </w:rPr>
        <w:t>Matsubara; RUBBO, Mellanie Raisa.</w:t>
      </w:r>
      <w:r w:rsidRPr="00737AFD">
        <w:rPr>
          <w:rStyle w:val="A1"/>
          <w:rFonts w:eastAsia="Calibri"/>
          <w:b w:val="0"/>
          <w:sz w:val="24"/>
          <w:szCs w:val="24"/>
        </w:rPr>
        <w:t xml:space="preserve"> Critério Espacial Possível Do Iptu</w:t>
      </w:r>
      <w:r w:rsidRPr="00737AFD">
        <w:rPr>
          <w:rStyle w:val="A1"/>
          <w:rFonts w:eastAsia="Calibri"/>
          <w:b w:val="0"/>
          <w:color w:val="auto"/>
          <w:sz w:val="24"/>
          <w:szCs w:val="24"/>
        </w:rPr>
        <w:t xml:space="preserve">: Possible Spatial Criterion Of Property Tax. </w:t>
      </w:r>
      <w:r w:rsidRPr="00737AFD">
        <w:rPr>
          <w:color w:val="auto"/>
        </w:rPr>
        <w:t xml:space="preserve"> </w:t>
      </w:r>
      <w:r w:rsidRPr="00737AFD">
        <w:rPr>
          <w:b/>
          <w:color w:val="auto"/>
        </w:rPr>
        <w:t>Revista de Direito Público</w:t>
      </w:r>
      <w:r w:rsidRPr="00737AFD">
        <w:rPr>
          <w:color w:val="auto"/>
        </w:rPr>
        <w:t>, Londrina, v. 5, n. 1, p. 107-124, abr. 2010. Disponível em: &lt;</w:t>
      </w:r>
      <w:hyperlink r:id="rId12" w:history="1">
        <w:r w:rsidRPr="00737AFD">
          <w:rPr>
            <w:rStyle w:val="Hyperlink"/>
            <w:color w:val="auto"/>
            <w:u w:val="none"/>
          </w:rPr>
          <w:t>http://www.uel.br/revistas/uel/index.php/direitopub/article/view/7571</w:t>
        </w:r>
      </w:hyperlink>
      <w:r w:rsidRPr="00737AFD">
        <w:rPr>
          <w:color w:val="auto"/>
        </w:rPr>
        <w:t>&gt;. Acesso em nov de 2013.</w:t>
      </w:r>
    </w:p>
    <w:p w:rsidR="00CD6E24" w:rsidRDefault="00CD6E24" w:rsidP="00443130">
      <w:pPr>
        <w:tabs>
          <w:tab w:val="left" w:pos="85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4C1" w:rsidRPr="00990EBF" w:rsidRDefault="006174C1" w:rsidP="00443130">
      <w:pPr>
        <w:tabs>
          <w:tab w:val="left" w:pos="85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0EBF">
        <w:rPr>
          <w:rFonts w:ascii="Times New Roman" w:hAnsi="Times New Roman"/>
          <w:sz w:val="24"/>
          <w:szCs w:val="24"/>
        </w:rPr>
        <w:t xml:space="preserve">LEONETTI, Carlos Araújo. </w:t>
      </w:r>
      <w:r w:rsidRPr="00990EBF">
        <w:rPr>
          <w:rFonts w:ascii="Times New Roman" w:hAnsi="Times New Roman"/>
          <w:b/>
          <w:sz w:val="24"/>
          <w:szCs w:val="24"/>
        </w:rPr>
        <w:t>O IPTU e a função social da propriedade</w:t>
      </w:r>
      <w:r w:rsidRPr="00990EBF">
        <w:rPr>
          <w:rFonts w:ascii="Times New Roman" w:hAnsi="Times New Roman"/>
          <w:sz w:val="24"/>
          <w:szCs w:val="24"/>
        </w:rPr>
        <w:t>, 2010. Disponível em: &lt;</w:t>
      </w:r>
      <w:r w:rsidR="00990EBF" w:rsidRPr="00990EBF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990EBF" w:rsidRPr="00990EB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http://www.idtl.com.br/artigos/69.pdf</w:t>
        </w:r>
      </w:hyperlink>
      <w:r w:rsidR="00990EBF" w:rsidRPr="00990EBF">
        <w:rPr>
          <w:rFonts w:ascii="Times New Roman" w:hAnsi="Times New Roman"/>
          <w:sz w:val="24"/>
          <w:szCs w:val="24"/>
        </w:rPr>
        <w:t>&gt;. Acesse em nov de 2013.</w:t>
      </w:r>
    </w:p>
    <w:p w:rsidR="006174C1" w:rsidRPr="00990EBF" w:rsidRDefault="006174C1" w:rsidP="00443130">
      <w:pPr>
        <w:tabs>
          <w:tab w:val="left" w:pos="85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4C1" w:rsidRPr="00990EBF" w:rsidRDefault="006174C1" w:rsidP="00443130">
      <w:pPr>
        <w:tabs>
          <w:tab w:val="left" w:pos="85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0EBF">
        <w:rPr>
          <w:rFonts w:ascii="Times New Roman" w:hAnsi="Times New Roman"/>
          <w:sz w:val="24"/>
          <w:szCs w:val="24"/>
        </w:rPr>
        <w:t xml:space="preserve">MACHADO, Hugo de Brito. </w:t>
      </w:r>
      <w:r w:rsidRPr="00990EBF">
        <w:rPr>
          <w:rFonts w:ascii="Times New Roman" w:hAnsi="Times New Roman"/>
          <w:b/>
          <w:sz w:val="24"/>
          <w:szCs w:val="24"/>
        </w:rPr>
        <w:t>Curso de Direito Tributário</w:t>
      </w:r>
      <w:r w:rsidRPr="00990EBF">
        <w:rPr>
          <w:rFonts w:ascii="Times New Roman" w:hAnsi="Times New Roman"/>
          <w:sz w:val="24"/>
          <w:szCs w:val="24"/>
        </w:rPr>
        <w:t xml:space="preserve">. 32 ed. São Paulo: Malheiros, 2011. </w:t>
      </w:r>
      <w:bookmarkStart w:id="0" w:name="_GoBack"/>
      <w:bookmarkEnd w:id="0"/>
    </w:p>
    <w:p w:rsidR="006174C1" w:rsidRPr="00990EBF" w:rsidRDefault="006174C1" w:rsidP="00443130">
      <w:pPr>
        <w:tabs>
          <w:tab w:val="left" w:pos="85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4C1" w:rsidRPr="00990EBF" w:rsidRDefault="006174C1" w:rsidP="004431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EBF">
        <w:rPr>
          <w:rFonts w:ascii="Times New Roman" w:hAnsi="Times New Roman"/>
          <w:sz w:val="24"/>
          <w:szCs w:val="24"/>
        </w:rPr>
        <w:t xml:space="preserve">SILVA JUNIOR, Nilson Nunes da. IPTU em face da cidade. In: </w:t>
      </w:r>
      <w:r w:rsidRPr="00990EBF">
        <w:rPr>
          <w:rStyle w:val="Forte"/>
          <w:rFonts w:ascii="Times New Roman" w:hAnsi="Times New Roman"/>
          <w:sz w:val="24"/>
          <w:szCs w:val="24"/>
        </w:rPr>
        <w:t>Âmbito Jurídico</w:t>
      </w:r>
      <w:r w:rsidRPr="00990EBF">
        <w:rPr>
          <w:rFonts w:ascii="Times New Roman" w:hAnsi="Times New Roman"/>
          <w:sz w:val="24"/>
          <w:szCs w:val="24"/>
        </w:rPr>
        <w:t>, Rio Grande, XIII, n. 73, fev 2010. Disponível em: &lt;</w:t>
      </w:r>
      <w:hyperlink r:id="rId14" w:tooltip="Informações Bibliográficas" w:history="1">
        <w:r w:rsidRPr="00990EB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http://www.ambito-</w:t>
        </w:r>
        <w:r w:rsidRPr="00990EB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lastRenderedPageBreak/>
          <w:t>juridico.com.br/site/index.php?n_link=revista_artigos_leitura&amp;artigo_id=7233</w:t>
        </w:r>
      </w:hyperlink>
      <w:r w:rsidRPr="00990EBF">
        <w:rPr>
          <w:rFonts w:ascii="Times New Roman" w:hAnsi="Times New Roman"/>
          <w:sz w:val="24"/>
          <w:szCs w:val="24"/>
        </w:rPr>
        <w:t>&gt;. Acesso em out 2013.</w:t>
      </w:r>
    </w:p>
    <w:p w:rsidR="006174C1" w:rsidRPr="00990EBF" w:rsidRDefault="006174C1" w:rsidP="00443130">
      <w:pPr>
        <w:tabs>
          <w:tab w:val="left" w:pos="85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69A" w:rsidRPr="00990EBF" w:rsidRDefault="00A5469A" w:rsidP="004431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EBF">
        <w:rPr>
          <w:rFonts w:ascii="Times New Roman" w:hAnsi="Times New Roman"/>
          <w:sz w:val="24"/>
          <w:szCs w:val="24"/>
        </w:rPr>
        <w:t xml:space="preserve">ROÇA, Gustavo Berto. </w:t>
      </w:r>
      <w:r w:rsidRPr="00990EBF">
        <w:rPr>
          <w:rFonts w:ascii="Times New Roman" w:hAnsi="Times New Roman"/>
          <w:b/>
          <w:sz w:val="24"/>
          <w:szCs w:val="24"/>
        </w:rPr>
        <w:t>A cobrança do IPTU em imóveis situados em espaços urbanos conflitantes</w:t>
      </w:r>
      <w:r w:rsidRPr="00990EBF">
        <w:rPr>
          <w:rFonts w:ascii="Times New Roman" w:hAnsi="Times New Roman"/>
          <w:sz w:val="24"/>
          <w:szCs w:val="24"/>
        </w:rPr>
        <w:t>. Disponível em:&lt;</w:t>
      </w:r>
      <w:hyperlink r:id="rId15" w:history="1">
        <w:r w:rsidRPr="00990EB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s://www.google.com.br/url?sa=t&amp;rct=j&amp;q=&amp;esrc=s&amp;source=web&amp;cd=1&amp;cad=rja&amp;ved=0CCsQFjAA&amp;url=http%3A%2F%2Fwww.bertoghebur.com.br%2Fdownload_file.php%3Farquivo%3D20100514193543000000-iptu.pdf&amp;ei=MvCAUrHdE62i4AP-n4GAAg&amp;usg=AFQjCNHr8RZHR_wbIrjWrAIQ250KqA-ppg&amp;bvm=bv.56146854,d.dmg</w:t>
        </w:r>
      </w:hyperlink>
      <w:r w:rsidRPr="00990EBF">
        <w:rPr>
          <w:rFonts w:ascii="Times New Roman" w:hAnsi="Times New Roman"/>
          <w:sz w:val="24"/>
          <w:szCs w:val="24"/>
        </w:rPr>
        <w:t>&gt;. Acesso em: Nov de 2013.</w:t>
      </w:r>
    </w:p>
    <w:p w:rsidR="00A5469A" w:rsidRPr="00990EBF" w:rsidRDefault="00A5469A" w:rsidP="00443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7A5" w:rsidRPr="00990EBF" w:rsidRDefault="006174C1" w:rsidP="004431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EBF">
        <w:rPr>
          <w:rFonts w:ascii="Times New Roman" w:hAnsi="Times New Roman"/>
          <w:sz w:val="24"/>
          <w:szCs w:val="24"/>
        </w:rPr>
        <w:t xml:space="preserve">TERASACA, Cinthia; CUNICO, Dayane Souza; SHIMAMURA, Emilim. A concretização da função social da propriedade – análise jurídica do IPTU. </w:t>
      </w:r>
      <w:r w:rsidRPr="00990EBF">
        <w:rPr>
          <w:rFonts w:ascii="Times New Roman" w:hAnsi="Times New Roman"/>
          <w:b/>
          <w:sz w:val="24"/>
          <w:szCs w:val="24"/>
        </w:rPr>
        <w:t>Revista de Direito Público</w:t>
      </w:r>
      <w:r w:rsidRPr="00990EBF">
        <w:rPr>
          <w:rFonts w:ascii="Times New Roman" w:hAnsi="Times New Roman"/>
          <w:sz w:val="24"/>
          <w:szCs w:val="24"/>
        </w:rPr>
        <w:t>, Londrina, v.5, n.1, p. 23-42, abr. 2010. Disponível em: &lt;</w:t>
      </w:r>
      <w:hyperlink r:id="rId16" w:history="1">
        <w:r w:rsidRPr="00990EB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http://www.uel.br/revistas/uel/index.php/direitopub/article/view/7566/6651</w:t>
        </w:r>
      </w:hyperlink>
      <w:r w:rsidRPr="00990EBF">
        <w:rPr>
          <w:rFonts w:ascii="Times New Roman" w:hAnsi="Times New Roman"/>
          <w:sz w:val="24"/>
          <w:szCs w:val="24"/>
        </w:rPr>
        <w:t>&gt;. Acesso em: 25 out. 2013.</w:t>
      </w:r>
    </w:p>
    <w:sectPr w:rsidR="003C07A5" w:rsidRPr="00990EBF" w:rsidSect="00E26DE3">
      <w:headerReference w:type="default" r:id="rId1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A79" w:rsidRDefault="005E0A79" w:rsidP="00232689">
      <w:pPr>
        <w:spacing w:after="0" w:line="240" w:lineRule="auto"/>
      </w:pPr>
      <w:r>
        <w:separator/>
      </w:r>
    </w:p>
  </w:endnote>
  <w:endnote w:type="continuationSeparator" w:id="0">
    <w:p w:rsidR="005E0A79" w:rsidRDefault="005E0A79" w:rsidP="0023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A79" w:rsidRDefault="005E0A79" w:rsidP="00232689">
      <w:pPr>
        <w:spacing w:after="0" w:line="240" w:lineRule="auto"/>
      </w:pPr>
      <w:r>
        <w:separator/>
      </w:r>
    </w:p>
  </w:footnote>
  <w:footnote w:type="continuationSeparator" w:id="0">
    <w:p w:rsidR="005E0A79" w:rsidRDefault="005E0A79" w:rsidP="00232689">
      <w:pPr>
        <w:spacing w:after="0" w:line="240" w:lineRule="auto"/>
      </w:pPr>
      <w:r>
        <w:continuationSeparator/>
      </w:r>
    </w:p>
  </w:footnote>
  <w:footnote w:id="1">
    <w:p w:rsidR="000F04A9" w:rsidRPr="004F577B" w:rsidRDefault="000F04A9" w:rsidP="004F577B">
      <w:pPr>
        <w:pStyle w:val="Textodenotaderodap"/>
        <w:jc w:val="both"/>
        <w:rPr>
          <w:rFonts w:ascii="Times New Roman" w:hAnsi="Times New Roman"/>
        </w:rPr>
      </w:pPr>
      <w:r w:rsidRPr="004F577B">
        <w:rPr>
          <w:rStyle w:val="Refdenotaderodap"/>
          <w:rFonts w:ascii="Times New Roman" w:hAnsi="Times New Roman"/>
        </w:rPr>
        <w:footnoteRef/>
      </w:r>
      <w:r w:rsidRPr="004F577B">
        <w:rPr>
          <w:rFonts w:ascii="Times New Roman" w:hAnsi="Times New Roman"/>
        </w:rPr>
        <w:t xml:space="preserve"> Paper apresentado à disciplina Direito Tributário I, da Unidade de Ensino Superior Dom Bosco – UNDB.</w:t>
      </w:r>
    </w:p>
  </w:footnote>
  <w:footnote w:id="2">
    <w:p w:rsidR="000F04A9" w:rsidRPr="004F577B" w:rsidRDefault="000F04A9" w:rsidP="004F577B">
      <w:pPr>
        <w:pStyle w:val="Textodenotaderodap"/>
        <w:jc w:val="both"/>
        <w:rPr>
          <w:rFonts w:ascii="Times New Roman" w:hAnsi="Times New Roman"/>
        </w:rPr>
      </w:pPr>
      <w:r w:rsidRPr="004F577B">
        <w:rPr>
          <w:rStyle w:val="Refdenotaderodap"/>
          <w:rFonts w:ascii="Times New Roman" w:hAnsi="Times New Roman"/>
        </w:rPr>
        <w:footnoteRef/>
      </w:r>
      <w:r w:rsidR="0062464F">
        <w:rPr>
          <w:rFonts w:ascii="Times New Roman" w:hAnsi="Times New Roman"/>
        </w:rPr>
        <w:t xml:space="preserve"> Alunos matriculados n</w:t>
      </w:r>
      <w:r w:rsidRPr="004F577B">
        <w:rPr>
          <w:rFonts w:ascii="Times New Roman" w:hAnsi="Times New Roman"/>
        </w:rPr>
        <w:t>o 7º Período</w:t>
      </w:r>
      <w:r w:rsidR="0062464F">
        <w:rPr>
          <w:rFonts w:ascii="Times New Roman" w:hAnsi="Times New Roman"/>
        </w:rPr>
        <w:t xml:space="preserve"> </w:t>
      </w:r>
      <w:r w:rsidR="00D645AB">
        <w:rPr>
          <w:rFonts w:ascii="Times New Roman" w:hAnsi="Times New Roman"/>
        </w:rPr>
        <w:t>Noturno</w:t>
      </w:r>
      <w:r w:rsidRPr="004F577B">
        <w:rPr>
          <w:rFonts w:ascii="Times New Roman" w:hAnsi="Times New Roman"/>
        </w:rPr>
        <w:t xml:space="preserve"> do Curso de Direito, da UNDB.</w:t>
      </w:r>
    </w:p>
  </w:footnote>
  <w:footnote w:id="3">
    <w:p w:rsidR="000F04A9" w:rsidRPr="004F577B" w:rsidRDefault="000F04A9" w:rsidP="004F577B">
      <w:pPr>
        <w:pStyle w:val="Textodenotaderodap"/>
        <w:jc w:val="both"/>
        <w:rPr>
          <w:rFonts w:ascii="Times New Roman" w:hAnsi="Times New Roman"/>
        </w:rPr>
      </w:pPr>
      <w:r w:rsidRPr="004F577B">
        <w:rPr>
          <w:rStyle w:val="Refdenotaderodap"/>
          <w:rFonts w:ascii="Times New Roman" w:hAnsi="Times New Roman"/>
        </w:rPr>
        <w:footnoteRef/>
      </w:r>
      <w:r w:rsidRPr="004F577B">
        <w:rPr>
          <w:rFonts w:ascii="Times New Roman" w:hAnsi="Times New Roman"/>
        </w:rPr>
        <w:t xml:space="preserve"> Professor, orientador.</w:t>
      </w:r>
    </w:p>
  </w:footnote>
  <w:footnote w:id="4">
    <w:p w:rsidR="000F04A9" w:rsidRPr="004F577B" w:rsidRDefault="000F04A9" w:rsidP="004F577B">
      <w:pPr>
        <w:jc w:val="both"/>
        <w:rPr>
          <w:rFonts w:ascii="Times New Roman" w:hAnsi="Times New Roman"/>
          <w:sz w:val="20"/>
          <w:szCs w:val="20"/>
        </w:rPr>
      </w:pPr>
      <w:r w:rsidRPr="004F577B">
        <w:rPr>
          <w:rStyle w:val="Refdenotaderodap"/>
          <w:rFonts w:ascii="Times New Roman" w:hAnsi="Times New Roman"/>
          <w:sz w:val="20"/>
          <w:szCs w:val="20"/>
        </w:rPr>
        <w:footnoteRef/>
      </w:r>
      <w:r w:rsidRPr="004F577B">
        <w:rPr>
          <w:rFonts w:ascii="Times New Roman" w:hAnsi="Times New Roman"/>
          <w:sz w:val="20"/>
          <w:szCs w:val="20"/>
          <w:shd w:val="clear" w:color="auto" w:fill="FFFFFF"/>
        </w:rPr>
        <w:t xml:space="preserve"> Art 15. </w:t>
      </w:r>
      <w:r>
        <w:rPr>
          <w:rFonts w:ascii="Times New Roman" w:hAnsi="Times New Roman"/>
          <w:sz w:val="20"/>
          <w:szCs w:val="20"/>
          <w:shd w:val="clear" w:color="auto" w:fill="FFFFFF"/>
        </w:rPr>
        <w:t>“</w:t>
      </w:r>
      <w:r w:rsidRPr="004F577B">
        <w:rPr>
          <w:rFonts w:ascii="Times New Roman" w:hAnsi="Times New Roman"/>
          <w:sz w:val="20"/>
          <w:szCs w:val="20"/>
          <w:shd w:val="clear" w:color="auto" w:fill="FFFFFF"/>
        </w:rPr>
        <w:t>O disposto no</w:t>
      </w:r>
      <w:r w:rsidRPr="004F577B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1" w:anchor="art32" w:history="1">
        <w:r w:rsidRPr="004F577B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art. 32 da Lei nº 5.172, de 25 de outubro de 1966</w:t>
        </w:r>
      </w:hyperlink>
      <w:r w:rsidRPr="004F577B">
        <w:rPr>
          <w:rFonts w:ascii="Times New Roman" w:hAnsi="Times New Roman"/>
          <w:sz w:val="20"/>
          <w:szCs w:val="20"/>
          <w:shd w:val="clear" w:color="auto" w:fill="FFFFFF"/>
        </w:rPr>
        <w:t>, não abrange o imóvel de que, comprovadamente, seja utilizado em exploração extrativa vegetal, agrícola, pecuária ou agro-industrial, incidindo assim, sôbre o mesmo, o ITR e demais tributos com o mesmo cobrados</w:t>
      </w:r>
      <w:r>
        <w:rPr>
          <w:rFonts w:ascii="Times New Roman" w:hAnsi="Times New Roman"/>
          <w:sz w:val="20"/>
          <w:szCs w:val="20"/>
          <w:shd w:val="clear" w:color="auto" w:fill="FFFFFF"/>
        </w:rPr>
        <w:t>”</w:t>
      </w:r>
      <w:r w:rsidRPr="004F577B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4A9" w:rsidRPr="00A54982" w:rsidRDefault="0004723F" w:rsidP="00A54982">
    <w:pPr>
      <w:pStyle w:val="Cabealho"/>
      <w:jc w:val="right"/>
      <w:rPr>
        <w:rFonts w:ascii="Times New Roman" w:hAnsi="Times New Roman"/>
        <w:sz w:val="20"/>
        <w:szCs w:val="20"/>
      </w:rPr>
    </w:pPr>
    <w:r w:rsidRPr="00A54982">
      <w:rPr>
        <w:rFonts w:ascii="Times New Roman" w:hAnsi="Times New Roman"/>
        <w:sz w:val="20"/>
        <w:szCs w:val="20"/>
      </w:rPr>
      <w:fldChar w:fldCharType="begin"/>
    </w:r>
    <w:r w:rsidR="000F04A9" w:rsidRPr="00A54982">
      <w:rPr>
        <w:rFonts w:ascii="Times New Roman" w:hAnsi="Times New Roman"/>
        <w:sz w:val="20"/>
        <w:szCs w:val="20"/>
      </w:rPr>
      <w:instrText xml:space="preserve"> PAGE   \* MERGEFORMAT </w:instrText>
    </w:r>
    <w:r w:rsidRPr="00A54982">
      <w:rPr>
        <w:rFonts w:ascii="Times New Roman" w:hAnsi="Times New Roman"/>
        <w:sz w:val="20"/>
        <w:szCs w:val="20"/>
      </w:rPr>
      <w:fldChar w:fldCharType="separate"/>
    </w:r>
    <w:r w:rsidR="00D645AB">
      <w:rPr>
        <w:rFonts w:ascii="Times New Roman" w:hAnsi="Times New Roman"/>
        <w:noProof/>
        <w:sz w:val="20"/>
        <w:szCs w:val="20"/>
      </w:rPr>
      <w:t>1</w:t>
    </w:r>
    <w:r w:rsidRPr="00A54982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5059"/>
    <w:multiLevelType w:val="multilevel"/>
    <w:tmpl w:val="492228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75505445"/>
    <w:multiLevelType w:val="hybridMultilevel"/>
    <w:tmpl w:val="657A4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689"/>
    <w:rsid w:val="00006A9F"/>
    <w:rsid w:val="000242B8"/>
    <w:rsid w:val="00043BEA"/>
    <w:rsid w:val="0004723F"/>
    <w:rsid w:val="00065F0E"/>
    <w:rsid w:val="00066B2D"/>
    <w:rsid w:val="000703D3"/>
    <w:rsid w:val="000A0A4A"/>
    <w:rsid w:val="000D47DE"/>
    <w:rsid w:val="000F04A9"/>
    <w:rsid w:val="000F1972"/>
    <w:rsid w:val="000F22D5"/>
    <w:rsid w:val="000F5D0F"/>
    <w:rsid w:val="00111820"/>
    <w:rsid w:val="00133D96"/>
    <w:rsid w:val="00144865"/>
    <w:rsid w:val="001578C5"/>
    <w:rsid w:val="00172B03"/>
    <w:rsid w:val="00182345"/>
    <w:rsid w:val="00186FBA"/>
    <w:rsid w:val="00197635"/>
    <w:rsid w:val="001A4861"/>
    <w:rsid w:val="001C12B8"/>
    <w:rsid w:val="001D09A9"/>
    <w:rsid w:val="001E5517"/>
    <w:rsid w:val="001F2D40"/>
    <w:rsid w:val="001F4231"/>
    <w:rsid w:val="002108F3"/>
    <w:rsid w:val="00216D26"/>
    <w:rsid w:val="00232689"/>
    <w:rsid w:val="0027540F"/>
    <w:rsid w:val="00280490"/>
    <w:rsid w:val="00294659"/>
    <w:rsid w:val="002B6DFC"/>
    <w:rsid w:val="002C433D"/>
    <w:rsid w:val="002E2D36"/>
    <w:rsid w:val="0033735F"/>
    <w:rsid w:val="00344F8D"/>
    <w:rsid w:val="003927D9"/>
    <w:rsid w:val="003A0A21"/>
    <w:rsid w:val="003A2494"/>
    <w:rsid w:val="003C07A5"/>
    <w:rsid w:val="003C7D5A"/>
    <w:rsid w:val="003D17BC"/>
    <w:rsid w:val="003D322C"/>
    <w:rsid w:val="003D4FBE"/>
    <w:rsid w:val="0042017E"/>
    <w:rsid w:val="004210C3"/>
    <w:rsid w:val="00442B03"/>
    <w:rsid w:val="00443130"/>
    <w:rsid w:val="00444FA1"/>
    <w:rsid w:val="0044639A"/>
    <w:rsid w:val="00471103"/>
    <w:rsid w:val="004921F4"/>
    <w:rsid w:val="00492C6E"/>
    <w:rsid w:val="004C4DBA"/>
    <w:rsid w:val="004F577B"/>
    <w:rsid w:val="00510733"/>
    <w:rsid w:val="00510A13"/>
    <w:rsid w:val="00515650"/>
    <w:rsid w:val="00537913"/>
    <w:rsid w:val="00543E60"/>
    <w:rsid w:val="00552887"/>
    <w:rsid w:val="005A2283"/>
    <w:rsid w:val="005A23C9"/>
    <w:rsid w:val="005A5236"/>
    <w:rsid w:val="005B352F"/>
    <w:rsid w:val="005C1D0E"/>
    <w:rsid w:val="005E0A79"/>
    <w:rsid w:val="005F7406"/>
    <w:rsid w:val="00602D31"/>
    <w:rsid w:val="0061400C"/>
    <w:rsid w:val="006174C1"/>
    <w:rsid w:val="0062464F"/>
    <w:rsid w:val="006453E2"/>
    <w:rsid w:val="00646035"/>
    <w:rsid w:val="0065253E"/>
    <w:rsid w:val="006728D7"/>
    <w:rsid w:val="0069071E"/>
    <w:rsid w:val="00690EFD"/>
    <w:rsid w:val="006A098A"/>
    <w:rsid w:val="006A2F10"/>
    <w:rsid w:val="006B5A3F"/>
    <w:rsid w:val="006D23EA"/>
    <w:rsid w:val="006D287A"/>
    <w:rsid w:val="006F1AB9"/>
    <w:rsid w:val="00715F7C"/>
    <w:rsid w:val="00737704"/>
    <w:rsid w:val="00770B23"/>
    <w:rsid w:val="007720B8"/>
    <w:rsid w:val="00777EE5"/>
    <w:rsid w:val="00785199"/>
    <w:rsid w:val="00793317"/>
    <w:rsid w:val="007A4397"/>
    <w:rsid w:val="007D0CF2"/>
    <w:rsid w:val="007D3A58"/>
    <w:rsid w:val="007F67A7"/>
    <w:rsid w:val="00800931"/>
    <w:rsid w:val="00807CBF"/>
    <w:rsid w:val="00816F58"/>
    <w:rsid w:val="008278C8"/>
    <w:rsid w:val="00847744"/>
    <w:rsid w:val="008975A2"/>
    <w:rsid w:val="008A0215"/>
    <w:rsid w:val="008A71B7"/>
    <w:rsid w:val="008D4E79"/>
    <w:rsid w:val="00911208"/>
    <w:rsid w:val="00935470"/>
    <w:rsid w:val="0095798F"/>
    <w:rsid w:val="00961C6C"/>
    <w:rsid w:val="00964D00"/>
    <w:rsid w:val="00967F31"/>
    <w:rsid w:val="00973B5C"/>
    <w:rsid w:val="009859BB"/>
    <w:rsid w:val="00990EBF"/>
    <w:rsid w:val="009954A4"/>
    <w:rsid w:val="009B34F8"/>
    <w:rsid w:val="00A20F26"/>
    <w:rsid w:val="00A5469A"/>
    <w:rsid w:val="00A54982"/>
    <w:rsid w:val="00A63123"/>
    <w:rsid w:val="00A72DBD"/>
    <w:rsid w:val="00AA3C99"/>
    <w:rsid w:val="00AB0637"/>
    <w:rsid w:val="00AB4209"/>
    <w:rsid w:val="00AC018B"/>
    <w:rsid w:val="00AD3D76"/>
    <w:rsid w:val="00AE61B7"/>
    <w:rsid w:val="00B12B6E"/>
    <w:rsid w:val="00B24EF3"/>
    <w:rsid w:val="00B36051"/>
    <w:rsid w:val="00B44A37"/>
    <w:rsid w:val="00B56999"/>
    <w:rsid w:val="00B67E9A"/>
    <w:rsid w:val="00B73708"/>
    <w:rsid w:val="00B86B13"/>
    <w:rsid w:val="00B87D73"/>
    <w:rsid w:val="00BA02A6"/>
    <w:rsid w:val="00BA24CB"/>
    <w:rsid w:val="00BB3129"/>
    <w:rsid w:val="00BD64F8"/>
    <w:rsid w:val="00BE16D7"/>
    <w:rsid w:val="00BF2688"/>
    <w:rsid w:val="00C14626"/>
    <w:rsid w:val="00C14A0F"/>
    <w:rsid w:val="00C21959"/>
    <w:rsid w:val="00C36E7D"/>
    <w:rsid w:val="00C667D3"/>
    <w:rsid w:val="00C86D9F"/>
    <w:rsid w:val="00CA2EEE"/>
    <w:rsid w:val="00CD27B2"/>
    <w:rsid w:val="00CD6E24"/>
    <w:rsid w:val="00CE4D5D"/>
    <w:rsid w:val="00CF4C88"/>
    <w:rsid w:val="00D02175"/>
    <w:rsid w:val="00D02297"/>
    <w:rsid w:val="00D10564"/>
    <w:rsid w:val="00D1096E"/>
    <w:rsid w:val="00D16F3F"/>
    <w:rsid w:val="00D172C3"/>
    <w:rsid w:val="00D17390"/>
    <w:rsid w:val="00D3427C"/>
    <w:rsid w:val="00D34E24"/>
    <w:rsid w:val="00D36699"/>
    <w:rsid w:val="00D43090"/>
    <w:rsid w:val="00D645AB"/>
    <w:rsid w:val="00D702F8"/>
    <w:rsid w:val="00D75748"/>
    <w:rsid w:val="00D86284"/>
    <w:rsid w:val="00D869BF"/>
    <w:rsid w:val="00DA2CB4"/>
    <w:rsid w:val="00DD2247"/>
    <w:rsid w:val="00E069B4"/>
    <w:rsid w:val="00E1655C"/>
    <w:rsid w:val="00E26DE3"/>
    <w:rsid w:val="00E76846"/>
    <w:rsid w:val="00E80EA2"/>
    <w:rsid w:val="00E826DC"/>
    <w:rsid w:val="00E91377"/>
    <w:rsid w:val="00EA271A"/>
    <w:rsid w:val="00EB4CCD"/>
    <w:rsid w:val="00EB4D65"/>
    <w:rsid w:val="00EC5058"/>
    <w:rsid w:val="00ED3A15"/>
    <w:rsid w:val="00ED7E47"/>
    <w:rsid w:val="00EE2748"/>
    <w:rsid w:val="00EF0DB0"/>
    <w:rsid w:val="00EF5337"/>
    <w:rsid w:val="00F060A3"/>
    <w:rsid w:val="00F12063"/>
    <w:rsid w:val="00F12232"/>
    <w:rsid w:val="00F31CAD"/>
    <w:rsid w:val="00F34980"/>
    <w:rsid w:val="00F635E1"/>
    <w:rsid w:val="00F75020"/>
    <w:rsid w:val="00F82207"/>
    <w:rsid w:val="00F93395"/>
    <w:rsid w:val="00FA4D77"/>
    <w:rsid w:val="00FB4BFB"/>
    <w:rsid w:val="00FC5D14"/>
    <w:rsid w:val="00FC754F"/>
    <w:rsid w:val="00FD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8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rsid w:val="0023268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268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232689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rsid w:val="00232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689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23268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A54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54982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C1462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C1462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A15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6B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86B13"/>
  </w:style>
  <w:style w:type="paragraph" w:customStyle="1" w:styleId="Default">
    <w:name w:val="Default"/>
    <w:uiPriority w:val="99"/>
    <w:rsid w:val="00CD6E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1">
    <w:name w:val="A1"/>
    <w:uiPriority w:val="99"/>
    <w:rsid w:val="00CD6E24"/>
    <w:rPr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D6E24"/>
    <w:rPr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DEL%2057-1966?OpenDocument" TargetMode="External"/><Relationship Id="rId13" Type="http://schemas.openxmlformats.org/officeDocument/2006/relationships/hyperlink" Target="http://www.idtl.com.br/artigos/69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el.br/revistas/uel/index.php/direitopub/article/view/757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el.br/revistas/uel/index.php/direitopub/article/view/7566/66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j.jusbrasil.com.br/jurisprudencia/8024516/recurso-especial-resp-169924-rs-1998-0024007-1-st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br/url?sa=t&amp;rct=j&amp;q=&amp;esrc=s&amp;source=web&amp;cd=1&amp;cad=rja&amp;ved=0CCsQFjAA&amp;url=http%3A%2F%2Fwww.bertoghebur.com.br%2Fdownload_file.php%3Farquivo%3D20100514193543000000-iptu.pdf&amp;ei=MvCAUrHdE62i4AP-n4GAAg&amp;usg=AFQjCNHr8RZHR_wbIrjWrAIQ250KqA-ppg&amp;bvm=bv.56146854,d.dmg" TargetMode="External"/><Relationship Id="rId10" Type="http://schemas.openxmlformats.org/officeDocument/2006/relationships/hyperlink" Target="http://stj.jusbrasil.com.br/jurisprudencia/7233063/recurso-especial-resp-492869-pr-2003-0011619-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decreto-lei/del0057.htm" TargetMode="External"/><Relationship Id="rId14" Type="http://schemas.openxmlformats.org/officeDocument/2006/relationships/hyperlink" Target="http://www.ambito-juridico.com.br/site/index.php?n_link=revista_artigos_leitura&amp;artigo_id=7233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LEIS/L5172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8E8C8-23FA-413A-8238-44C54E92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13</Pages>
  <Words>4387</Words>
  <Characters>23696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RIOS</dc:creator>
  <cp:lastModifiedBy>Yuri</cp:lastModifiedBy>
  <cp:revision>149</cp:revision>
  <dcterms:created xsi:type="dcterms:W3CDTF">2013-11-01T20:21:00Z</dcterms:created>
  <dcterms:modified xsi:type="dcterms:W3CDTF">2015-06-10T19:25:00Z</dcterms:modified>
</cp:coreProperties>
</file>