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C3" w:rsidRDefault="00702EC3" w:rsidP="00021C5A">
      <w:pPr>
        <w:pStyle w:val="PargrafodaLista"/>
        <w:ind w:left="0"/>
        <w:rPr>
          <w:rFonts w:ascii="Times New Roman" w:hAnsi="Times New Roman"/>
          <w:b/>
          <w:color w:val="FF0000"/>
          <w:sz w:val="28"/>
          <w:szCs w:val="28"/>
          <w:lang w:val="pt-BR"/>
        </w:rPr>
      </w:pPr>
    </w:p>
    <w:p w:rsidR="0080378D" w:rsidRDefault="00C3666D" w:rsidP="00702EC3">
      <w:pPr>
        <w:pStyle w:val="PargrafodaLista"/>
        <w:ind w:left="0"/>
        <w:jc w:val="center"/>
        <w:rPr>
          <w:rFonts w:ascii="Times New Roman" w:hAnsi="Times New Roman"/>
          <w:b/>
          <w:sz w:val="28"/>
          <w:szCs w:val="28"/>
          <w:lang w:val="pt-BR"/>
        </w:rPr>
      </w:pPr>
      <w:r>
        <w:rPr>
          <w:rFonts w:ascii="Times New Roman" w:hAnsi="Times New Roman"/>
          <w:b/>
          <w:sz w:val="28"/>
          <w:szCs w:val="28"/>
          <w:lang w:val="pt-BR"/>
        </w:rPr>
        <w:t>O aparente conflito entre a hipótese de denunciação da lide do art. 70, I,</w:t>
      </w:r>
      <w:r w:rsidR="00FF426A">
        <w:rPr>
          <w:rFonts w:ascii="Times New Roman" w:hAnsi="Times New Roman"/>
          <w:b/>
          <w:sz w:val="28"/>
          <w:szCs w:val="28"/>
          <w:lang w:val="pt-BR"/>
        </w:rPr>
        <w:t xml:space="preserve"> do</w:t>
      </w:r>
      <w:r>
        <w:rPr>
          <w:rFonts w:ascii="Times New Roman" w:hAnsi="Times New Roman"/>
          <w:b/>
          <w:sz w:val="28"/>
          <w:szCs w:val="28"/>
          <w:lang w:val="pt-BR"/>
        </w:rPr>
        <w:t xml:space="preserve"> CPC e a introdução da regra do artigo 456 do Código Civil no que tange à responsabilidade aos riscos da evicção</w:t>
      </w:r>
      <w:r w:rsidR="0050648C" w:rsidRPr="00702EC3">
        <w:rPr>
          <w:rStyle w:val="Refdenotaderodap"/>
          <w:rFonts w:ascii="Times New Roman" w:hAnsi="Times New Roman"/>
          <w:sz w:val="20"/>
          <w:szCs w:val="20"/>
          <w:lang w:val="pt-BR"/>
        </w:rPr>
        <w:footnoteReference w:id="1"/>
      </w:r>
      <w:r w:rsidR="00AC3E97">
        <w:rPr>
          <w:rFonts w:ascii="Times New Roman" w:hAnsi="Times New Roman"/>
          <w:b/>
          <w:sz w:val="28"/>
          <w:szCs w:val="28"/>
          <w:lang w:val="pt-BR"/>
        </w:rPr>
        <w:t>.</w:t>
      </w:r>
    </w:p>
    <w:p w:rsidR="00021C5A" w:rsidRPr="00702EC3" w:rsidRDefault="00021C5A" w:rsidP="00702EC3">
      <w:pPr>
        <w:pStyle w:val="PargrafodaLista"/>
        <w:ind w:left="0"/>
        <w:jc w:val="center"/>
        <w:rPr>
          <w:rFonts w:ascii="Times New Roman" w:hAnsi="Times New Roman"/>
          <w:b/>
          <w:sz w:val="28"/>
          <w:szCs w:val="28"/>
          <w:lang w:val="pt-BR"/>
        </w:rPr>
      </w:pPr>
    </w:p>
    <w:p w:rsidR="0080378D" w:rsidRPr="00D7001C" w:rsidRDefault="00C22E19" w:rsidP="00BB6D0D">
      <w:pPr>
        <w:spacing w:after="0" w:line="240" w:lineRule="auto"/>
        <w:jc w:val="right"/>
        <w:rPr>
          <w:rFonts w:ascii="Times New Roman" w:hAnsi="Times New Roman" w:cs="Times New Roman"/>
          <w:color w:val="000000"/>
          <w:sz w:val="20"/>
          <w:szCs w:val="20"/>
        </w:rPr>
      </w:pPr>
      <w:r>
        <w:rPr>
          <w:rFonts w:ascii="Times New Roman" w:hAnsi="Times New Roman" w:cs="Times New Roman"/>
          <w:i/>
          <w:color w:val="000000"/>
          <w:sz w:val="24"/>
          <w:szCs w:val="24"/>
        </w:rPr>
        <w:t xml:space="preserve">Jéssica Mendes Campos </w:t>
      </w:r>
      <w:r w:rsidR="0050648C" w:rsidRPr="00D7001C">
        <w:rPr>
          <w:rStyle w:val="Refdenotaderodap"/>
          <w:rFonts w:ascii="Times New Roman" w:hAnsi="Times New Roman" w:cs="Times New Roman"/>
          <w:color w:val="000000"/>
          <w:sz w:val="20"/>
          <w:szCs w:val="20"/>
        </w:rPr>
        <w:footnoteReference w:id="2"/>
      </w:r>
    </w:p>
    <w:p w:rsidR="0080378D" w:rsidRPr="00D7001C" w:rsidRDefault="0080378D" w:rsidP="00BB6D0D">
      <w:pPr>
        <w:spacing w:before="120" w:after="0"/>
        <w:jc w:val="center"/>
        <w:rPr>
          <w:rFonts w:ascii="Times New Roman" w:hAnsi="Times New Roman" w:cs="Times New Roman"/>
          <w:color w:val="FF0000"/>
        </w:rPr>
      </w:pPr>
    </w:p>
    <w:p w:rsidR="0080378D" w:rsidRDefault="0080378D" w:rsidP="0027565D">
      <w:pPr>
        <w:spacing w:after="0" w:line="240" w:lineRule="auto"/>
        <w:ind w:left="2268"/>
        <w:jc w:val="both"/>
        <w:rPr>
          <w:rFonts w:ascii="Times New Roman" w:hAnsi="Times New Roman" w:cs="Times New Roman"/>
          <w:sz w:val="20"/>
          <w:szCs w:val="20"/>
        </w:rPr>
      </w:pPr>
      <w:r w:rsidRPr="00D7001C">
        <w:rPr>
          <w:rFonts w:ascii="Times New Roman" w:hAnsi="Times New Roman" w:cs="Times New Roman"/>
          <w:b/>
          <w:sz w:val="20"/>
          <w:szCs w:val="20"/>
        </w:rPr>
        <w:t>Sumário</w:t>
      </w:r>
      <w:r w:rsidRPr="00D7001C">
        <w:rPr>
          <w:rFonts w:ascii="Times New Roman" w:hAnsi="Times New Roman" w:cs="Times New Roman"/>
          <w:sz w:val="20"/>
          <w:szCs w:val="20"/>
        </w:rPr>
        <w:t>: Introdução; 1</w:t>
      </w:r>
      <w:r w:rsidR="007F6A68">
        <w:rPr>
          <w:rFonts w:ascii="Times New Roman" w:hAnsi="Times New Roman" w:cs="Times New Roman"/>
          <w:sz w:val="20"/>
          <w:szCs w:val="20"/>
        </w:rPr>
        <w:t xml:space="preserve">Breve visão sobre os artigos 70, </w:t>
      </w:r>
      <w:r w:rsidR="007F6A68" w:rsidRPr="007F6A68">
        <w:rPr>
          <w:rFonts w:ascii="Times New Roman" w:hAnsi="Times New Roman" w:cs="Times New Roman"/>
          <w:i/>
          <w:sz w:val="20"/>
          <w:szCs w:val="20"/>
        </w:rPr>
        <w:t>caput</w:t>
      </w:r>
      <w:r w:rsidR="00B53E32">
        <w:rPr>
          <w:rFonts w:ascii="Times New Roman" w:hAnsi="Times New Roman" w:cs="Times New Roman"/>
          <w:sz w:val="20"/>
          <w:szCs w:val="20"/>
        </w:rPr>
        <w:t xml:space="preserve">, do CPC e 456, do CC: </w:t>
      </w:r>
      <w:r w:rsidR="007F6A68">
        <w:rPr>
          <w:rFonts w:ascii="Times New Roman" w:hAnsi="Times New Roman" w:cs="Times New Roman"/>
          <w:sz w:val="20"/>
          <w:szCs w:val="20"/>
        </w:rPr>
        <w:t>o ônus absoluto da denunciação da lide;</w:t>
      </w:r>
      <w:r w:rsidRPr="00D7001C">
        <w:rPr>
          <w:rFonts w:ascii="Times New Roman" w:hAnsi="Times New Roman" w:cs="Times New Roman"/>
          <w:sz w:val="20"/>
          <w:szCs w:val="20"/>
        </w:rPr>
        <w:t xml:space="preserve"> 2 </w:t>
      </w:r>
      <w:r w:rsidR="00B53E32">
        <w:rPr>
          <w:rFonts w:ascii="Times New Roman" w:hAnsi="Times New Roman" w:cs="Times New Roman"/>
          <w:sz w:val="20"/>
          <w:szCs w:val="20"/>
        </w:rPr>
        <w:t>Denunciação da lide como instrumento essencial ao direito regressivo com base na evicção; 2.1</w:t>
      </w:r>
      <w:r w:rsidR="0027565D">
        <w:rPr>
          <w:rFonts w:ascii="Times New Roman" w:hAnsi="Times New Roman" w:cs="Times New Roman"/>
          <w:sz w:val="20"/>
          <w:szCs w:val="20"/>
        </w:rPr>
        <w:t xml:space="preserve"> A possibilidade da denunciação da lide </w:t>
      </w:r>
      <w:r w:rsidR="0027565D" w:rsidRPr="0027565D">
        <w:rPr>
          <w:rFonts w:ascii="Times New Roman" w:hAnsi="Times New Roman" w:cs="Times New Roman"/>
          <w:i/>
          <w:sz w:val="20"/>
          <w:szCs w:val="20"/>
        </w:rPr>
        <w:t>per saltum</w:t>
      </w:r>
      <w:r w:rsidR="0027565D">
        <w:rPr>
          <w:rFonts w:ascii="Times New Roman" w:hAnsi="Times New Roman" w:cs="Times New Roman"/>
          <w:sz w:val="20"/>
          <w:szCs w:val="20"/>
        </w:rPr>
        <w:t xml:space="preserve"> em casos de evicção;</w:t>
      </w:r>
      <w:r w:rsidR="0034747A">
        <w:rPr>
          <w:rFonts w:ascii="Times New Roman" w:hAnsi="Times New Roman" w:cs="Times New Roman"/>
          <w:sz w:val="20"/>
          <w:szCs w:val="20"/>
        </w:rPr>
        <w:t xml:space="preserve"> 3 O posicionamento do S</w:t>
      </w:r>
      <w:r w:rsidR="0027565D">
        <w:rPr>
          <w:rFonts w:ascii="Times New Roman" w:hAnsi="Times New Roman" w:cs="Times New Roman"/>
          <w:sz w:val="20"/>
          <w:szCs w:val="20"/>
        </w:rPr>
        <w:t>uperior</w:t>
      </w:r>
      <w:r w:rsidR="0034747A">
        <w:rPr>
          <w:rFonts w:ascii="Times New Roman" w:hAnsi="Times New Roman" w:cs="Times New Roman"/>
          <w:sz w:val="20"/>
          <w:szCs w:val="20"/>
        </w:rPr>
        <w:t xml:space="preserve"> T</w:t>
      </w:r>
      <w:r w:rsidRPr="00D7001C">
        <w:rPr>
          <w:rFonts w:ascii="Times New Roman" w:hAnsi="Times New Roman" w:cs="Times New Roman"/>
          <w:sz w:val="20"/>
          <w:szCs w:val="20"/>
        </w:rPr>
        <w:t xml:space="preserve">ribunal </w:t>
      </w:r>
      <w:r w:rsidR="0027565D">
        <w:rPr>
          <w:rFonts w:ascii="Times New Roman" w:hAnsi="Times New Roman" w:cs="Times New Roman"/>
          <w:sz w:val="20"/>
          <w:szCs w:val="20"/>
        </w:rPr>
        <w:t xml:space="preserve">de Justiça </w:t>
      </w:r>
      <w:r w:rsidRPr="00D7001C">
        <w:rPr>
          <w:rFonts w:ascii="Times New Roman" w:hAnsi="Times New Roman" w:cs="Times New Roman"/>
          <w:sz w:val="20"/>
          <w:szCs w:val="20"/>
        </w:rPr>
        <w:t xml:space="preserve">diante da questão; </w:t>
      </w:r>
      <w:r w:rsidR="0027565D">
        <w:rPr>
          <w:rFonts w:ascii="Times New Roman" w:hAnsi="Times New Roman" w:cs="Times New Roman"/>
          <w:sz w:val="20"/>
          <w:szCs w:val="20"/>
        </w:rPr>
        <w:t>Conclusão</w:t>
      </w:r>
    </w:p>
    <w:p w:rsidR="0027565D" w:rsidRDefault="0027565D" w:rsidP="0027565D">
      <w:pPr>
        <w:spacing w:after="0" w:line="240" w:lineRule="auto"/>
        <w:ind w:left="2268"/>
        <w:jc w:val="both"/>
        <w:rPr>
          <w:rFonts w:ascii="Times New Roman" w:hAnsi="Times New Roman" w:cs="Times New Roman"/>
          <w:b/>
          <w:color w:val="FF0000"/>
          <w:sz w:val="24"/>
          <w:szCs w:val="24"/>
        </w:rPr>
      </w:pPr>
    </w:p>
    <w:p w:rsidR="00B413CB" w:rsidRPr="00D7001C" w:rsidRDefault="00B413CB" w:rsidP="0027565D">
      <w:pPr>
        <w:spacing w:after="0" w:line="240" w:lineRule="auto"/>
        <w:ind w:left="2268"/>
        <w:jc w:val="both"/>
        <w:rPr>
          <w:rFonts w:ascii="Times New Roman" w:hAnsi="Times New Roman" w:cs="Times New Roman"/>
          <w:b/>
          <w:color w:val="FF0000"/>
          <w:sz w:val="24"/>
          <w:szCs w:val="24"/>
        </w:rPr>
      </w:pPr>
      <w:bookmarkStart w:id="0" w:name="_GoBack"/>
      <w:bookmarkEnd w:id="0"/>
    </w:p>
    <w:p w:rsidR="0080378D" w:rsidRPr="00D7001C" w:rsidRDefault="0080378D" w:rsidP="00BB6D0D">
      <w:pPr>
        <w:spacing w:after="0" w:line="240" w:lineRule="auto"/>
        <w:jc w:val="center"/>
        <w:rPr>
          <w:rFonts w:ascii="Times New Roman" w:hAnsi="Times New Roman" w:cs="Times New Roman"/>
          <w:b/>
          <w:color w:val="000000"/>
          <w:sz w:val="24"/>
          <w:szCs w:val="24"/>
        </w:rPr>
      </w:pPr>
      <w:r w:rsidRPr="00D7001C">
        <w:rPr>
          <w:rFonts w:ascii="Times New Roman" w:hAnsi="Times New Roman" w:cs="Times New Roman"/>
          <w:b/>
          <w:color w:val="000000"/>
          <w:sz w:val="24"/>
          <w:szCs w:val="24"/>
        </w:rPr>
        <w:t>RESUMO</w:t>
      </w:r>
    </w:p>
    <w:p w:rsidR="00BB6D0D" w:rsidRPr="00D7001C" w:rsidRDefault="00BB6D0D" w:rsidP="00BB6D0D">
      <w:pPr>
        <w:spacing w:after="0" w:line="240" w:lineRule="auto"/>
        <w:jc w:val="center"/>
        <w:rPr>
          <w:rFonts w:ascii="Times New Roman" w:hAnsi="Times New Roman" w:cs="Times New Roman"/>
          <w:b/>
          <w:color w:val="000000"/>
          <w:sz w:val="24"/>
          <w:szCs w:val="24"/>
        </w:rPr>
      </w:pPr>
    </w:p>
    <w:p w:rsidR="00F05757" w:rsidRPr="004B43B7" w:rsidRDefault="00F05757" w:rsidP="0080060D">
      <w:pPr>
        <w:pStyle w:val="ecxmsonormal"/>
        <w:spacing w:before="0" w:beforeAutospacing="0" w:after="0" w:afterAutospacing="0"/>
        <w:jc w:val="both"/>
      </w:pPr>
      <w:r w:rsidRPr="00F05757">
        <w:t>Apresen</w:t>
      </w:r>
      <w:r>
        <w:t>ta-se um</w:t>
      </w:r>
      <w:r w:rsidR="000C2EC3">
        <w:t xml:space="preserve">a breve noção sobre </w:t>
      </w:r>
      <w:r w:rsidR="009A0B84">
        <w:t>a redação</w:t>
      </w:r>
      <w:r w:rsidR="0080060D">
        <w:t>, implicações e efeitosd</w:t>
      </w:r>
      <w:r w:rsidR="000C2EC3">
        <w:t>o art. 70, caput, CPC</w:t>
      </w:r>
      <w:r w:rsidR="00256238">
        <w:t>,</w:t>
      </w:r>
      <w:r w:rsidR="0080060D">
        <w:t>que trata da</w:t>
      </w:r>
      <w:r w:rsidR="004F415B">
        <w:t xml:space="preserve"> “obrigatoriedade” da</w:t>
      </w:r>
      <w:r w:rsidR="000C2EC3">
        <w:t xml:space="preserve"> denunciaç</w:t>
      </w:r>
      <w:r w:rsidR="00430321">
        <w:t>ão da lide</w:t>
      </w:r>
      <w:r w:rsidR="004F415B">
        <w:t xml:space="preserve"> especificamente sobre o direito de evicção</w:t>
      </w:r>
      <w:r w:rsidR="00430321">
        <w:t xml:space="preserve">. Nesse sentido, faz-se </w:t>
      </w:r>
      <w:r w:rsidR="00430321" w:rsidRPr="00E56DE1">
        <w:rPr>
          <w:i/>
        </w:rPr>
        <w:t>mister</w:t>
      </w:r>
      <w:r w:rsidR="000C2EC3">
        <w:t xml:space="preserve">examinar também </w:t>
      </w:r>
      <w:r w:rsidR="00256238">
        <w:t xml:space="preserve">o sentido que deve ser extraído na mudança advinda da inovação legislativa introduzida pelo art. 456 do Código Civil, </w:t>
      </w:r>
      <w:r w:rsidR="004F415B">
        <w:t>uma vez que influe</w:t>
      </w:r>
      <w:r w:rsidR="0080060D">
        <w:t xml:space="preserve">ncia diretamente </w:t>
      </w:r>
      <w:r w:rsidR="004F415B">
        <w:t xml:space="preserve">aplicabilidade do exercício do direito do evicto, posto que autoriza a notificação não somente ao alienante, como também a qualquer dos anteriores. </w:t>
      </w:r>
      <w:r w:rsidR="00256238" w:rsidRPr="0080060D">
        <w:t>Destaca-se a importância da compreens</w:t>
      </w:r>
      <w:r w:rsidR="003146EC" w:rsidRPr="0080060D">
        <w:t>ão</w:t>
      </w:r>
      <w:r w:rsidR="00E56DE1" w:rsidRPr="0080060D">
        <w:t>, pois</w:t>
      </w:r>
      <w:r w:rsidR="009105C5">
        <w:t>o artigo do Código Civil aduz a possibilidade</w:t>
      </w:r>
      <w:r w:rsidR="003146EC" w:rsidRPr="0080060D">
        <w:t xml:space="preserve"> de legitimação extraordinária</w:t>
      </w:r>
      <w:r w:rsidR="009105C5">
        <w:t xml:space="preserve">, que incide sob o art. 6º do CPC. Aponta-se então, </w:t>
      </w:r>
      <w:r w:rsidR="003146EC" w:rsidRPr="0080060D">
        <w:t>o aparente conflito gerado</w:t>
      </w:r>
      <w:r w:rsidR="0080060D">
        <w:t xml:space="preserve"> sobre </w:t>
      </w:r>
      <w:r w:rsidR="009105C5">
        <w:t>os</w:t>
      </w:r>
      <w:r w:rsidR="0080060D">
        <w:t xml:space="preserve"> conteúdo</w:t>
      </w:r>
      <w:r w:rsidR="009105C5">
        <w:t>s</w:t>
      </w:r>
      <w:r w:rsidR="004B43B7">
        <w:t xml:space="preserve"> das normas, fomentado</w:t>
      </w:r>
      <w:r w:rsidR="009105C5">
        <w:t xml:space="preserve"> por posicionamentos doutrinários divergentes</w:t>
      </w:r>
      <w:r w:rsidR="004B43B7">
        <w:t xml:space="preserve"> e jurisprudência</w:t>
      </w:r>
      <w:r w:rsidR="00812BC8">
        <w:t>s</w:t>
      </w:r>
      <w:r w:rsidR="004B43B7">
        <w:t xml:space="preserve"> do STJ</w:t>
      </w:r>
      <w:r w:rsidR="00256238" w:rsidRPr="0080060D">
        <w:t>. Por fim, será feita uma an</w:t>
      </w:r>
      <w:r w:rsidR="00430321" w:rsidRPr="0080060D">
        <w:t>á</w:t>
      </w:r>
      <w:r w:rsidR="00256238" w:rsidRPr="0080060D">
        <w:t>lise</w:t>
      </w:r>
      <w:r w:rsidR="004B43B7">
        <w:t xml:space="preserve"> quando à aceitação ou não da </w:t>
      </w:r>
      <w:r w:rsidR="00256238" w:rsidRPr="0080060D">
        <w:t xml:space="preserve">denunciação da lide </w:t>
      </w:r>
      <w:r w:rsidR="00256238" w:rsidRPr="0080060D">
        <w:rPr>
          <w:i/>
        </w:rPr>
        <w:t>per saltum</w:t>
      </w:r>
      <w:r w:rsidR="0080060D" w:rsidRPr="0080060D">
        <w:rPr>
          <w:color w:val="000000"/>
          <w:shd w:val="clear" w:color="auto" w:fill="FFFFFF"/>
        </w:rPr>
        <w:t xml:space="preserve">, </w:t>
      </w:r>
      <w:r w:rsidR="00447030">
        <w:rPr>
          <w:color w:val="000000"/>
          <w:shd w:val="clear" w:color="auto" w:fill="FFFFFF"/>
        </w:rPr>
        <w:t xml:space="preserve">tendo em </w:t>
      </w:r>
      <w:r w:rsidR="0080060D" w:rsidRPr="0080060D">
        <w:rPr>
          <w:color w:val="000000"/>
          <w:shd w:val="clear" w:color="auto" w:fill="FFFFFF"/>
        </w:rPr>
        <w:t xml:space="preserve">vista as implicações práticas que o instituto </w:t>
      </w:r>
      <w:r w:rsidR="00812BC8" w:rsidRPr="0080060D">
        <w:rPr>
          <w:color w:val="000000"/>
          <w:shd w:val="clear" w:color="auto" w:fill="FFFFFF"/>
        </w:rPr>
        <w:t>produz</w:t>
      </w:r>
      <w:r w:rsidR="00812BC8">
        <w:rPr>
          <w:color w:val="000000"/>
          <w:shd w:val="clear" w:color="auto" w:fill="FFFFFF"/>
        </w:rPr>
        <w:t>,</w:t>
      </w:r>
      <w:r w:rsidR="0080060D" w:rsidRPr="0080060D">
        <w:rPr>
          <w:color w:val="000000"/>
          <w:shd w:val="clear" w:color="auto" w:fill="FFFFFF"/>
        </w:rPr>
        <w:t xml:space="preserve"> desde </w:t>
      </w:r>
      <w:r w:rsidR="00447030">
        <w:rPr>
          <w:color w:val="000000"/>
          <w:shd w:val="clear" w:color="auto" w:fill="FFFFFF"/>
        </w:rPr>
        <w:t>a</w:t>
      </w:r>
      <w:r w:rsidR="0080060D" w:rsidRPr="0080060D">
        <w:rPr>
          <w:color w:val="000000"/>
          <w:shd w:val="clear" w:color="auto" w:fill="FFFFFF"/>
        </w:rPr>
        <w:t xml:space="preserve"> ampliação de </w:t>
      </w:r>
      <w:r w:rsidR="00447030">
        <w:rPr>
          <w:color w:val="000000"/>
          <w:shd w:val="clear" w:color="auto" w:fill="FFFFFF"/>
        </w:rPr>
        <w:t>garantia na transmissão de bens</w:t>
      </w:r>
      <w:r w:rsidR="0080060D" w:rsidRPr="0080060D">
        <w:rPr>
          <w:color w:val="000000"/>
          <w:shd w:val="clear" w:color="auto" w:fill="FFFFFF"/>
        </w:rPr>
        <w:t xml:space="preserve"> até celeridade</w:t>
      </w:r>
      <w:r w:rsidR="004B43B7">
        <w:rPr>
          <w:color w:val="000000"/>
          <w:shd w:val="clear" w:color="auto" w:fill="FFFFFF"/>
        </w:rPr>
        <w:t xml:space="preserve"> e instrumentalidade</w:t>
      </w:r>
      <w:r w:rsidR="00812BC8">
        <w:rPr>
          <w:color w:val="000000"/>
          <w:shd w:val="clear" w:color="auto" w:fill="FFFFFF"/>
        </w:rPr>
        <w:t xml:space="preserve"> do processo </w:t>
      </w:r>
      <w:r w:rsidR="0080060D" w:rsidRPr="0080060D">
        <w:rPr>
          <w:color w:val="000000"/>
          <w:shd w:val="clear" w:color="auto" w:fill="FFFFFF"/>
        </w:rPr>
        <w:t>para o exercício do</w:t>
      </w:r>
      <w:r w:rsidR="0080060D" w:rsidRPr="0080060D">
        <w:rPr>
          <w:rStyle w:val="apple-converted-space"/>
          <w:color w:val="000000"/>
          <w:shd w:val="clear" w:color="auto" w:fill="FFFFFF"/>
        </w:rPr>
        <w:t> </w:t>
      </w:r>
      <w:r w:rsidR="0080060D" w:rsidRPr="0080060D">
        <w:rPr>
          <w:rStyle w:val="qterm"/>
          <w:color w:val="000000"/>
        </w:rPr>
        <w:t>direito</w:t>
      </w:r>
      <w:r w:rsidR="0080060D" w:rsidRPr="0080060D">
        <w:rPr>
          <w:rStyle w:val="apple-converted-space"/>
          <w:color w:val="000000"/>
          <w:shd w:val="clear" w:color="auto" w:fill="FFFFFF"/>
        </w:rPr>
        <w:t> </w:t>
      </w:r>
      <w:r w:rsidR="0080060D" w:rsidRPr="0080060D">
        <w:rPr>
          <w:color w:val="000000"/>
          <w:shd w:val="clear" w:color="auto" w:fill="FFFFFF"/>
        </w:rPr>
        <w:t>de regresso do evicto.</w:t>
      </w:r>
    </w:p>
    <w:p w:rsidR="0080060D" w:rsidRDefault="0080060D" w:rsidP="0080060D">
      <w:pPr>
        <w:pStyle w:val="ecxmsonormal"/>
        <w:spacing w:before="0" w:beforeAutospacing="0" w:after="0" w:afterAutospacing="0"/>
        <w:jc w:val="both"/>
        <w:rPr>
          <w:rFonts w:ascii="Arial" w:hAnsi="Arial" w:cs="Arial"/>
          <w:color w:val="000000"/>
          <w:sz w:val="21"/>
          <w:szCs w:val="21"/>
          <w:shd w:val="clear" w:color="auto" w:fill="FFFFFF"/>
        </w:rPr>
      </w:pPr>
    </w:p>
    <w:p w:rsidR="0080060D" w:rsidRPr="00F05757" w:rsidRDefault="0080060D" w:rsidP="0080060D">
      <w:pPr>
        <w:pStyle w:val="ecxmsonormal"/>
        <w:spacing w:before="0" w:beforeAutospacing="0" w:after="0" w:afterAutospacing="0"/>
        <w:jc w:val="both"/>
      </w:pPr>
    </w:p>
    <w:p w:rsidR="0080378D" w:rsidRPr="005D72F3" w:rsidRDefault="00F05757" w:rsidP="00F05757">
      <w:pPr>
        <w:spacing w:after="0" w:line="240" w:lineRule="auto"/>
        <w:jc w:val="both"/>
        <w:rPr>
          <w:rFonts w:ascii="Times New Roman" w:hAnsi="Times New Roman" w:cs="Times New Roman"/>
          <w:color w:val="000000"/>
          <w:sz w:val="24"/>
          <w:szCs w:val="24"/>
        </w:rPr>
      </w:pPr>
      <w:r w:rsidRPr="00F05757">
        <w:rPr>
          <w:rFonts w:ascii="Times New Roman" w:hAnsi="Times New Roman" w:cs="Times New Roman"/>
          <w:b/>
          <w:color w:val="000000"/>
          <w:sz w:val="24"/>
          <w:szCs w:val="24"/>
        </w:rPr>
        <w:t>Palavras-chave</w:t>
      </w:r>
      <w:r>
        <w:rPr>
          <w:rFonts w:ascii="Times New Roman" w:hAnsi="Times New Roman" w:cs="Times New Roman"/>
          <w:b/>
          <w:color w:val="000000"/>
          <w:sz w:val="24"/>
          <w:szCs w:val="24"/>
        </w:rPr>
        <w:t xml:space="preserve">: </w:t>
      </w:r>
      <w:r w:rsidR="003146EC" w:rsidRPr="005D72F3">
        <w:rPr>
          <w:rFonts w:ascii="Times New Roman" w:hAnsi="Times New Roman" w:cs="Times New Roman"/>
          <w:color w:val="000000"/>
          <w:sz w:val="24"/>
          <w:szCs w:val="24"/>
        </w:rPr>
        <w:t>direito de evicção</w:t>
      </w:r>
      <w:r w:rsidRPr="005D72F3">
        <w:rPr>
          <w:rFonts w:ascii="Times New Roman" w:hAnsi="Times New Roman" w:cs="Times New Roman"/>
          <w:color w:val="000000"/>
          <w:sz w:val="24"/>
          <w:szCs w:val="24"/>
        </w:rPr>
        <w:t xml:space="preserve">; </w:t>
      </w:r>
      <w:r w:rsidR="003146EC" w:rsidRPr="005D72F3">
        <w:rPr>
          <w:rFonts w:ascii="Times New Roman" w:hAnsi="Times New Roman" w:cs="Times New Roman"/>
          <w:color w:val="000000"/>
          <w:sz w:val="24"/>
          <w:szCs w:val="24"/>
        </w:rPr>
        <w:t>denunciação da lide</w:t>
      </w:r>
      <w:r w:rsidRPr="005D72F3">
        <w:rPr>
          <w:rFonts w:ascii="Times New Roman" w:hAnsi="Times New Roman" w:cs="Times New Roman"/>
          <w:color w:val="000000"/>
          <w:sz w:val="24"/>
          <w:szCs w:val="24"/>
        </w:rPr>
        <w:t xml:space="preserve">; </w:t>
      </w:r>
      <w:r w:rsidR="003146EC" w:rsidRPr="005D72F3">
        <w:rPr>
          <w:rFonts w:ascii="Times New Roman" w:hAnsi="Times New Roman" w:cs="Times New Roman"/>
          <w:color w:val="000000"/>
          <w:sz w:val="24"/>
          <w:szCs w:val="24"/>
        </w:rPr>
        <w:t>intervenção de terceiros</w:t>
      </w:r>
      <w:r w:rsidRPr="005D72F3">
        <w:rPr>
          <w:rFonts w:ascii="Times New Roman" w:hAnsi="Times New Roman" w:cs="Times New Roman"/>
          <w:color w:val="000000"/>
          <w:sz w:val="24"/>
          <w:szCs w:val="24"/>
        </w:rPr>
        <w:t xml:space="preserve">; </w:t>
      </w:r>
      <w:r w:rsidR="00812BC8">
        <w:rPr>
          <w:rFonts w:ascii="Times New Roman" w:hAnsi="Times New Roman" w:cs="Times New Roman"/>
          <w:color w:val="000000"/>
          <w:sz w:val="24"/>
          <w:szCs w:val="24"/>
        </w:rPr>
        <w:t xml:space="preserve">denunciação da lide </w:t>
      </w:r>
      <w:r w:rsidR="00812BC8" w:rsidRPr="00812BC8">
        <w:rPr>
          <w:rFonts w:ascii="Times New Roman" w:hAnsi="Times New Roman" w:cs="Times New Roman"/>
          <w:i/>
          <w:color w:val="000000"/>
          <w:sz w:val="24"/>
          <w:szCs w:val="24"/>
        </w:rPr>
        <w:t>per saltum</w:t>
      </w:r>
      <w:r w:rsidR="003146EC" w:rsidRPr="005D72F3">
        <w:rPr>
          <w:rFonts w:ascii="Times New Roman" w:hAnsi="Times New Roman" w:cs="Times New Roman"/>
          <w:color w:val="000000"/>
          <w:sz w:val="24"/>
          <w:szCs w:val="24"/>
        </w:rPr>
        <w:t>.</w:t>
      </w:r>
    </w:p>
    <w:p w:rsidR="0080378D" w:rsidRPr="005D72F3" w:rsidRDefault="0080378D" w:rsidP="00BB6D0D">
      <w:pPr>
        <w:spacing w:after="0" w:line="360" w:lineRule="auto"/>
        <w:jc w:val="both"/>
        <w:rPr>
          <w:rFonts w:ascii="Times New Roman" w:hAnsi="Times New Roman" w:cs="Times New Roman"/>
        </w:rPr>
      </w:pPr>
    </w:p>
    <w:p w:rsidR="005A7053" w:rsidRPr="00D7001C" w:rsidRDefault="0080378D" w:rsidP="005A7053">
      <w:pPr>
        <w:spacing w:after="0" w:line="240" w:lineRule="auto"/>
        <w:jc w:val="both"/>
        <w:rPr>
          <w:rFonts w:ascii="Times New Roman" w:hAnsi="Times New Roman" w:cs="Times New Roman"/>
          <w:b/>
          <w:sz w:val="24"/>
          <w:szCs w:val="24"/>
        </w:rPr>
      </w:pPr>
      <w:r w:rsidRPr="00D7001C">
        <w:rPr>
          <w:rFonts w:ascii="Times New Roman" w:hAnsi="Times New Roman" w:cs="Times New Roman"/>
          <w:b/>
          <w:sz w:val="24"/>
          <w:szCs w:val="24"/>
        </w:rPr>
        <w:t>INTRODUÇÃO</w:t>
      </w:r>
    </w:p>
    <w:p w:rsidR="005A7053" w:rsidRPr="00D7001C" w:rsidRDefault="005A7053" w:rsidP="005A7053">
      <w:pPr>
        <w:spacing w:after="0" w:line="240" w:lineRule="auto"/>
        <w:jc w:val="both"/>
        <w:rPr>
          <w:rFonts w:ascii="Times New Roman" w:hAnsi="Times New Roman" w:cs="Times New Roman"/>
          <w:b/>
          <w:sz w:val="24"/>
          <w:szCs w:val="24"/>
        </w:rPr>
      </w:pPr>
    </w:p>
    <w:p w:rsidR="00A07C79" w:rsidRDefault="00380541" w:rsidP="00D53EC0">
      <w:pPr>
        <w:spacing w:after="0" w:line="360" w:lineRule="auto"/>
        <w:ind w:firstLine="1134"/>
        <w:jc w:val="both"/>
        <w:rPr>
          <w:rFonts w:ascii="Times New Roman" w:hAnsi="Times New Roman" w:cs="Times New Roman"/>
          <w:sz w:val="24"/>
          <w:szCs w:val="24"/>
        </w:rPr>
      </w:pPr>
      <w:r w:rsidRPr="00D7001C">
        <w:rPr>
          <w:rFonts w:ascii="Times New Roman" w:hAnsi="Times New Roman" w:cs="Times New Roman"/>
          <w:sz w:val="24"/>
          <w:szCs w:val="24"/>
        </w:rPr>
        <w:t xml:space="preserve">O presente artigo versa sobre </w:t>
      </w:r>
      <w:r w:rsidR="003146EC">
        <w:rPr>
          <w:rFonts w:ascii="Times New Roman" w:hAnsi="Times New Roman" w:cs="Times New Roman"/>
          <w:sz w:val="24"/>
          <w:szCs w:val="24"/>
        </w:rPr>
        <w:t>um conflito aparente que pode ser elucidado a partir da an</w:t>
      </w:r>
      <w:r w:rsidR="00812BC8">
        <w:rPr>
          <w:rFonts w:ascii="Times New Roman" w:hAnsi="Times New Roman" w:cs="Times New Roman"/>
          <w:sz w:val="24"/>
          <w:szCs w:val="24"/>
        </w:rPr>
        <w:t>á</w:t>
      </w:r>
      <w:r w:rsidR="003146EC">
        <w:rPr>
          <w:rFonts w:ascii="Times New Roman" w:hAnsi="Times New Roman" w:cs="Times New Roman"/>
          <w:sz w:val="24"/>
          <w:szCs w:val="24"/>
        </w:rPr>
        <w:t>lise de dispositivos distintos,</w:t>
      </w:r>
      <w:r w:rsidR="0080060D">
        <w:rPr>
          <w:rFonts w:ascii="Times New Roman" w:hAnsi="Times New Roman" w:cs="Times New Roman"/>
          <w:sz w:val="24"/>
          <w:szCs w:val="24"/>
        </w:rPr>
        <w:t xml:space="preserve"> sejam eles, o</w:t>
      </w:r>
      <w:r w:rsidR="003146EC">
        <w:rPr>
          <w:rFonts w:ascii="Times New Roman" w:hAnsi="Times New Roman" w:cs="Times New Roman"/>
          <w:sz w:val="24"/>
          <w:szCs w:val="24"/>
        </w:rPr>
        <w:t xml:space="preserve"> Código Civil e </w:t>
      </w:r>
      <w:r w:rsidR="0080060D">
        <w:rPr>
          <w:rFonts w:ascii="Times New Roman" w:hAnsi="Times New Roman" w:cs="Times New Roman"/>
          <w:sz w:val="24"/>
          <w:szCs w:val="24"/>
        </w:rPr>
        <w:t xml:space="preserve">o </w:t>
      </w:r>
      <w:r w:rsidR="003146EC">
        <w:rPr>
          <w:rFonts w:ascii="Times New Roman" w:hAnsi="Times New Roman" w:cs="Times New Roman"/>
          <w:sz w:val="24"/>
          <w:szCs w:val="24"/>
        </w:rPr>
        <w:t>Código de Processo Civil, e que</w:t>
      </w:r>
      <w:r w:rsidR="0080060D">
        <w:rPr>
          <w:rFonts w:ascii="Times New Roman" w:hAnsi="Times New Roman" w:cs="Times New Roman"/>
          <w:sz w:val="24"/>
          <w:szCs w:val="24"/>
        </w:rPr>
        <w:t xml:space="preserve"> apesar das interpretações </w:t>
      </w:r>
      <w:r w:rsidR="00812BC8">
        <w:rPr>
          <w:rFonts w:ascii="Times New Roman" w:hAnsi="Times New Roman" w:cs="Times New Roman"/>
          <w:sz w:val="24"/>
          <w:szCs w:val="24"/>
        </w:rPr>
        <w:t>gerarem</w:t>
      </w:r>
      <w:r w:rsidR="0080060D">
        <w:rPr>
          <w:rFonts w:ascii="Times New Roman" w:hAnsi="Times New Roman" w:cs="Times New Roman"/>
          <w:sz w:val="24"/>
          <w:szCs w:val="24"/>
        </w:rPr>
        <w:t xml:space="preserve"> hipóteses di</w:t>
      </w:r>
      <w:r w:rsidR="00812BC8">
        <w:rPr>
          <w:rFonts w:ascii="Times New Roman" w:hAnsi="Times New Roman" w:cs="Times New Roman"/>
          <w:sz w:val="24"/>
          <w:szCs w:val="24"/>
        </w:rPr>
        <w:t>fusas</w:t>
      </w:r>
      <w:r w:rsidR="0080060D">
        <w:rPr>
          <w:rFonts w:ascii="Times New Roman" w:hAnsi="Times New Roman" w:cs="Times New Roman"/>
          <w:sz w:val="24"/>
          <w:szCs w:val="24"/>
        </w:rPr>
        <w:t>, não deve</w:t>
      </w:r>
      <w:r w:rsidR="003146EC">
        <w:rPr>
          <w:rFonts w:ascii="Times New Roman" w:hAnsi="Times New Roman" w:cs="Times New Roman"/>
          <w:sz w:val="24"/>
          <w:szCs w:val="24"/>
        </w:rPr>
        <w:t xml:space="preserve">m ser estudados autonomamente, </w:t>
      </w:r>
      <w:r w:rsidR="004475E9">
        <w:rPr>
          <w:rFonts w:ascii="Times New Roman" w:hAnsi="Times New Roman" w:cs="Times New Roman"/>
          <w:sz w:val="24"/>
          <w:szCs w:val="24"/>
        </w:rPr>
        <w:t xml:space="preserve">uma vez que hoje há o entendimento que </w:t>
      </w:r>
      <w:r w:rsidR="00D904E2">
        <w:rPr>
          <w:rFonts w:ascii="Times New Roman" w:hAnsi="Times New Roman" w:cs="Times New Roman"/>
          <w:sz w:val="24"/>
          <w:szCs w:val="24"/>
        </w:rPr>
        <w:t>o estudo d</w:t>
      </w:r>
      <w:r w:rsidR="004475E9">
        <w:rPr>
          <w:rFonts w:ascii="Times New Roman" w:hAnsi="Times New Roman" w:cs="Times New Roman"/>
          <w:sz w:val="24"/>
          <w:szCs w:val="24"/>
        </w:rPr>
        <w:t xml:space="preserve">os institutos de direito processual </w:t>
      </w:r>
      <w:r w:rsidR="00D904E2">
        <w:rPr>
          <w:rFonts w:ascii="Times New Roman" w:hAnsi="Times New Roman" w:cs="Times New Roman"/>
          <w:sz w:val="24"/>
          <w:szCs w:val="24"/>
        </w:rPr>
        <w:t xml:space="preserve">não devem ser feitos </w:t>
      </w:r>
      <w:r w:rsidR="004475E9">
        <w:rPr>
          <w:rFonts w:ascii="Times New Roman" w:hAnsi="Times New Roman" w:cs="Times New Roman"/>
          <w:sz w:val="24"/>
          <w:szCs w:val="24"/>
        </w:rPr>
        <w:t xml:space="preserve">sem se verificar previamente as </w:t>
      </w:r>
      <w:r w:rsidR="004475E9">
        <w:rPr>
          <w:rFonts w:ascii="Times New Roman" w:hAnsi="Times New Roman" w:cs="Times New Roman"/>
          <w:sz w:val="24"/>
          <w:szCs w:val="24"/>
        </w:rPr>
        <w:lastRenderedPageBreak/>
        <w:t>implicações trazidas pelo direito material.</w:t>
      </w:r>
      <w:r w:rsidR="003146EC">
        <w:rPr>
          <w:rFonts w:ascii="Times New Roman" w:hAnsi="Times New Roman" w:cs="Times New Roman"/>
          <w:sz w:val="24"/>
          <w:szCs w:val="24"/>
        </w:rPr>
        <w:t xml:space="preserve"> Esse é o motivo pelo qual a instrumentalidade do processo de denunciação da lide</w:t>
      </w:r>
      <w:r w:rsidR="004475E9">
        <w:rPr>
          <w:rFonts w:ascii="Times New Roman" w:hAnsi="Times New Roman" w:cs="Times New Roman"/>
          <w:sz w:val="24"/>
          <w:szCs w:val="24"/>
        </w:rPr>
        <w:t xml:space="preserve"> em caso de evicção</w:t>
      </w:r>
      <w:r w:rsidR="003146EC">
        <w:rPr>
          <w:rFonts w:ascii="Times New Roman" w:hAnsi="Times New Roman" w:cs="Times New Roman"/>
          <w:sz w:val="24"/>
          <w:szCs w:val="24"/>
        </w:rPr>
        <w:t xml:space="preserve"> previst</w:t>
      </w:r>
      <w:r w:rsidR="004475E9">
        <w:rPr>
          <w:rFonts w:ascii="Times New Roman" w:hAnsi="Times New Roman" w:cs="Times New Roman"/>
          <w:sz w:val="24"/>
          <w:szCs w:val="24"/>
        </w:rPr>
        <w:t>a</w:t>
      </w:r>
      <w:r w:rsidR="003146EC">
        <w:rPr>
          <w:rFonts w:ascii="Times New Roman" w:hAnsi="Times New Roman" w:cs="Times New Roman"/>
          <w:sz w:val="24"/>
          <w:szCs w:val="24"/>
        </w:rPr>
        <w:t xml:space="preserve"> no CPC é afetada com a </w:t>
      </w:r>
      <w:r w:rsidR="004475E9">
        <w:rPr>
          <w:rFonts w:ascii="Times New Roman" w:hAnsi="Times New Roman" w:cs="Times New Roman"/>
          <w:sz w:val="24"/>
          <w:szCs w:val="24"/>
        </w:rPr>
        <w:t>inovação</w:t>
      </w:r>
      <w:r w:rsidR="00D904E2">
        <w:rPr>
          <w:rFonts w:ascii="Times New Roman" w:hAnsi="Times New Roman" w:cs="Times New Roman"/>
          <w:sz w:val="24"/>
          <w:szCs w:val="24"/>
        </w:rPr>
        <w:t>advinda d</w:t>
      </w:r>
      <w:r w:rsidR="003146EC">
        <w:rPr>
          <w:rFonts w:ascii="Times New Roman" w:hAnsi="Times New Roman" w:cs="Times New Roman"/>
          <w:sz w:val="24"/>
          <w:szCs w:val="24"/>
        </w:rPr>
        <w:t>o Código Civil sobre o assunto.</w:t>
      </w:r>
    </w:p>
    <w:p w:rsidR="00D53EC0" w:rsidRDefault="009C3D86" w:rsidP="004475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Considerando o previsto em </w:t>
      </w:r>
      <w:r w:rsidR="004475E9">
        <w:rPr>
          <w:rFonts w:ascii="Times New Roman" w:hAnsi="Times New Roman" w:cs="Times New Roman"/>
          <w:sz w:val="24"/>
          <w:szCs w:val="24"/>
        </w:rPr>
        <w:t xml:space="preserve">ambos os </w:t>
      </w:r>
      <w:r>
        <w:rPr>
          <w:rFonts w:ascii="Times New Roman" w:hAnsi="Times New Roman" w:cs="Times New Roman"/>
          <w:sz w:val="24"/>
          <w:szCs w:val="24"/>
        </w:rPr>
        <w:t xml:space="preserve">artigos de seus respectivos dispositivos, </w:t>
      </w:r>
      <w:r w:rsidR="00D53EC0">
        <w:rPr>
          <w:rFonts w:ascii="Times New Roman" w:hAnsi="Times New Roman" w:cs="Times New Roman"/>
          <w:sz w:val="24"/>
          <w:szCs w:val="24"/>
        </w:rPr>
        <w:t>surge o questionamento de como proceder para a</w:t>
      </w:r>
      <w:r w:rsidR="00D904E2">
        <w:rPr>
          <w:rFonts w:ascii="Times New Roman" w:hAnsi="Times New Roman" w:cs="Times New Roman"/>
          <w:sz w:val="24"/>
          <w:szCs w:val="24"/>
        </w:rPr>
        <w:t xml:space="preserve"> garantia do direito do evicto. Se deve a </w:t>
      </w:r>
      <w:r w:rsidR="00D53EC0">
        <w:rPr>
          <w:rFonts w:ascii="Times New Roman" w:hAnsi="Times New Roman" w:cs="Times New Roman"/>
          <w:sz w:val="24"/>
          <w:szCs w:val="24"/>
        </w:rPr>
        <w:t>denunciação da lide ser feita de forma sucessiva e, portanto, cumulativa no mesmo processo, ou se ela pode ocorrer “</w:t>
      </w:r>
      <w:r w:rsidR="00D53EC0" w:rsidRPr="00805ADB">
        <w:rPr>
          <w:rFonts w:ascii="Times New Roman" w:hAnsi="Times New Roman" w:cs="Times New Roman"/>
          <w:i/>
          <w:sz w:val="24"/>
          <w:szCs w:val="24"/>
        </w:rPr>
        <w:t>persaltum</w:t>
      </w:r>
      <w:r w:rsidR="00D53EC0">
        <w:rPr>
          <w:rFonts w:ascii="Times New Roman" w:hAnsi="Times New Roman" w:cs="Times New Roman"/>
          <w:sz w:val="24"/>
          <w:szCs w:val="24"/>
        </w:rPr>
        <w:t>”, no mesmo processo. Diante disso, necessário se faz também considerar a divergência doutrinári</w:t>
      </w:r>
      <w:r w:rsidR="004475E9">
        <w:rPr>
          <w:rFonts w:ascii="Times New Roman" w:hAnsi="Times New Roman" w:cs="Times New Roman"/>
          <w:sz w:val="24"/>
          <w:szCs w:val="24"/>
        </w:rPr>
        <w:t xml:space="preserve">a acerca do tema, não obstante </w:t>
      </w:r>
      <w:r w:rsidR="00D53EC0">
        <w:rPr>
          <w:rFonts w:ascii="Times New Roman" w:hAnsi="Times New Roman" w:cs="Times New Roman"/>
          <w:sz w:val="24"/>
          <w:szCs w:val="24"/>
        </w:rPr>
        <w:t>o entendimento dos Tribunais</w:t>
      </w:r>
      <w:r w:rsidR="004475E9">
        <w:rPr>
          <w:rFonts w:ascii="Times New Roman" w:hAnsi="Times New Roman" w:cs="Times New Roman"/>
          <w:sz w:val="24"/>
          <w:szCs w:val="24"/>
        </w:rPr>
        <w:t>, e, sobretudo do Superior Tribunal de Justiça, em casos que envolvem a aná</w:t>
      </w:r>
      <w:r w:rsidR="00D53EC0">
        <w:rPr>
          <w:rFonts w:ascii="Times New Roman" w:hAnsi="Times New Roman" w:cs="Times New Roman"/>
          <w:sz w:val="24"/>
          <w:szCs w:val="24"/>
        </w:rPr>
        <w:t>lise desses textos normativos.</w:t>
      </w:r>
    </w:p>
    <w:p w:rsidR="004475E9" w:rsidRDefault="00A07C79" w:rsidP="00D53E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w:t>
      </w:r>
      <w:r w:rsidR="00380541" w:rsidRPr="00D7001C">
        <w:rPr>
          <w:rFonts w:ascii="Times New Roman" w:hAnsi="Times New Roman" w:cs="Times New Roman"/>
          <w:sz w:val="24"/>
          <w:szCs w:val="24"/>
        </w:rPr>
        <w:t xml:space="preserve"> uma</w:t>
      </w:r>
      <w:r>
        <w:rPr>
          <w:rFonts w:ascii="Times New Roman" w:hAnsi="Times New Roman" w:cs="Times New Roman"/>
          <w:sz w:val="24"/>
          <w:szCs w:val="24"/>
        </w:rPr>
        <w:t xml:space="preserve"> compreensãomais precisa do tema, é necessário </w:t>
      </w:r>
      <w:r w:rsidR="00380541" w:rsidRPr="00D7001C">
        <w:rPr>
          <w:rFonts w:ascii="Times New Roman" w:hAnsi="Times New Roman" w:cs="Times New Roman"/>
          <w:sz w:val="24"/>
          <w:szCs w:val="24"/>
        </w:rPr>
        <w:t xml:space="preserve">ser explanado primeiramente </w:t>
      </w:r>
      <w:r w:rsidR="009C3D86">
        <w:rPr>
          <w:rFonts w:ascii="Times New Roman" w:hAnsi="Times New Roman" w:cs="Times New Roman"/>
          <w:sz w:val="24"/>
          <w:szCs w:val="24"/>
        </w:rPr>
        <w:t>o</w:t>
      </w:r>
      <w:r w:rsidR="00380541" w:rsidRPr="00D7001C">
        <w:rPr>
          <w:rFonts w:ascii="Times New Roman" w:hAnsi="Times New Roman" w:cs="Times New Roman"/>
          <w:sz w:val="24"/>
          <w:szCs w:val="24"/>
        </w:rPr>
        <w:t xml:space="preserve"> que ve</w:t>
      </w:r>
      <w:r w:rsidR="003146EC">
        <w:rPr>
          <w:rFonts w:ascii="Times New Roman" w:hAnsi="Times New Roman" w:cs="Times New Roman"/>
          <w:sz w:val="24"/>
          <w:szCs w:val="24"/>
        </w:rPr>
        <w:t xml:space="preserve">rsa o </w:t>
      </w:r>
      <w:r w:rsidR="004475E9">
        <w:rPr>
          <w:rFonts w:ascii="Times New Roman" w:hAnsi="Times New Roman" w:cs="Times New Roman"/>
          <w:sz w:val="24"/>
          <w:szCs w:val="24"/>
        </w:rPr>
        <w:t xml:space="preserve">caput do </w:t>
      </w:r>
      <w:r w:rsidR="003146EC">
        <w:rPr>
          <w:rFonts w:ascii="Times New Roman" w:hAnsi="Times New Roman" w:cs="Times New Roman"/>
          <w:sz w:val="24"/>
          <w:szCs w:val="24"/>
        </w:rPr>
        <w:t>art.70 do Código Civil</w:t>
      </w:r>
      <w:r w:rsidR="004475E9">
        <w:rPr>
          <w:rFonts w:ascii="Times New Roman" w:hAnsi="Times New Roman" w:cs="Times New Roman"/>
          <w:sz w:val="24"/>
          <w:szCs w:val="24"/>
        </w:rPr>
        <w:t xml:space="preserve"> em se tratando da “obrigatoriedade” fundada para o exercício do direito do evicto através da denunciação da lide. Ponto este fundamental para a conjugação da hipótese de denunciação da lide </w:t>
      </w:r>
      <w:r w:rsidR="004475E9" w:rsidRPr="004475E9">
        <w:rPr>
          <w:rFonts w:ascii="Times New Roman" w:hAnsi="Times New Roman" w:cs="Times New Roman"/>
          <w:i/>
          <w:sz w:val="24"/>
          <w:szCs w:val="24"/>
        </w:rPr>
        <w:t>per saltum</w:t>
      </w:r>
      <w:r w:rsidR="004475E9">
        <w:rPr>
          <w:rFonts w:ascii="Times New Roman" w:hAnsi="Times New Roman" w:cs="Times New Roman"/>
          <w:sz w:val="24"/>
          <w:szCs w:val="24"/>
        </w:rPr>
        <w:t xml:space="preserve"> no processo.Em suma, é preciso analisar </w:t>
      </w:r>
      <w:r w:rsidR="00FB7CB3">
        <w:rPr>
          <w:rFonts w:ascii="Times New Roman" w:hAnsi="Times New Roman" w:cs="Times New Roman"/>
          <w:sz w:val="24"/>
          <w:szCs w:val="24"/>
        </w:rPr>
        <w:t xml:space="preserve">as duas disposições legais, </w:t>
      </w:r>
      <w:r w:rsidR="004475E9">
        <w:rPr>
          <w:rFonts w:ascii="Times New Roman" w:hAnsi="Times New Roman" w:cs="Times New Roman"/>
          <w:sz w:val="24"/>
          <w:szCs w:val="24"/>
        </w:rPr>
        <w:t>não somente considerando o</w:t>
      </w:r>
      <w:r w:rsidR="00F2791E">
        <w:rPr>
          <w:rFonts w:ascii="Times New Roman" w:hAnsi="Times New Roman" w:cs="Times New Roman"/>
          <w:sz w:val="24"/>
          <w:szCs w:val="24"/>
        </w:rPr>
        <w:t xml:space="preserve"> conflito normativo, como também</w:t>
      </w:r>
      <w:r w:rsidR="004475E9">
        <w:rPr>
          <w:rFonts w:ascii="Times New Roman" w:hAnsi="Times New Roman" w:cs="Times New Roman"/>
          <w:sz w:val="24"/>
          <w:szCs w:val="24"/>
        </w:rPr>
        <w:t xml:space="preserve"> pressupostos processuais que </w:t>
      </w:r>
      <w:r w:rsidR="00F2791E">
        <w:rPr>
          <w:rFonts w:ascii="Times New Roman" w:hAnsi="Times New Roman" w:cs="Times New Roman"/>
          <w:sz w:val="24"/>
          <w:szCs w:val="24"/>
        </w:rPr>
        <w:t>orientam a solução célere de conflito e ainda o novo tratamento à responsabilidade de indenizar do alienante perante o adquirente.</w:t>
      </w:r>
    </w:p>
    <w:p w:rsidR="004475E9" w:rsidRDefault="004475E9" w:rsidP="004475E9">
      <w:pPr>
        <w:tabs>
          <w:tab w:val="left" w:pos="6105"/>
        </w:tabs>
        <w:spacing w:after="0" w:line="240" w:lineRule="auto"/>
        <w:jc w:val="both"/>
        <w:rPr>
          <w:rFonts w:ascii="Times New Roman" w:hAnsi="Times New Roman"/>
          <w:b/>
          <w:sz w:val="24"/>
          <w:szCs w:val="24"/>
        </w:rPr>
      </w:pPr>
    </w:p>
    <w:p w:rsidR="007E6C86" w:rsidRPr="000804AC" w:rsidRDefault="00FB7CB3" w:rsidP="007F6A68">
      <w:pPr>
        <w:pStyle w:val="PargrafodaLista"/>
        <w:numPr>
          <w:ilvl w:val="0"/>
          <w:numId w:val="11"/>
        </w:numPr>
        <w:tabs>
          <w:tab w:val="left" w:pos="6105"/>
        </w:tabs>
        <w:spacing w:after="0" w:line="240" w:lineRule="auto"/>
        <w:jc w:val="both"/>
        <w:rPr>
          <w:rFonts w:ascii="Times New Roman" w:hAnsi="Times New Roman"/>
          <w:b/>
          <w:sz w:val="24"/>
          <w:szCs w:val="24"/>
          <w:lang w:val="pt-BR"/>
        </w:rPr>
      </w:pPr>
      <w:r w:rsidRPr="000804AC">
        <w:rPr>
          <w:rFonts w:ascii="Times New Roman" w:hAnsi="Times New Roman"/>
          <w:b/>
          <w:sz w:val="24"/>
          <w:szCs w:val="24"/>
          <w:lang w:val="pt-BR"/>
        </w:rPr>
        <w:t>BREVE VISÃO SOBRE O</w:t>
      </w:r>
      <w:r w:rsidR="000B4A5A" w:rsidRPr="000804AC">
        <w:rPr>
          <w:rFonts w:ascii="Times New Roman" w:hAnsi="Times New Roman"/>
          <w:b/>
          <w:sz w:val="24"/>
          <w:szCs w:val="24"/>
          <w:lang w:val="pt-BR"/>
        </w:rPr>
        <w:t>S</w:t>
      </w:r>
      <w:r w:rsidRPr="000804AC">
        <w:rPr>
          <w:rFonts w:ascii="Times New Roman" w:hAnsi="Times New Roman"/>
          <w:b/>
          <w:sz w:val="24"/>
          <w:szCs w:val="24"/>
          <w:lang w:val="pt-BR"/>
        </w:rPr>
        <w:t xml:space="preserve"> ARTIGO</w:t>
      </w:r>
      <w:r w:rsidR="000B4A5A" w:rsidRPr="000804AC">
        <w:rPr>
          <w:rFonts w:ascii="Times New Roman" w:hAnsi="Times New Roman"/>
          <w:b/>
          <w:sz w:val="24"/>
          <w:szCs w:val="24"/>
          <w:lang w:val="pt-BR"/>
        </w:rPr>
        <w:t>S</w:t>
      </w:r>
      <w:r w:rsidRPr="000804AC">
        <w:rPr>
          <w:rFonts w:ascii="Times New Roman" w:hAnsi="Times New Roman"/>
          <w:b/>
          <w:sz w:val="24"/>
          <w:szCs w:val="24"/>
          <w:lang w:val="pt-BR"/>
        </w:rPr>
        <w:t xml:space="preserve"> 70, </w:t>
      </w:r>
      <w:r w:rsidR="00B23229" w:rsidRPr="000804AC">
        <w:rPr>
          <w:rFonts w:ascii="Times New Roman" w:hAnsi="Times New Roman"/>
          <w:b/>
          <w:sz w:val="24"/>
          <w:szCs w:val="24"/>
          <w:lang w:val="pt-BR"/>
        </w:rPr>
        <w:t>CAPUT, DO CPC</w:t>
      </w:r>
      <w:r w:rsidR="009D3EB7" w:rsidRPr="000804AC">
        <w:rPr>
          <w:rFonts w:ascii="Times New Roman" w:hAnsi="Times New Roman"/>
          <w:b/>
          <w:sz w:val="24"/>
          <w:szCs w:val="24"/>
          <w:lang w:val="pt-BR"/>
        </w:rPr>
        <w:t>E</w:t>
      </w:r>
      <w:r w:rsidR="00F2791E">
        <w:rPr>
          <w:rFonts w:ascii="Times New Roman" w:hAnsi="Times New Roman"/>
          <w:b/>
          <w:sz w:val="24"/>
          <w:szCs w:val="24"/>
          <w:lang w:val="pt-BR"/>
        </w:rPr>
        <w:t xml:space="preserve"> 456 DO CC: </w:t>
      </w:r>
      <w:r w:rsidR="00CB5C54" w:rsidRPr="000804AC">
        <w:rPr>
          <w:rFonts w:ascii="Times New Roman" w:hAnsi="Times New Roman"/>
          <w:b/>
          <w:sz w:val="24"/>
          <w:szCs w:val="24"/>
          <w:lang w:val="pt-BR"/>
        </w:rPr>
        <w:t xml:space="preserve">O </w:t>
      </w:r>
      <w:r w:rsidR="00FF426A" w:rsidRPr="000804AC">
        <w:rPr>
          <w:rFonts w:ascii="Times New Roman" w:hAnsi="Times New Roman"/>
          <w:b/>
          <w:sz w:val="24"/>
          <w:szCs w:val="24"/>
          <w:lang w:val="pt-BR"/>
        </w:rPr>
        <w:t>Ô</w:t>
      </w:r>
      <w:r w:rsidR="00CB5C54" w:rsidRPr="000804AC">
        <w:rPr>
          <w:rFonts w:ascii="Times New Roman" w:hAnsi="Times New Roman"/>
          <w:b/>
          <w:sz w:val="24"/>
          <w:szCs w:val="24"/>
          <w:lang w:val="pt-BR"/>
        </w:rPr>
        <w:t>NUS ABSOLUTO D</w:t>
      </w:r>
      <w:r w:rsidR="009D3EB7" w:rsidRPr="000804AC">
        <w:rPr>
          <w:rFonts w:ascii="Times New Roman" w:hAnsi="Times New Roman"/>
          <w:b/>
          <w:sz w:val="24"/>
          <w:szCs w:val="24"/>
          <w:lang w:val="pt-BR"/>
        </w:rPr>
        <w:t>A DENUCIAÇÃO DA LIDE</w:t>
      </w:r>
    </w:p>
    <w:p w:rsidR="007E6C86" w:rsidRPr="007E6C86" w:rsidRDefault="007E6C86" w:rsidP="007E6C86">
      <w:pPr>
        <w:pStyle w:val="Default"/>
      </w:pPr>
    </w:p>
    <w:p w:rsidR="00B23229" w:rsidRDefault="00CD602A" w:rsidP="00D52174">
      <w:pPr>
        <w:pStyle w:val="Default"/>
        <w:spacing w:line="360" w:lineRule="auto"/>
        <w:ind w:firstLine="1134"/>
        <w:jc w:val="both"/>
      </w:pPr>
      <w:r>
        <w:t>De inicio</w:t>
      </w:r>
      <w:r w:rsidR="007F6A68">
        <w:t>,</w:t>
      </w:r>
      <w:r>
        <w:t xml:space="preserve"> há que se considerar o entendimento pac</w:t>
      </w:r>
      <w:r w:rsidR="007F6A68">
        <w:t>í</w:t>
      </w:r>
      <w:r>
        <w:t xml:space="preserve">fico na doutrina de que a redação legal </w:t>
      </w:r>
      <w:r w:rsidR="00530C71">
        <w:t xml:space="preserve">do art. 70, caput, é defeituosa, uma vez que prescreve uma </w:t>
      </w:r>
      <w:r w:rsidR="007F6A68">
        <w:t>“</w:t>
      </w:r>
      <w:r w:rsidR="00530C71">
        <w:t>obrigatoriedade</w:t>
      </w:r>
      <w:r w:rsidR="007F6A68">
        <w:t>”</w:t>
      </w:r>
      <w:r w:rsidR="00530C71">
        <w:t>. A denunciação feita é um direito de ação,</w:t>
      </w:r>
      <w:r w:rsidR="009D3EB7">
        <w:t xml:space="preserve"> não podendo ser obrigatório, uma vez que exercer um direito é facultativo</w:t>
      </w:r>
      <w:r w:rsidR="00530C71">
        <w:t xml:space="preserve">. </w:t>
      </w:r>
      <w:r w:rsidR="009D3EB7">
        <w:t>Nesse sentido, Fredier</w:t>
      </w:r>
      <w:r w:rsidR="00530C71">
        <w:t xml:space="preserve"> Didier (2012, p.382)</w:t>
      </w:r>
      <w:r w:rsidR="009D3EB7">
        <w:t xml:space="preserve"> entende que é, “</w:t>
      </w:r>
      <w:r w:rsidR="00530C71">
        <w:t>na verdade um ônus processual</w:t>
      </w:r>
      <w:r w:rsidR="007F6A68">
        <w:t>”.Contudo</w:t>
      </w:r>
      <w:r w:rsidR="009D3EB7">
        <w:t xml:space="preserve">, há uma discussão relevante acerca, que </w:t>
      </w:r>
      <w:r w:rsidR="00F2791E">
        <w:t>sucinta</w:t>
      </w:r>
      <w:r w:rsidR="007F6A68">
        <w:t xml:space="preserve"> a dú</w:t>
      </w:r>
      <w:r w:rsidR="00CB5C54">
        <w:t xml:space="preserve">vida </w:t>
      </w:r>
      <w:r w:rsidR="007F6A68">
        <w:t>quanto à</w:t>
      </w:r>
      <w:r w:rsidR="00CB5C54">
        <w:t xml:space="preserve"> perda do direito de regresso, </w:t>
      </w:r>
      <w:r w:rsidR="007F6A68">
        <w:t>a “obrigatoriedade</w:t>
      </w:r>
      <w:r w:rsidR="00CB5C54">
        <w:t xml:space="preserve">” </w:t>
      </w:r>
      <w:r w:rsidR="007F6A68">
        <w:t xml:space="preserve">de </w:t>
      </w:r>
      <w:r w:rsidR="00CB5C54">
        <w:t>denunciar a lide para o exercício do direito de regresso, ou ainda se o direito de regresso só pode ser exercido por meio da denunciação da lide.</w:t>
      </w:r>
    </w:p>
    <w:p w:rsidR="00CB48D8" w:rsidRDefault="007F6A68" w:rsidP="00D52174">
      <w:pPr>
        <w:pStyle w:val="Default"/>
        <w:spacing w:line="360" w:lineRule="auto"/>
        <w:ind w:firstLine="1134"/>
        <w:jc w:val="both"/>
      </w:pPr>
      <w:r>
        <w:t>N</w:t>
      </w:r>
      <w:r w:rsidR="00B23229">
        <w:t xml:space="preserve">ecessário </w:t>
      </w:r>
      <w:r>
        <w:t xml:space="preserve">é, </w:t>
      </w:r>
      <w:r w:rsidRPr="007F6A68">
        <w:rPr>
          <w:i/>
        </w:rPr>
        <w:t>a priori</w:t>
      </w:r>
      <w:r>
        <w:t xml:space="preserve">, </w:t>
      </w:r>
      <w:r w:rsidR="00B23229">
        <w:t>distinguir a “obrigatoriedade</w:t>
      </w:r>
      <w:r w:rsidR="00871FA7">
        <w:t>”</w:t>
      </w:r>
      <w:r w:rsidR="00B23229">
        <w:t xml:space="preserve"> quanto ao inciso I, </w:t>
      </w:r>
      <w:r w:rsidR="00F2791E">
        <w:t>posto</w:t>
      </w:r>
      <w:r w:rsidR="00B23229">
        <w:t xml:space="preserve"> que em relação aos demais incisos n</w:t>
      </w:r>
      <w:r w:rsidR="00871FA7">
        <w:t xml:space="preserve">ão </w:t>
      </w:r>
      <w:r w:rsidR="00F2791E">
        <w:t>haja</w:t>
      </w:r>
      <w:r w:rsidR="00B23229">
        <w:t>qualquer discussão</w:t>
      </w:r>
      <w:r w:rsidR="00B23229">
        <w:rPr>
          <w:rStyle w:val="Refdenotaderodap"/>
        </w:rPr>
        <w:footnoteReference w:id="3"/>
      </w:r>
      <w:r w:rsidR="00871FA7">
        <w:t xml:space="preserve">sobre </w:t>
      </w:r>
      <w:r>
        <w:t>aimposição</w:t>
      </w:r>
      <w:r w:rsidR="00871FA7">
        <w:t xml:space="preserve"> do dever de denunciar a lide. </w:t>
      </w:r>
      <w:r>
        <w:t>Nery Junior e Rosa Nery entendem que “se não for feita a denunciação da lide na forma processual o adquirente não poderá mais exercer o direito decorrente da evicção</w:t>
      </w:r>
      <w:r>
        <w:rPr>
          <w:rStyle w:val="Refdenotaderodap"/>
        </w:rPr>
        <w:footnoteReference w:id="4"/>
      </w:r>
      <w:r>
        <w:t xml:space="preserve">”. </w:t>
      </w:r>
      <w:r w:rsidR="00517C8E">
        <w:t>DIDIER (2012, p.374) nos fala</w:t>
      </w:r>
      <w:r>
        <w:t>,</w:t>
      </w:r>
      <w:r w:rsidR="00517C8E">
        <w:t xml:space="preserve"> em síntese</w:t>
      </w:r>
      <w:r>
        <w:t>,</w:t>
      </w:r>
      <w:r w:rsidR="00517C8E">
        <w:t xml:space="preserve"> a posição majoritária da doutrina</w:t>
      </w:r>
      <w:r w:rsidR="00CB48D8">
        <w:t xml:space="preserve"> quanto a “obrigatoriedade”</w:t>
      </w:r>
      <w:r w:rsidR="00517C8E">
        <w:t xml:space="preserve">: “Em síntese: o adquirente (evicto) deve, uma vez em litígio contra o evencente/evictor, denunciar a lide ao alienante, sob pena de perder a pretensão regressiva que surge da evicção”. </w:t>
      </w:r>
    </w:p>
    <w:p w:rsidR="00CB48D8" w:rsidRDefault="00517C8E" w:rsidP="00CB48D8">
      <w:pPr>
        <w:pStyle w:val="Default"/>
        <w:spacing w:line="360" w:lineRule="auto"/>
        <w:ind w:firstLine="1134"/>
        <w:jc w:val="both"/>
      </w:pPr>
      <w:r>
        <w:t xml:space="preserve">Contudo, esse entendimento não é cabível em todas as situações, </w:t>
      </w:r>
      <w:r w:rsidR="00F2791E">
        <w:t>pois a</w:t>
      </w:r>
      <w:r w:rsidR="005F125C">
        <w:t xml:space="preserve"> própria legislação processual</w:t>
      </w:r>
      <w:r w:rsidR="005F125C">
        <w:rPr>
          <w:rStyle w:val="Refdenotaderodap"/>
        </w:rPr>
        <w:footnoteReference w:id="5"/>
      </w:r>
      <w:r w:rsidR="005F125C">
        <w:t xml:space="preserve"> veda a denunciação da lide</w:t>
      </w:r>
      <w:r w:rsidR="00F2791E">
        <w:t xml:space="preserve"> em alguns momentos. C</w:t>
      </w:r>
      <w:r w:rsidR="005F125C">
        <w:t xml:space="preserve">aso em que o </w:t>
      </w:r>
      <w:r w:rsidR="00F2791E">
        <w:t>adquirente t</w:t>
      </w:r>
      <w:r w:rsidR="005F125C">
        <w:t>eria seu direito de regresso prejudicado pelo não exercício do mesmo.</w:t>
      </w:r>
      <w:r w:rsidR="00CB48D8">
        <w:t xml:space="preserve"> Nesse diapasão</w:t>
      </w:r>
      <w:r w:rsidR="005F125C">
        <w:t>,</w:t>
      </w:r>
      <w:r w:rsidR="00CB48D8">
        <w:t xml:space="preserve"> demostra-se a necessidade de levar em consideração o art. 456</w:t>
      </w:r>
      <w:r w:rsidR="00CB48D8">
        <w:rPr>
          <w:rStyle w:val="Refdenotaderodap"/>
        </w:rPr>
        <w:footnoteReference w:id="6"/>
      </w:r>
      <w:r w:rsidR="00CB48D8">
        <w:t>, do CC</w:t>
      </w:r>
      <w:r w:rsidR="00F2791E">
        <w:t>,em caso</w:t>
      </w:r>
      <w:r w:rsidR="00CB48D8">
        <w:t xml:space="preserve"> de denunciação da lide </w:t>
      </w:r>
      <w:r w:rsidR="00F2791E">
        <w:t>para exercício</w:t>
      </w:r>
      <w:r w:rsidR="00CB48D8">
        <w:t xml:space="preserve"> de direito de evicção</w:t>
      </w:r>
      <w:r w:rsidR="00F2791E">
        <w:t xml:space="preserve">. Nesta, </w:t>
      </w:r>
      <w:r w:rsidR="00CB48D8" w:rsidRPr="00CB48D8">
        <w:rPr>
          <w:i/>
        </w:rPr>
        <w:t>a contrario sensu</w:t>
      </w:r>
      <w:r w:rsidR="00CB48D8">
        <w:t xml:space="preserve">, o direito material não se omite quanto à forma e o modo de obter a indenização. </w:t>
      </w:r>
    </w:p>
    <w:p w:rsidR="005F125C" w:rsidRDefault="003067A0" w:rsidP="00D52174">
      <w:pPr>
        <w:pStyle w:val="Default"/>
        <w:spacing w:line="360" w:lineRule="auto"/>
        <w:ind w:firstLine="1134"/>
        <w:jc w:val="both"/>
      </w:pPr>
      <w:r>
        <w:t xml:space="preserve">A dificuldade e </w:t>
      </w:r>
      <w:r w:rsidR="00F2791E">
        <w:t xml:space="preserve">as divergências doutrinárias podem </w:t>
      </w:r>
      <w:r>
        <w:t>explicadas</w:t>
      </w:r>
      <w:r w:rsidR="00EC168E">
        <w:t xml:space="preserve"> pelo fato da denunciaçã</w:t>
      </w:r>
      <w:r>
        <w:t>o da lide ser um instituto novo e</w:t>
      </w:r>
      <w:r w:rsidR="00EC168E">
        <w:t>diferente do antigo chamamento ao processo, que “consiste no exercício antecipado da pretensão regressiva</w:t>
      </w:r>
      <w:r w:rsidR="00EC168E">
        <w:rPr>
          <w:rStyle w:val="Refdenotaderodap"/>
        </w:rPr>
        <w:footnoteReference w:id="7"/>
      </w:r>
      <w:r w:rsidR="00EC168E">
        <w:t>”, ao passo que o chamamento é caracterizado apenas com a notificação do litígio. Outro ponto muito bem observado por DIDIER (2012,p.375) é que o art.456 reproduz o enunciado do art. 1.116 do CC-1916, momento este que não existia a denunciação da lide, provando-se pelo fato de que se fala em “notificação”.</w:t>
      </w:r>
    </w:p>
    <w:p w:rsidR="00EC168E" w:rsidRDefault="00EC168E" w:rsidP="00D52174">
      <w:pPr>
        <w:pStyle w:val="Default"/>
        <w:spacing w:line="360" w:lineRule="auto"/>
        <w:ind w:firstLine="1134"/>
        <w:jc w:val="both"/>
      </w:pPr>
      <w:r>
        <w:t xml:space="preserve">De certo não há que se questionar que não promovendo a denunciação da lide, o adquirente assume o risco de não pleitear </w:t>
      </w:r>
      <w:r w:rsidR="00796AF0">
        <w:t xml:space="preserve">seu direito regressivo caso o alienante “demonstre </w:t>
      </w:r>
      <w:r w:rsidR="00BC5A95">
        <w:t>que</w:t>
      </w:r>
      <w:r w:rsidR="00796AF0">
        <w:t xml:space="preserve"> havia razões para impedir a derrota do adquirente e que a alienação foi boa e regular</w:t>
      </w:r>
      <w:r w:rsidR="00796AF0">
        <w:rPr>
          <w:rStyle w:val="Refdenotaderodap"/>
        </w:rPr>
        <w:footnoteReference w:id="8"/>
      </w:r>
      <w:r w:rsidR="00BC5A95">
        <w:t>”</w:t>
      </w:r>
      <w:r w:rsidR="00796AF0">
        <w:t>. Afora isso, entende-se aqui que não há que se falar em perda</w:t>
      </w:r>
      <w:r w:rsidR="00BC5A95">
        <w:t xml:space="preserve"> do direito de regresso e</w:t>
      </w:r>
      <w:r w:rsidR="00796AF0">
        <w:t xml:space="preserve"> caso pudesse, a red</w:t>
      </w:r>
      <w:r w:rsidR="003067A0">
        <w:t>ação obsoleta do caput do art. 70</w:t>
      </w:r>
      <w:r w:rsidR="00796AF0">
        <w:t>, C</w:t>
      </w:r>
      <w:r w:rsidR="003067A0">
        <w:t>P</w:t>
      </w:r>
      <w:r w:rsidR="00796AF0">
        <w:t>C “prestigiaria um possível enriquecimento ilícito do alienante a expensas do adquirente</w:t>
      </w:r>
      <w:r w:rsidR="00796AF0">
        <w:rPr>
          <w:rStyle w:val="Refdenotaderodap"/>
        </w:rPr>
        <w:footnoteReference w:id="9"/>
      </w:r>
      <w:r w:rsidR="00796AF0">
        <w:t>”.</w:t>
      </w:r>
    </w:p>
    <w:p w:rsidR="00796AF0" w:rsidRDefault="00796AF0" w:rsidP="00D52174">
      <w:pPr>
        <w:pStyle w:val="Default"/>
        <w:spacing w:line="360" w:lineRule="auto"/>
        <w:ind w:firstLine="1134"/>
        <w:jc w:val="both"/>
      </w:pPr>
      <w:r>
        <w:t xml:space="preserve">Por fim, é interessante expor a proposta </w:t>
      </w:r>
      <w:r w:rsidR="00BC5A95">
        <w:t>encaminhada pelo deputado Ricardo Fiúza</w:t>
      </w:r>
      <w:r w:rsidR="00BC5A95">
        <w:rPr>
          <w:rStyle w:val="Refdenotaderodap"/>
        </w:rPr>
        <w:footnoteReference w:id="10"/>
      </w:r>
      <w:r w:rsidR="00BC5A95">
        <w:t xml:space="preserve"> já entendido da necessidade de adequação do dispositivo à realidade processual em se tratando da “obrigatoriedade” do art.70, pretendendo ainda, retirar o ônus da denunciação da</w:t>
      </w:r>
      <w:r w:rsidR="008E18F9">
        <w:t xml:space="preserve"> lide para </w:t>
      </w:r>
      <w:r w:rsidR="003067A0">
        <w:t xml:space="preserve">o direito de evicção, para objetivar o consenso </w:t>
      </w:r>
      <w:r w:rsidR="008E18F9">
        <w:t>de que nãose trata de um dever, e sim de um ônus</w:t>
      </w:r>
      <w:r w:rsidR="00CB48D8">
        <w:t xml:space="preserve"> absoluto</w:t>
      </w:r>
      <w:r w:rsidR="008E18F9">
        <w:t xml:space="preserve">: </w:t>
      </w:r>
    </w:p>
    <w:p w:rsidR="00BC5A95" w:rsidRPr="00BC5A95" w:rsidRDefault="00BC5A95" w:rsidP="00BC5A95">
      <w:pPr>
        <w:pStyle w:val="Default"/>
        <w:ind w:left="2268"/>
        <w:jc w:val="both"/>
        <w:rPr>
          <w:sz w:val="20"/>
          <w:szCs w:val="20"/>
        </w:rPr>
      </w:pPr>
      <w:r w:rsidRPr="00BC5A95">
        <w:rPr>
          <w:sz w:val="20"/>
          <w:szCs w:val="20"/>
        </w:rPr>
        <w:t>Art. 456: Para o direito que da evicção lhe resulta, independe o evicto da denunciação da lide ao alienante, podendo fazê-la, se lhe parecer conveniente, pelos princípios da economia e da rapidez processual. (REsp 132.258, j. 06-12-1999, DJ de 17-04-2000; REsp 255.639, j. 24.04.2001, informativo do STJ 93)</w:t>
      </w:r>
      <w:r>
        <w:rPr>
          <w:sz w:val="20"/>
          <w:szCs w:val="20"/>
        </w:rPr>
        <w:t>.</w:t>
      </w:r>
    </w:p>
    <w:p w:rsidR="00BC2205" w:rsidRPr="00D7001C" w:rsidRDefault="00180A7F" w:rsidP="00950A3C">
      <w:pPr>
        <w:tabs>
          <w:tab w:val="left" w:pos="3795"/>
        </w:tabs>
        <w:spacing w:after="0" w:line="240" w:lineRule="auto"/>
        <w:ind w:firstLine="1134"/>
        <w:jc w:val="both"/>
        <w:rPr>
          <w:rFonts w:ascii="Times New Roman" w:hAnsi="Times New Roman" w:cs="Times New Roman"/>
          <w:sz w:val="24"/>
          <w:szCs w:val="24"/>
        </w:rPr>
      </w:pPr>
      <w:r w:rsidRPr="00D7001C">
        <w:rPr>
          <w:rFonts w:ascii="Times New Roman" w:hAnsi="Times New Roman" w:cs="Times New Roman"/>
          <w:sz w:val="24"/>
          <w:szCs w:val="24"/>
        </w:rPr>
        <w:tab/>
      </w:r>
    </w:p>
    <w:p w:rsidR="000640A7" w:rsidRPr="00CB48D8" w:rsidRDefault="00950A3C" w:rsidP="00CB48D8">
      <w:pPr>
        <w:pStyle w:val="PargrafodaLista"/>
        <w:numPr>
          <w:ilvl w:val="0"/>
          <w:numId w:val="11"/>
        </w:numPr>
        <w:tabs>
          <w:tab w:val="left" w:pos="6105"/>
        </w:tabs>
        <w:spacing w:line="360" w:lineRule="auto"/>
        <w:jc w:val="both"/>
        <w:rPr>
          <w:rFonts w:ascii="Times New Roman" w:hAnsi="Times New Roman"/>
          <w:b/>
          <w:sz w:val="24"/>
          <w:szCs w:val="24"/>
          <w:lang w:val="pt-BR"/>
        </w:rPr>
      </w:pPr>
      <w:r w:rsidRPr="00CB48D8">
        <w:rPr>
          <w:rFonts w:ascii="Times New Roman" w:hAnsi="Times New Roman"/>
          <w:b/>
          <w:sz w:val="24"/>
          <w:szCs w:val="24"/>
          <w:lang w:val="pt-BR"/>
        </w:rPr>
        <w:t>DENUNCIAÇÃO DA LIDE COMO INSTRUMENTO ESSENCIAL AO DIREITO REGRESSIVO COM BASE NA EVICÇÃO</w:t>
      </w:r>
    </w:p>
    <w:p w:rsidR="000640A7" w:rsidRDefault="000640A7" w:rsidP="000640A7">
      <w:pPr>
        <w:pStyle w:val="PargrafodaLista"/>
        <w:tabs>
          <w:tab w:val="left" w:pos="6105"/>
        </w:tabs>
        <w:spacing w:after="0" w:line="240" w:lineRule="auto"/>
        <w:ind w:left="360"/>
        <w:jc w:val="both"/>
        <w:rPr>
          <w:rFonts w:ascii="Times New Roman" w:hAnsi="Times New Roman"/>
          <w:color w:val="FF0000"/>
          <w:sz w:val="24"/>
          <w:szCs w:val="24"/>
          <w:lang w:val="pt-BR"/>
        </w:rPr>
      </w:pPr>
    </w:p>
    <w:p w:rsidR="00950A3C" w:rsidRDefault="008E18F9" w:rsidP="00D52174">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w:t>
      </w:r>
      <w:r w:rsidR="00CB48D8">
        <w:rPr>
          <w:rFonts w:ascii="Times New Roman" w:hAnsi="Times New Roman" w:cs="Times New Roman"/>
          <w:sz w:val="24"/>
          <w:szCs w:val="24"/>
        </w:rPr>
        <w:t>fora anteriormente falado em que consiste a</w:t>
      </w:r>
      <w:r>
        <w:rPr>
          <w:rFonts w:ascii="Times New Roman" w:hAnsi="Times New Roman" w:cs="Times New Roman"/>
          <w:sz w:val="24"/>
          <w:szCs w:val="24"/>
        </w:rPr>
        <w:t xml:space="preserve"> “obrigatoriedade”, encontrada no </w:t>
      </w:r>
      <w:r w:rsidRPr="00CB48D8">
        <w:rPr>
          <w:rFonts w:ascii="Times New Roman" w:hAnsi="Times New Roman" w:cs="Times New Roman"/>
          <w:i/>
          <w:sz w:val="24"/>
          <w:szCs w:val="24"/>
        </w:rPr>
        <w:t>caput</w:t>
      </w:r>
      <w:r>
        <w:rPr>
          <w:rFonts w:ascii="Times New Roman" w:hAnsi="Times New Roman" w:cs="Times New Roman"/>
          <w:sz w:val="24"/>
          <w:szCs w:val="24"/>
        </w:rPr>
        <w:t xml:space="preserve"> do art.70, do CPC, necessário se faz analisar o inciso I do mesmo artigo, uma vez que trata especificamente da evicção, objeto do estudo.O art. 456, do CC/02 regula os requisitos exigidos para que se possa exercer o direito de regresso. Dentre eles, a maior exigência, sem a qual não se viabiliza a ação a é de notificar o alienante, por meio da denunciação da lide, sem a qual, perde</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o direito de pretender a </w:t>
      </w:r>
      <w:r w:rsidR="00F85BBA">
        <w:rPr>
          <w:rFonts w:ascii="Times New Roman" w:hAnsi="Times New Roman" w:cs="Times New Roman"/>
          <w:sz w:val="24"/>
          <w:szCs w:val="24"/>
        </w:rPr>
        <w:t>ação reivindicatória</w:t>
      </w:r>
      <w:r>
        <w:rPr>
          <w:rFonts w:ascii="Times New Roman" w:hAnsi="Times New Roman" w:cs="Times New Roman"/>
          <w:sz w:val="24"/>
          <w:szCs w:val="24"/>
        </w:rPr>
        <w:t xml:space="preserve"> exigida pelo seu direito de regresso. Sobre o assunto</w:t>
      </w:r>
      <w:r w:rsidR="00014774">
        <w:rPr>
          <w:rFonts w:ascii="Times New Roman" w:hAnsi="Times New Roman" w:cs="Times New Roman"/>
          <w:sz w:val="24"/>
          <w:szCs w:val="24"/>
        </w:rPr>
        <w:t>Fredie Didier Jr. e Teresa Arruda Alvim Wambier</w:t>
      </w:r>
      <w:r w:rsidR="00014774">
        <w:rPr>
          <w:rStyle w:val="Refdenotaderodap"/>
          <w:rFonts w:ascii="Times New Roman" w:hAnsi="Times New Roman" w:cs="Times New Roman"/>
          <w:sz w:val="24"/>
          <w:szCs w:val="24"/>
        </w:rPr>
        <w:footnoteReference w:id="12"/>
      </w:r>
      <w:r w:rsidR="00014774">
        <w:rPr>
          <w:rFonts w:ascii="Times New Roman" w:hAnsi="Times New Roman" w:cs="Times New Roman"/>
          <w:sz w:val="24"/>
          <w:szCs w:val="24"/>
        </w:rPr>
        <w:t xml:space="preserve"> nos ajudam a entender essa relação</w:t>
      </w:r>
      <w:r>
        <w:rPr>
          <w:rFonts w:ascii="Times New Roman" w:hAnsi="Times New Roman" w:cs="Times New Roman"/>
          <w:sz w:val="24"/>
          <w:szCs w:val="24"/>
        </w:rPr>
        <w:t>:</w:t>
      </w:r>
    </w:p>
    <w:p w:rsidR="008E18F9" w:rsidRPr="00014774" w:rsidRDefault="008E18F9" w:rsidP="00014774">
      <w:pPr>
        <w:tabs>
          <w:tab w:val="left" w:pos="6105"/>
        </w:tabs>
        <w:spacing w:after="0" w:line="240" w:lineRule="auto"/>
        <w:ind w:left="2268"/>
        <w:jc w:val="both"/>
        <w:rPr>
          <w:rFonts w:ascii="Times New Roman" w:hAnsi="Times New Roman" w:cs="Times New Roman"/>
          <w:sz w:val="20"/>
          <w:szCs w:val="20"/>
        </w:rPr>
      </w:pPr>
      <w:r w:rsidRPr="00014774">
        <w:rPr>
          <w:rFonts w:ascii="Times New Roman" w:hAnsi="Times New Roman" w:cs="Times New Roman"/>
          <w:sz w:val="20"/>
          <w:szCs w:val="20"/>
        </w:rPr>
        <w:t>A conjugação das normas processual e material leva ao entendimento que, sendo o caso de responsabilização por evicção, é obrigatória a denunciação da lide pelo evicto.  O legislador utilizou a expressão “a fim de que esta possa exercer o dir</w:t>
      </w:r>
      <w:r w:rsidR="00014774" w:rsidRPr="00014774">
        <w:rPr>
          <w:rFonts w:ascii="Times New Roman" w:hAnsi="Times New Roman" w:cs="Times New Roman"/>
          <w:sz w:val="20"/>
          <w:szCs w:val="20"/>
        </w:rPr>
        <w:t>eito que de evicção lhe resulte”, em que passa a idéia de condição. A conclusão é que nos casos em que se configura a hipótese normativa descrita no art.70, I do CPC, é obrigatória a denunciação da lide, sob pena de não se poder, por outra via, exercer a pretensão do regresso.</w:t>
      </w:r>
    </w:p>
    <w:p w:rsidR="008E18F9" w:rsidRPr="00014774" w:rsidRDefault="008E18F9" w:rsidP="00950A3C">
      <w:pPr>
        <w:tabs>
          <w:tab w:val="left" w:pos="6105"/>
        </w:tabs>
        <w:spacing w:after="0" w:line="360" w:lineRule="auto"/>
        <w:ind w:firstLine="851"/>
        <w:jc w:val="both"/>
        <w:rPr>
          <w:rFonts w:ascii="Times New Roman" w:hAnsi="Times New Roman" w:cs="Times New Roman"/>
          <w:sz w:val="20"/>
          <w:szCs w:val="20"/>
        </w:rPr>
      </w:pPr>
    </w:p>
    <w:p w:rsidR="00F85BBA" w:rsidRDefault="00014774" w:rsidP="00D52174">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Superado </w:t>
      </w:r>
      <w:r w:rsidR="003067A0">
        <w:rPr>
          <w:rFonts w:ascii="Times New Roman" w:hAnsi="Times New Roman" w:cs="Times New Roman"/>
          <w:sz w:val="24"/>
          <w:szCs w:val="24"/>
        </w:rPr>
        <w:t>esso</w:t>
      </w:r>
      <w:r>
        <w:rPr>
          <w:rFonts w:ascii="Times New Roman" w:hAnsi="Times New Roman" w:cs="Times New Roman"/>
          <w:sz w:val="24"/>
          <w:szCs w:val="24"/>
        </w:rPr>
        <w:t xml:space="preserve">, </w:t>
      </w:r>
      <w:r w:rsidR="00F85BBA">
        <w:rPr>
          <w:rFonts w:ascii="Times New Roman" w:hAnsi="Times New Roman" w:cs="Times New Roman"/>
          <w:sz w:val="24"/>
          <w:szCs w:val="24"/>
        </w:rPr>
        <w:t>ca</w:t>
      </w:r>
      <w:r w:rsidR="003067A0">
        <w:rPr>
          <w:rFonts w:ascii="Times New Roman" w:hAnsi="Times New Roman" w:cs="Times New Roman"/>
          <w:sz w:val="24"/>
          <w:szCs w:val="24"/>
        </w:rPr>
        <w:t>be também ressaltar que a referê</w:t>
      </w:r>
      <w:r w:rsidR="00F85BBA">
        <w:rPr>
          <w:rFonts w:ascii="Times New Roman" w:hAnsi="Times New Roman" w:cs="Times New Roman"/>
          <w:sz w:val="24"/>
          <w:szCs w:val="24"/>
        </w:rPr>
        <w:t>ncia feita pelo inciso I não importa cabimento apenas para ações reivindicatórias e sim “a todo aquele que adquirindo a título oneroso o domínio, a posse ou o uso da coisa, vem a perdê-los em ação própria por determinação judicial</w:t>
      </w:r>
      <w:r w:rsidR="00F85BBA">
        <w:rPr>
          <w:rStyle w:val="Refdenotaderodap"/>
          <w:rFonts w:ascii="Times New Roman" w:hAnsi="Times New Roman" w:cs="Times New Roman"/>
          <w:sz w:val="24"/>
          <w:szCs w:val="24"/>
        </w:rPr>
        <w:footnoteReference w:id="13"/>
      </w:r>
      <w:r w:rsidR="00F85BBA">
        <w:rPr>
          <w:rFonts w:ascii="Times New Roman" w:hAnsi="Times New Roman" w:cs="Times New Roman"/>
          <w:sz w:val="24"/>
          <w:szCs w:val="24"/>
        </w:rPr>
        <w:t>”.</w:t>
      </w:r>
      <w:r w:rsidR="003067A0">
        <w:rPr>
          <w:rFonts w:ascii="Times New Roman" w:hAnsi="Times New Roman" w:cs="Times New Roman"/>
          <w:sz w:val="24"/>
          <w:szCs w:val="24"/>
        </w:rPr>
        <w:t>Restando</w:t>
      </w:r>
      <w:r w:rsidR="00B53E32">
        <w:rPr>
          <w:rFonts w:ascii="Times New Roman" w:hAnsi="Times New Roman" w:cs="Times New Roman"/>
          <w:sz w:val="24"/>
          <w:szCs w:val="24"/>
        </w:rPr>
        <w:t>, portanto</w:t>
      </w:r>
      <w:r w:rsidR="003067A0">
        <w:rPr>
          <w:rFonts w:ascii="Times New Roman" w:hAnsi="Times New Roman" w:cs="Times New Roman"/>
          <w:sz w:val="24"/>
          <w:szCs w:val="24"/>
        </w:rPr>
        <w:t xml:space="preserve"> concluir que a par dos defeitos que se objetiva instrumentalizar a pretensão dereembolso advinda da evicção</w:t>
      </w:r>
      <w:r w:rsidR="00B53E32">
        <w:rPr>
          <w:rFonts w:ascii="Times New Roman" w:hAnsi="Times New Roman" w:cs="Times New Roman"/>
          <w:sz w:val="24"/>
          <w:szCs w:val="24"/>
        </w:rPr>
        <w:t xml:space="preserve"> e que deve ser acabo pelo alienante</w:t>
      </w:r>
      <w:r w:rsidR="00E35296">
        <w:rPr>
          <w:rFonts w:ascii="Times New Roman" w:hAnsi="Times New Roman" w:cs="Times New Roman"/>
          <w:sz w:val="24"/>
          <w:szCs w:val="24"/>
        </w:rPr>
        <w:t>:</w:t>
      </w:r>
    </w:p>
    <w:p w:rsidR="00E35296" w:rsidRDefault="00E35296" w:rsidP="00E35296">
      <w:pPr>
        <w:tabs>
          <w:tab w:val="left" w:pos="6105"/>
        </w:tabs>
        <w:spacing w:after="0" w:line="240" w:lineRule="auto"/>
        <w:ind w:left="2268"/>
        <w:jc w:val="both"/>
        <w:rPr>
          <w:rFonts w:ascii="Times New Roman" w:hAnsi="Times New Roman" w:cs="Times New Roman"/>
          <w:sz w:val="20"/>
          <w:szCs w:val="20"/>
        </w:rPr>
      </w:pPr>
      <w:r w:rsidRPr="00E35296">
        <w:rPr>
          <w:rFonts w:ascii="Times New Roman" w:hAnsi="Times New Roman" w:cs="Times New Roman"/>
          <w:sz w:val="20"/>
          <w:szCs w:val="20"/>
        </w:rPr>
        <w:t xml:space="preserve">A redação não é das melhores. O texto leva ao entendimento de que a denunciação somente pode ser feita pelo réu e apenas em ação reivindicatória, o que não é correto: quer porque o autor também pode promover denunciação (art.74 do CPC), quer porque ela também ocorre em ações declaratórias ou constitutivas (como as divisórias), em que se possa infirmar o direito de propriedade do adquirente que, por isso, deve denunciar a lide ao alienante – pense-se em ação declaratória proposta pelo adquirente em face de terceiro que questiona a sua propriedade. </w:t>
      </w:r>
      <w:r>
        <w:rPr>
          <w:rFonts w:ascii="Times New Roman" w:hAnsi="Times New Roman" w:cs="Times New Roman"/>
          <w:sz w:val="20"/>
          <w:szCs w:val="20"/>
        </w:rPr>
        <w:t>(DIDIER, 2012, p.378)</w:t>
      </w:r>
    </w:p>
    <w:p w:rsidR="00E35296" w:rsidRDefault="00E35296" w:rsidP="00E35296">
      <w:pPr>
        <w:tabs>
          <w:tab w:val="left" w:pos="6105"/>
        </w:tabs>
        <w:spacing w:after="0" w:line="240" w:lineRule="auto"/>
        <w:jc w:val="both"/>
        <w:rPr>
          <w:rFonts w:ascii="Times New Roman" w:hAnsi="Times New Roman" w:cs="Times New Roman"/>
          <w:sz w:val="20"/>
          <w:szCs w:val="20"/>
        </w:rPr>
      </w:pPr>
    </w:p>
    <w:p w:rsidR="00E35296" w:rsidRPr="00B53E32" w:rsidRDefault="000B6543" w:rsidP="00B53E32">
      <w:pPr>
        <w:pStyle w:val="PargrafodaLista"/>
        <w:numPr>
          <w:ilvl w:val="1"/>
          <w:numId w:val="11"/>
        </w:numPr>
        <w:tabs>
          <w:tab w:val="left" w:pos="6105"/>
        </w:tabs>
        <w:spacing w:after="0" w:line="240" w:lineRule="auto"/>
        <w:jc w:val="both"/>
        <w:rPr>
          <w:rFonts w:ascii="Times New Roman" w:hAnsi="Times New Roman"/>
          <w:b/>
          <w:sz w:val="24"/>
          <w:szCs w:val="24"/>
          <w:lang w:val="pt-BR"/>
        </w:rPr>
      </w:pPr>
      <w:r w:rsidRPr="00B53E32">
        <w:rPr>
          <w:rFonts w:ascii="Times New Roman" w:hAnsi="Times New Roman"/>
          <w:b/>
          <w:sz w:val="24"/>
          <w:szCs w:val="24"/>
          <w:lang w:val="pt-BR"/>
        </w:rPr>
        <w:t>A</w:t>
      </w:r>
      <w:r w:rsidR="003970DC" w:rsidRPr="00B53E32">
        <w:rPr>
          <w:rFonts w:ascii="Times New Roman" w:hAnsi="Times New Roman"/>
          <w:b/>
          <w:sz w:val="24"/>
          <w:szCs w:val="24"/>
          <w:lang w:val="pt-BR"/>
        </w:rPr>
        <w:t xml:space="preserve"> POSSIBILIDADE DA </w:t>
      </w:r>
      <w:r w:rsidRPr="00B53E32">
        <w:rPr>
          <w:rFonts w:ascii="Times New Roman" w:hAnsi="Times New Roman"/>
          <w:b/>
          <w:sz w:val="24"/>
          <w:szCs w:val="24"/>
          <w:lang w:val="pt-BR"/>
        </w:rPr>
        <w:t>DENUNCIAÇÃO DA LIDE PER SALTUM</w:t>
      </w:r>
      <w:r w:rsidR="003970DC" w:rsidRPr="00B53E32">
        <w:rPr>
          <w:rFonts w:ascii="Times New Roman" w:hAnsi="Times New Roman"/>
          <w:b/>
          <w:sz w:val="24"/>
          <w:szCs w:val="24"/>
          <w:lang w:val="pt-BR"/>
        </w:rPr>
        <w:t xml:space="preserve"> EM CASOS DE EVICÇÃO</w:t>
      </w:r>
    </w:p>
    <w:p w:rsidR="00E35296" w:rsidRPr="00E35296" w:rsidRDefault="00E35296" w:rsidP="00E35296">
      <w:pPr>
        <w:pStyle w:val="PargrafodaLista"/>
        <w:tabs>
          <w:tab w:val="left" w:pos="6105"/>
        </w:tabs>
        <w:spacing w:after="0" w:line="240" w:lineRule="auto"/>
        <w:jc w:val="both"/>
        <w:rPr>
          <w:rFonts w:ascii="Times New Roman" w:hAnsi="Times New Roman"/>
          <w:b/>
          <w:sz w:val="24"/>
          <w:szCs w:val="24"/>
          <w:lang w:val="pt-BR"/>
        </w:rPr>
      </w:pPr>
    </w:p>
    <w:p w:rsidR="000B6543" w:rsidRDefault="00322231" w:rsidP="00D52174">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contexto </w:t>
      </w:r>
      <w:r w:rsidR="00DC6DBB">
        <w:rPr>
          <w:rFonts w:ascii="Times New Roman" w:hAnsi="Times New Roman" w:cs="Times New Roman"/>
          <w:sz w:val="24"/>
          <w:szCs w:val="24"/>
        </w:rPr>
        <w:t>apresentado, insere-se a inovação legislativa oriund</w:t>
      </w:r>
      <w:r w:rsidR="00ED4B48">
        <w:rPr>
          <w:rFonts w:ascii="Times New Roman" w:hAnsi="Times New Roman" w:cs="Times New Roman"/>
          <w:sz w:val="24"/>
          <w:szCs w:val="24"/>
        </w:rPr>
        <w:t>a do art. 456</w:t>
      </w:r>
      <w:r w:rsidR="000B6543">
        <w:rPr>
          <w:rFonts w:ascii="Times New Roman" w:hAnsi="Times New Roman" w:cs="Times New Roman"/>
          <w:sz w:val="24"/>
          <w:szCs w:val="24"/>
        </w:rPr>
        <w:t xml:space="preserve"> no que tange a notificação, uma vez que este, em contraposição ao que diz art.70, I do CPC, entende que não só é permitida a notificação pelo adquirente ao alienante imediato, “como a qualquer um dos anteriores”, ou seja, “pode o adquirente denunciar a lide a quem lhe vendeu ou a quem vendeu a quem lhe vendeu</w:t>
      </w:r>
      <w:r w:rsidR="0027565D">
        <w:rPr>
          <w:rFonts w:ascii="Times New Roman" w:hAnsi="Times New Roman" w:cs="Times New Roman"/>
          <w:sz w:val="24"/>
          <w:szCs w:val="24"/>
        </w:rPr>
        <w:t>,</w:t>
      </w:r>
      <w:r w:rsidR="000B6543">
        <w:rPr>
          <w:rFonts w:ascii="Times New Roman" w:hAnsi="Times New Roman" w:cs="Times New Roman"/>
          <w:sz w:val="24"/>
          <w:szCs w:val="24"/>
        </w:rPr>
        <w:t>etc.</w:t>
      </w:r>
      <w:r w:rsidR="000B6543">
        <w:rPr>
          <w:rStyle w:val="Refdenotaderodap"/>
          <w:rFonts w:ascii="Times New Roman" w:hAnsi="Times New Roman" w:cs="Times New Roman"/>
          <w:sz w:val="24"/>
          <w:szCs w:val="24"/>
        </w:rPr>
        <w:footnoteReference w:id="14"/>
      </w:r>
      <w:r w:rsidR="000B6543">
        <w:rPr>
          <w:rFonts w:ascii="Times New Roman" w:hAnsi="Times New Roman" w:cs="Times New Roman"/>
          <w:sz w:val="24"/>
          <w:szCs w:val="24"/>
        </w:rPr>
        <w:t xml:space="preserve">” Este é, portanto, o conflito apresentado entre os dispositivos normativos: a </w:t>
      </w:r>
      <w:r w:rsidR="0027565D">
        <w:rPr>
          <w:rFonts w:ascii="Times New Roman" w:hAnsi="Times New Roman" w:cs="Times New Roman"/>
          <w:sz w:val="24"/>
          <w:szCs w:val="24"/>
        </w:rPr>
        <w:t>possibilidade ou não da aplicação</w:t>
      </w:r>
      <w:r w:rsidR="000B6543">
        <w:rPr>
          <w:rFonts w:ascii="Times New Roman" w:hAnsi="Times New Roman" w:cs="Times New Roman"/>
          <w:sz w:val="24"/>
          <w:szCs w:val="24"/>
        </w:rPr>
        <w:t xml:space="preserve"> se denunciação da lide </w:t>
      </w:r>
      <w:r w:rsidR="000B6543" w:rsidRPr="000B6543">
        <w:rPr>
          <w:rFonts w:ascii="Times New Roman" w:hAnsi="Times New Roman" w:cs="Times New Roman"/>
          <w:i/>
          <w:sz w:val="24"/>
          <w:szCs w:val="24"/>
        </w:rPr>
        <w:t>per saltum</w:t>
      </w:r>
      <w:r w:rsidR="000B6543">
        <w:rPr>
          <w:rFonts w:ascii="Times New Roman" w:hAnsi="Times New Roman" w:cs="Times New Roman"/>
          <w:sz w:val="24"/>
          <w:szCs w:val="24"/>
        </w:rPr>
        <w:t>.</w:t>
      </w:r>
    </w:p>
    <w:p w:rsidR="0078429B" w:rsidRDefault="000B6543" w:rsidP="00D52174">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sentido a ser extraído dessa mudança carece da forma de interpretação da relação entre os dispositivos, e</w:t>
      </w:r>
      <w:r w:rsidR="0027565D">
        <w:rPr>
          <w:rFonts w:ascii="Times New Roman" w:hAnsi="Times New Roman" w:cs="Times New Roman"/>
          <w:sz w:val="24"/>
          <w:szCs w:val="24"/>
        </w:rPr>
        <w:t>vai</w:t>
      </w:r>
      <w:r w:rsidR="00971B3F">
        <w:rPr>
          <w:rFonts w:ascii="Times New Roman" w:hAnsi="Times New Roman" w:cs="Times New Roman"/>
          <w:sz w:val="24"/>
          <w:szCs w:val="24"/>
        </w:rPr>
        <w:t>além disso</w:t>
      </w:r>
      <w:r>
        <w:rPr>
          <w:rFonts w:ascii="Times New Roman" w:hAnsi="Times New Roman" w:cs="Times New Roman"/>
          <w:sz w:val="24"/>
          <w:szCs w:val="24"/>
        </w:rPr>
        <w:t>.</w:t>
      </w:r>
      <w:r w:rsidR="003E1C36" w:rsidRPr="003E1C36">
        <w:rPr>
          <w:rFonts w:ascii="Times New Roman" w:hAnsi="Times New Roman" w:cs="Times New Roman"/>
          <w:sz w:val="24"/>
          <w:szCs w:val="24"/>
        </w:rPr>
        <w:t xml:space="preserve">Há quem entenda que continua prevalecendo o veto à denunciação </w:t>
      </w:r>
      <w:r w:rsidR="003E1C36" w:rsidRPr="003E1C36">
        <w:rPr>
          <w:rFonts w:ascii="Times New Roman" w:hAnsi="Times New Roman" w:cs="Times New Roman"/>
          <w:i/>
          <w:sz w:val="24"/>
          <w:szCs w:val="24"/>
        </w:rPr>
        <w:t>per saltum</w:t>
      </w:r>
      <w:r w:rsidR="003E1C36" w:rsidRPr="003E1C36">
        <w:rPr>
          <w:rFonts w:ascii="Times New Roman" w:hAnsi="Times New Roman" w:cs="Times New Roman"/>
          <w:sz w:val="24"/>
          <w:szCs w:val="24"/>
        </w:rPr>
        <w:t xml:space="preserve">, porque o novo Código Civil, no art. 456, teria recomendado observar-se </w:t>
      </w:r>
      <w:r w:rsidR="003E1C36">
        <w:rPr>
          <w:rFonts w:ascii="Times New Roman" w:hAnsi="Times New Roman" w:cs="Times New Roman"/>
          <w:sz w:val="24"/>
          <w:szCs w:val="24"/>
        </w:rPr>
        <w:t>o disposto nas leis de processo. Desse modo, e p</w:t>
      </w:r>
      <w:r>
        <w:rPr>
          <w:rFonts w:ascii="Times New Roman" w:hAnsi="Times New Roman" w:cs="Times New Roman"/>
          <w:sz w:val="24"/>
          <w:szCs w:val="24"/>
        </w:rPr>
        <w:t>or óbvio, há divergências doutrinárias acerca do tema</w:t>
      </w:r>
      <w:r w:rsidR="00971B3F">
        <w:rPr>
          <w:rFonts w:ascii="Times New Roman" w:hAnsi="Times New Roman" w:cs="Times New Roman"/>
          <w:sz w:val="24"/>
          <w:szCs w:val="24"/>
        </w:rPr>
        <w:t>, sendo de extrema relevância suscitá-las a fim de que se entenda em que consiste essa novidade no âmbit</w:t>
      </w:r>
      <w:r w:rsidR="0027565D">
        <w:rPr>
          <w:rFonts w:ascii="Times New Roman" w:hAnsi="Times New Roman" w:cs="Times New Roman"/>
          <w:sz w:val="24"/>
          <w:szCs w:val="24"/>
        </w:rPr>
        <w:t>o da responsabilidade civil e</w:t>
      </w:r>
      <w:r w:rsidR="00971B3F">
        <w:rPr>
          <w:rFonts w:ascii="Times New Roman" w:hAnsi="Times New Roman" w:cs="Times New Roman"/>
          <w:sz w:val="24"/>
          <w:szCs w:val="24"/>
        </w:rPr>
        <w:t xml:space="preserve"> que atinge d</w:t>
      </w:r>
      <w:r w:rsidR="0093426E">
        <w:rPr>
          <w:rFonts w:ascii="Times New Roman" w:hAnsi="Times New Roman" w:cs="Times New Roman"/>
          <w:sz w:val="24"/>
          <w:szCs w:val="24"/>
        </w:rPr>
        <w:t>iretamente o direito proce</w:t>
      </w:r>
      <w:r w:rsidR="0027565D">
        <w:rPr>
          <w:rFonts w:ascii="Times New Roman" w:hAnsi="Times New Roman" w:cs="Times New Roman"/>
          <w:sz w:val="24"/>
          <w:szCs w:val="24"/>
        </w:rPr>
        <w:t>ssual e mais, sob a ótica da instrumentalidade da pretensão, se é oportuna</w:t>
      </w:r>
      <w:r w:rsidR="0093426E">
        <w:rPr>
          <w:rFonts w:ascii="Times New Roman" w:hAnsi="Times New Roman" w:cs="Times New Roman"/>
          <w:sz w:val="24"/>
          <w:szCs w:val="24"/>
        </w:rPr>
        <w:t>a aplicação do direito material na realidade processual</w:t>
      </w:r>
      <w:r w:rsidR="0093426E">
        <w:rPr>
          <w:rStyle w:val="Refdenotaderodap"/>
          <w:rFonts w:ascii="Times New Roman" w:hAnsi="Times New Roman" w:cs="Times New Roman"/>
          <w:sz w:val="24"/>
          <w:szCs w:val="24"/>
        </w:rPr>
        <w:footnoteReference w:id="15"/>
      </w:r>
      <w:r w:rsidR="0093426E">
        <w:rPr>
          <w:rFonts w:ascii="Times New Roman" w:hAnsi="Times New Roman" w:cs="Times New Roman"/>
          <w:sz w:val="24"/>
          <w:szCs w:val="24"/>
        </w:rPr>
        <w:t>.</w:t>
      </w:r>
    </w:p>
    <w:p w:rsidR="0078429B" w:rsidRDefault="0078429B" w:rsidP="00D52174">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dos pontos principais da discussão gira em torno da legitimidade da ultima pessoa a quem o adquirente pode notificar, pois concebendo essa inovação no âmbito do processo implica reconhecer a existência de uma legitimação extraordinária, ou seja, </w:t>
      </w:r>
      <w:r w:rsidR="0027565D">
        <w:rPr>
          <w:rFonts w:ascii="Times New Roman" w:hAnsi="Times New Roman" w:cs="Times New Roman"/>
          <w:sz w:val="24"/>
          <w:szCs w:val="24"/>
        </w:rPr>
        <w:t xml:space="preserve">autorizar que </w:t>
      </w:r>
      <w:r>
        <w:rPr>
          <w:rFonts w:ascii="Times New Roman" w:hAnsi="Times New Roman" w:cs="Times New Roman"/>
          <w:sz w:val="24"/>
          <w:szCs w:val="24"/>
        </w:rPr>
        <w:t>a responsabilidade de uma pessoa recai</w:t>
      </w:r>
      <w:r w:rsidR="0027565D">
        <w:rPr>
          <w:rFonts w:ascii="Times New Roman" w:hAnsi="Times New Roman" w:cs="Times New Roman"/>
          <w:sz w:val="24"/>
          <w:szCs w:val="24"/>
        </w:rPr>
        <w:t>a</w:t>
      </w:r>
      <w:r>
        <w:rPr>
          <w:rFonts w:ascii="Times New Roman" w:hAnsi="Times New Roman" w:cs="Times New Roman"/>
          <w:sz w:val="24"/>
          <w:szCs w:val="24"/>
        </w:rPr>
        <w:t xml:space="preserve"> para outra</w:t>
      </w:r>
      <w:r w:rsidR="0027565D">
        <w:rPr>
          <w:rFonts w:ascii="Times New Roman" w:hAnsi="Times New Roman" w:cs="Times New Roman"/>
          <w:sz w:val="24"/>
          <w:szCs w:val="24"/>
        </w:rPr>
        <w:t>,</w:t>
      </w:r>
      <w:r>
        <w:rPr>
          <w:rFonts w:ascii="Times New Roman" w:hAnsi="Times New Roman" w:cs="Times New Roman"/>
          <w:sz w:val="24"/>
          <w:szCs w:val="24"/>
        </w:rPr>
        <w:t xml:space="preserve"> com quem o autor, adquirente, não teve nenhuma “relação jurídica de direito material subjacente que os un</w:t>
      </w:r>
      <w:r w:rsidR="0027565D">
        <w:rPr>
          <w:rFonts w:ascii="Times New Roman" w:hAnsi="Times New Roman" w:cs="Times New Roman"/>
          <w:sz w:val="24"/>
          <w:szCs w:val="24"/>
        </w:rPr>
        <w:t>a</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w:t>
      </w:r>
      <w:r w:rsidR="00AB14C7">
        <w:rPr>
          <w:rFonts w:ascii="Times New Roman" w:hAnsi="Times New Roman" w:cs="Times New Roman"/>
          <w:sz w:val="24"/>
          <w:szCs w:val="24"/>
        </w:rPr>
        <w:t xml:space="preserve">. </w:t>
      </w:r>
    </w:p>
    <w:p w:rsidR="00C64855" w:rsidRDefault="0078429B" w:rsidP="00D52174">
      <w:pPr>
        <w:tabs>
          <w:tab w:val="left" w:pos="6105"/>
        </w:tabs>
        <w:spacing w:after="0" w:line="360" w:lineRule="auto"/>
        <w:ind w:firstLine="1134"/>
        <w:jc w:val="both"/>
        <w:rPr>
          <w:rFonts w:ascii="Times New Roman" w:hAnsi="Times New Roman" w:cs="Times New Roman"/>
          <w:sz w:val="24"/>
          <w:szCs w:val="24"/>
        </w:rPr>
      </w:pPr>
      <w:r w:rsidRPr="008006ED">
        <w:rPr>
          <w:rFonts w:ascii="Times New Roman" w:hAnsi="Times New Roman" w:cs="Times New Roman"/>
          <w:sz w:val="24"/>
          <w:szCs w:val="24"/>
        </w:rPr>
        <w:t>Diante de tal fato, surg</w:t>
      </w:r>
      <w:r w:rsidR="008006ED" w:rsidRPr="008006ED">
        <w:rPr>
          <w:rFonts w:ascii="Times New Roman" w:hAnsi="Times New Roman" w:cs="Times New Roman"/>
          <w:sz w:val="24"/>
          <w:szCs w:val="24"/>
        </w:rPr>
        <w:t xml:space="preserve">iram diversos </w:t>
      </w:r>
      <w:r w:rsidRPr="008006ED">
        <w:rPr>
          <w:rFonts w:ascii="Times New Roman" w:hAnsi="Times New Roman" w:cs="Times New Roman"/>
          <w:sz w:val="24"/>
          <w:szCs w:val="24"/>
        </w:rPr>
        <w:t>posicionamentos doutrinários</w:t>
      </w:r>
      <w:r w:rsidR="00FB2B87">
        <w:rPr>
          <w:rFonts w:ascii="Times New Roman" w:hAnsi="Times New Roman" w:cs="Times New Roman"/>
          <w:sz w:val="24"/>
          <w:szCs w:val="24"/>
        </w:rPr>
        <w:t>que</w:t>
      </w:r>
      <w:r w:rsidR="002F283C">
        <w:rPr>
          <w:rFonts w:ascii="Times New Roman" w:hAnsi="Times New Roman" w:cs="Times New Roman"/>
          <w:sz w:val="24"/>
          <w:szCs w:val="24"/>
        </w:rPr>
        <w:t xml:space="preserve"> nos auxiliam a enxergar os efeitos </w:t>
      </w:r>
      <w:r w:rsidR="004A6CC2">
        <w:rPr>
          <w:rFonts w:ascii="Times New Roman" w:hAnsi="Times New Roman" w:cs="Times New Roman"/>
          <w:sz w:val="24"/>
          <w:szCs w:val="24"/>
        </w:rPr>
        <w:t>exat</w:t>
      </w:r>
      <w:r w:rsidR="002F283C">
        <w:rPr>
          <w:rFonts w:ascii="Times New Roman" w:hAnsi="Times New Roman" w:cs="Times New Roman"/>
          <w:sz w:val="24"/>
          <w:szCs w:val="24"/>
        </w:rPr>
        <w:t>os da inovação sob várias perspectivas</w:t>
      </w:r>
      <w:r w:rsidR="004A6CC2">
        <w:rPr>
          <w:rFonts w:ascii="Times New Roman" w:hAnsi="Times New Roman" w:cs="Times New Roman"/>
          <w:sz w:val="24"/>
          <w:szCs w:val="24"/>
        </w:rPr>
        <w:t>.  DIDIER (2012, p. 378), para ser mais preciso, divide em cinco as possíveis interpretações</w:t>
      </w:r>
      <w:r w:rsidR="00C64855">
        <w:rPr>
          <w:rFonts w:ascii="Times New Roman" w:hAnsi="Times New Roman" w:cs="Times New Roman"/>
          <w:sz w:val="24"/>
          <w:szCs w:val="24"/>
        </w:rPr>
        <w:t xml:space="preserve">. </w:t>
      </w:r>
      <w:r w:rsidR="002F283C" w:rsidRPr="002F283C">
        <w:rPr>
          <w:rFonts w:ascii="Times New Roman" w:hAnsi="Times New Roman" w:cs="Times New Roman"/>
          <w:sz w:val="24"/>
          <w:szCs w:val="24"/>
        </w:rPr>
        <w:t>Guilherme D’aguiar</w:t>
      </w:r>
      <w:r w:rsidR="00C64855">
        <w:rPr>
          <w:rFonts w:ascii="Times New Roman" w:hAnsi="Times New Roman" w:cs="Times New Roman"/>
          <w:sz w:val="24"/>
          <w:szCs w:val="24"/>
        </w:rPr>
        <w:t xml:space="preserve"> em sua monografia</w:t>
      </w:r>
      <w:r w:rsidR="002F283C">
        <w:rPr>
          <w:rStyle w:val="Refdenotaderodap"/>
          <w:rFonts w:ascii="Times New Roman" w:hAnsi="Times New Roman" w:cs="Times New Roman"/>
          <w:sz w:val="24"/>
          <w:szCs w:val="24"/>
        </w:rPr>
        <w:footnoteReference w:id="17"/>
      </w:r>
      <w:r w:rsidR="002F283C">
        <w:rPr>
          <w:rFonts w:ascii="Times New Roman" w:hAnsi="Times New Roman" w:cs="Times New Roman"/>
          <w:sz w:val="24"/>
          <w:szCs w:val="24"/>
        </w:rPr>
        <w:t>para a obtenção do título de bacharel em Direito, explica em síntese no</w:t>
      </w:r>
      <w:r w:rsidR="00C64855">
        <w:rPr>
          <w:rFonts w:ascii="Times New Roman" w:hAnsi="Times New Roman" w:cs="Times New Roman"/>
          <w:sz w:val="24"/>
          <w:szCs w:val="24"/>
        </w:rPr>
        <w:t xml:space="preserve"> que consiste a discussão maior dos doutrinadores: </w:t>
      </w:r>
    </w:p>
    <w:p w:rsidR="00C01A3B" w:rsidRPr="00201A4C" w:rsidRDefault="00C64855" w:rsidP="00201A4C">
      <w:pPr>
        <w:tabs>
          <w:tab w:val="left" w:pos="6105"/>
        </w:tabs>
        <w:spacing w:after="0" w:line="240" w:lineRule="auto"/>
        <w:ind w:left="2268"/>
        <w:jc w:val="both"/>
        <w:rPr>
          <w:rFonts w:ascii="Times New Roman" w:hAnsi="Times New Roman" w:cs="Times New Roman"/>
          <w:sz w:val="20"/>
          <w:szCs w:val="20"/>
        </w:rPr>
      </w:pPr>
      <w:r w:rsidRPr="00C64855">
        <w:rPr>
          <w:rFonts w:ascii="Times New Roman" w:hAnsi="Times New Roman" w:cs="Times New Roman"/>
          <w:sz w:val="20"/>
          <w:szCs w:val="20"/>
        </w:rPr>
        <w:t xml:space="preserve">Cumpre ressaltar, desde logo, que as discussões surgidas estão, segundo a maioria dos doutrinadores, adstritas à hipótese de denunciação da lide prevista no art. </w:t>
      </w:r>
      <w:r>
        <w:rPr>
          <w:rFonts w:ascii="Times New Roman" w:hAnsi="Times New Roman" w:cs="Times New Roman"/>
          <w:sz w:val="20"/>
          <w:szCs w:val="20"/>
        </w:rPr>
        <w:t>70, inciso I, do CP</w:t>
      </w:r>
      <w:r w:rsidRPr="00C64855">
        <w:rPr>
          <w:rFonts w:ascii="Times New Roman" w:hAnsi="Times New Roman" w:cs="Times New Roman"/>
          <w:sz w:val="20"/>
          <w:szCs w:val="20"/>
        </w:rPr>
        <w:t>C., que disciplina o procedimento nos casos de evicção que, na clássica definição de Clóvis Beviláqua, consiste na “perda da coisa, por força da sentença judicial, que a atribui a outrem, por direito anterior ao contrato aquisitivo</w:t>
      </w:r>
      <w:r w:rsidR="00924BDE">
        <w:rPr>
          <w:rFonts w:ascii="Times New Roman" w:hAnsi="Times New Roman" w:cs="Times New Roman"/>
          <w:sz w:val="20"/>
          <w:szCs w:val="20"/>
        </w:rPr>
        <w:t>.</w:t>
      </w:r>
    </w:p>
    <w:p w:rsidR="004A6CC2" w:rsidRDefault="00C01A3B" w:rsidP="00924BDE">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Pr="00C01A3B">
        <w:rPr>
          <w:rFonts w:ascii="Times New Roman" w:hAnsi="Times New Roman" w:cs="Times New Roman"/>
          <w:i/>
          <w:sz w:val="24"/>
          <w:szCs w:val="24"/>
        </w:rPr>
        <w:t>priori</w:t>
      </w:r>
      <w:r>
        <w:rPr>
          <w:rFonts w:ascii="Times New Roman" w:hAnsi="Times New Roman" w:cs="Times New Roman"/>
          <w:sz w:val="24"/>
          <w:szCs w:val="24"/>
        </w:rPr>
        <w:t>, explanar-se-á as posições doutrinárias favoráveis à possibilidade da denunciação da lide. Tal entendimento é defendido por</w:t>
      </w:r>
      <w:r w:rsidR="004A6CC2">
        <w:rPr>
          <w:rFonts w:ascii="Times New Roman" w:hAnsi="Times New Roman" w:cs="Times New Roman"/>
          <w:sz w:val="24"/>
          <w:szCs w:val="24"/>
        </w:rPr>
        <w:t xml:space="preserve"> Nelson Nery Jr. E Rosa Nery</w:t>
      </w:r>
      <w:r w:rsidR="004A6CC2">
        <w:rPr>
          <w:rStyle w:val="Refdenotaderodap"/>
          <w:rFonts w:ascii="Times New Roman" w:hAnsi="Times New Roman" w:cs="Times New Roman"/>
          <w:sz w:val="24"/>
          <w:szCs w:val="24"/>
        </w:rPr>
        <w:footnoteReference w:id="18"/>
      </w:r>
      <w:r w:rsidR="004A6CC2">
        <w:rPr>
          <w:rFonts w:ascii="Times New Roman" w:hAnsi="Times New Roman" w:cs="Times New Roman"/>
          <w:sz w:val="24"/>
          <w:szCs w:val="24"/>
        </w:rPr>
        <w:t>, sob o</w:t>
      </w:r>
      <w:r w:rsidR="002F283C">
        <w:rPr>
          <w:rFonts w:ascii="Times New Roman" w:hAnsi="Times New Roman" w:cs="Times New Roman"/>
          <w:sz w:val="24"/>
          <w:szCs w:val="24"/>
        </w:rPr>
        <w:t>s quais</w:t>
      </w:r>
      <w:r w:rsidR="004A6CC2">
        <w:rPr>
          <w:rFonts w:ascii="Times New Roman" w:hAnsi="Times New Roman" w:cs="Times New Roman"/>
          <w:sz w:val="24"/>
          <w:szCs w:val="24"/>
        </w:rPr>
        <w:t xml:space="preserve"> admitem a possibi</w:t>
      </w:r>
      <w:r w:rsidR="00FB2B87">
        <w:rPr>
          <w:rFonts w:ascii="Times New Roman" w:hAnsi="Times New Roman" w:cs="Times New Roman"/>
          <w:sz w:val="24"/>
          <w:szCs w:val="24"/>
        </w:rPr>
        <w:t xml:space="preserve">lidade da denunciação da lide </w:t>
      </w:r>
      <w:r w:rsidR="00FB2B87" w:rsidRPr="00FB2B87">
        <w:rPr>
          <w:rFonts w:ascii="Times New Roman" w:hAnsi="Times New Roman" w:cs="Times New Roman"/>
          <w:i/>
          <w:sz w:val="24"/>
          <w:szCs w:val="24"/>
        </w:rPr>
        <w:t>pe</w:t>
      </w:r>
      <w:r w:rsidR="004A6CC2" w:rsidRPr="00FB2B87">
        <w:rPr>
          <w:rFonts w:ascii="Times New Roman" w:hAnsi="Times New Roman" w:cs="Times New Roman"/>
          <w:i/>
          <w:sz w:val="24"/>
          <w:szCs w:val="24"/>
        </w:rPr>
        <w:t>r saltum,</w:t>
      </w:r>
      <w:r w:rsidR="002F283C">
        <w:rPr>
          <w:rFonts w:ascii="Times New Roman" w:hAnsi="Times New Roman" w:cs="Times New Roman"/>
          <w:sz w:val="24"/>
          <w:szCs w:val="24"/>
        </w:rPr>
        <w:t xml:space="preserve"> por considerar o</w:t>
      </w:r>
      <w:r w:rsidR="004A6CC2">
        <w:rPr>
          <w:rFonts w:ascii="Times New Roman" w:hAnsi="Times New Roman" w:cs="Times New Roman"/>
          <w:sz w:val="24"/>
          <w:szCs w:val="24"/>
        </w:rPr>
        <w:t xml:space="preserve"> caso como uma hipótese de sub-rogação legal:</w:t>
      </w:r>
    </w:p>
    <w:p w:rsidR="004A6CC2" w:rsidRDefault="004A6CC2" w:rsidP="004A6CC2">
      <w:pPr>
        <w:tabs>
          <w:tab w:val="left" w:pos="6105"/>
        </w:tabs>
        <w:spacing w:after="0" w:line="240" w:lineRule="auto"/>
        <w:ind w:left="2268"/>
        <w:jc w:val="both"/>
        <w:rPr>
          <w:rFonts w:ascii="Times New Roman" w:hAnsi="Times New Roman" w:cs="Times New Roman"/>
          <w:sz w:val="24"/>
          <w:szCs w:val="24"/>
        </w:rPr>
      </w:pPr>
      <w:r w:rsidRPr="004A6CC2">
        <w:rPr>
          <w:rFonts w:ascii="Times New Roman" w:hAnsi="Times New Roman" w:cs="Times New Roman"/>
          <w:sz w:val="20"/>
          <w:szCs w:val="20"/>
        </w:rPr>
        <w:t xml:space="preserve">O CC autoriza o adquirente a denunciar a lide ao alienante imediato, com quem ele tem relação jurídica convencional, como também a qualquer outro alienante que conste na cadeia de alienação. Neste ultimo caso, ocorre o caso ocorre a denunciação da lide </w:t>
      </w:r>
      <w:r w:rsidRPr="004A6CC2">
        <w:rPr>
          <w:rFonts w:ascii="Times New Roman" w:hAnsi="Times New Roman" w:cs="Times New Roman"/>
          <w:i/>
          <w:sz w:val="20"/>
          <w:szCs w:val="20"/>
        </w:rPr>
        <w:t>per saltum</w:t>
      </w:r>
      <w:r w:rsidRPr="004A6CC2">
        <w:rPr>
          <w:rFonts w:ascii="Times New Roman" w:hAnsi="Times New Roman" w:cs="Times New Roman"/>
          <w:sz w:val="20"/>
          <w:szCs w:val="20"/>
        </w:rPr>
        <w:t>, por força da sub-rogação legal constante do CC 456: o adquirente se sub-roga nos direitos de qualquer dos demais adquirentes da cadeia de alienação no que tange ao exercimento dos direitos que decorrem da evicção</w:t>
      </w:r>
      <w:r>
        <w:rPr>
          <w:rFonts w:ascii="Times New Roman" w:hAnsi="Times New Roman" w:cs="Times New Roman"/>
          <w:sz w:val="24"/>
          <w:szCs w:val="24"/>
        </w:rPr>
        <w:t>.</w:t>
      </w:r>
    </w:p>
    <w:p w:rsidR="00201A4C" w:rsidRDefault="00FB2B87" w:rsidP="002F283C">
      <w:pPr>
        <w:tabs>
          <w:tab w:val="left" w:pos="6105"/>
        </w:tabs>
        <w:spacing w:after="0" w:line="360" w:lineRule="auto"/>
        <w:ind w:firstLine="1134"/>
        <w:jc w:val="both"/>
        <w:rPr>
          <w:rFonts w:ascii="Times New Roman" w:hAnsi="Times New Roman" w:cs="Times New Roman"/>
          <w:sz w:val="24"/>
          <w:szCs w:val="24"/>
        </w:rPr>
      </w:pPr>
      <w:r w:rsidRPr="00FB2B87">
        <w:rPr>
          <w:rFonts w:ascii="Times New Roman" w:hAnsi="Times New Roman" w:cs="Times New Roman"/>
          <w:sz w:val="24"/>
          <w:szCs w:val="24"/>
        </w:rPr>
        <w:t>Para Moniz Aragão</w:t>
      </w:r>
      <w:r>
        <w:rPr>
          <w:rStyle w:val="Refdenotaderodap"/>
          <w:rFonts w:ascii="Times New Roman" w:hAnsi="Times New Roman" w:cs="Times New Roman"/>
          <w:sz w:val="24"/>
          <w:szCs w:val="24"/>
        </w:rPr>
        <w:footnoteReference w:id="19"/>
      </w:r>
      <w:r w:rsidRPr="00FB2B87">
        <w:rPr>
          <w:rFonts w:ascii="Times New Roman" w:hAnsi="Times New Roman" w:cs="Times New Roman"/>
          <w:sz w:val="24"/>
          <w:szCs w:val="24"/>
        </w:rPr>
        <w:t>, a denunciação da lide consagra uma possibilidade de denunciação da lide coletiva,</w:t>
      </w:r>
      <w:r w:rsidR="003E1C36">
        <w:rPr>
          <w:rFonts w:ascii="Times New Roman" w:hAnsi="Times New Roman" w:cs="Times New Roman"/>
          <w:sz w:val="24"/>
          <w:szCs w:val="24"/>
        </w:rPr>
        <w:t xml:space="preserve"> “</w:t>
      </w:r>
      <w:r w:rsidR="003E1C36" w:rsidRPr="003E1C36">
        <w:rPr>
          <w:rFonts w:ascii="Times New Roman" w:hAnsi="Times New Roman" w:cs="Times New Roman"/>
          <w:sz w:val="24"/>
          <w:szCs w:val="24"/>
        </w:rPr>
        <w:t>cuj</w:t>
      </w:r>
      <w:r w:rsidR="002F283C">
        <w:rPr>
          <w:rFonts w:ascii="Times New Roman" w:hAnsi="Times New Roman" w:cs="Times New Roman"/>
          <w:sz w:val="24"/>
          <w:szCs w:val="24"/>
        </w:rPr>
        <w:t>o</w:t>
      </w:r>
      <w:r w:rsidR="003E1C36" w:rsidRPr="003E1C36">
        <w:rPr>
          <w:rFonts w:ascii="Times New Roman" w:hAnsi="Times New Roman" w:cs="Times New Roman"/>
          <w:sz w:val="24"/>
          <w:szCs w:val="24"/>
        </w:rPr>
        <w:t xml:space="preserve"> alcance se daria, de uma só vez, sobre todos os integrantes da cadeia de transmissões do mesmo bem</w:t>
      </w:r>
      <w:r w:rsidR="002F283C">
        <w:rPr>
          <w:rFonts w:ascii="Times New Roman" w:hAnsi="Times New Roman" w:cs="Times New Roman"/>
          <w:sz w:val="24"/>
          <w:szCs w:val="24"/>
        </w:rPr>
        <w:t>”</w:t>
      </w:r>
      <w:r w:rsidR="003E1C36">
        <w:rPr>
          <w:rStyle w:val="Refdenotaderodap"/>
          <w:rFonts w:ascii="Times New Roman" w:hAnsi="Times New Roman" w:cs="Times New Roman"/>
          <w:sz w:val="24"/>
          <w:szCs w:val="24"/>
        </w:rPr>
        <w:footnoteReference w:id="20"/>
      </w:r>
      <w:r w:rsidRPr="00FB2B87">
        <w:rPr>
          <w:rFonts w:ascii="Times New Roman" w:hAnsi="Times New Roman" w:cs="Times New Roman"/>
          <w:sz w:val="24"/>
          <w:szCs w:val="24"/>
        </w:rPr>
        <w:t xml:space="preserve"> para que o processo seja mais eficaz a fim de evitar as dificuldades das denunciações sucessivas. </w:t>
      </w:r>
      <w:r w:rsidR="002F283C">
        <w:rPr>
          <w:rFonts w:ascii="Times New Roman" w:hAnsi="Times New Roman" w:cs="Times New Roman"/>
          <w:sz w:val="24"/>
          <w:szCs w:val="24"/>
        </w:rPr>
        <w:t>Dessa forma</w:t>
      </w:r>
      <w:r w:rsidRPr="00FB2B87">
        <w:rPr>
          <w:rFonts w:ascii="Times New Roman" w:hAnsi="Times New Roman" w:cs="Times New Roman"/>
          <w:sz w:val="24"/>
          <w:szCs w:val="24"/>
        </w:rPr>
        <w:t>, a inovação permitiria a possibilidade do adquirente denunciar a lide de uma só vez a todos que compusessem a cadeia sucessória</w:t>
      </w:r>
      <w:r>
        <w:rPr>
          <w:rFonts w:ascii="Times New Roman" w:hAnsi="Times New Roman" w:cs="Times New Roman"/>
          <w:sz w:val="24"/>
          <w:szCs w:val="24"/>
        </w:rPr>
        <w:t xml:space="preserve">. </w:t>
      </w:r>
    </w:p>
    <w:p w:rsidR="00201A4C" w:rsidRDefault="00201A4C" w:rsidP="00924BDE">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destoa desse entendimento Scarpinella Bueno, que percebe que a analise de forma isolada do Código Civil dá a impressão imediata de que está aberta a possibilidade da denunciação da lide per saltum.</w:t>
      </w:r>
      <w:r w:rsidR="0013581B">
        <w:rPr>
          <w:rFonts w:ascii="Times New Roman" w:hAnsi="Times New Roman" w:cs="Times New Roman"/>
          <w:sz w:val="24"/>
          <w:szCs w:val="24"/>
        </w:rPr>
        <w:t xml:space="preserve"> Dessa forma, leciona</w:t>
      </w:r>
      <w:r w:rsidR="0013581B">
        <w:rPr>
          <w:rStyle w:val="Refdenotaderodap"/>
          <w:rFonts w:ascii="Times New Roman" w:hAnsi="Times New Roman" w:cs="Times New Roman"/>
          <w:sz w:val="24"/>
          <w:szCs w:val="24"/>
        </w:rPr>
        <w:footnoteReference w:id="21"/>
      </w:r>
      <w:r w:rsidR="0013581B">
        <w:rPr>
          <w:rFonts w:ascii="Times New Roman" w:hAnsi="Times New Roman" w:cs="Times New Roman"/>
          <w:sz w:val="24"/>
          <w:szCs w:val="24"/>
        </w:rPr>
        <w:t>:</w:t>
      </w:r>
    </w:p>
    <w:p w:rsidR="0013581B" w:rsidRPr="00CC26DC" w:rsidRDefault="0013581B" w:rsidP="00CC26DC">
      <w:pPr>
        <w:tabs>
          <w:tab w:val="left" w:pos="6105"/>
        </w:tabs>
        <w:spacing w:after="0" w:line="240" w:lineRule="auto"/>
        <w:ind w:left="2268"/>
        <w:jc w:val="both"/>
        <w:rPr>
          <w:rFonts w:ascii="Times New Roman" w:hAnsi="Times New Roman" w:cs="Times New Roman"/>
          <w:sz w:val="20"/>
          <w:szCs w:val="20"/>
        </w:rPr>
      </w:pPr>
      <w:r w:rsidRPr="00CC26DC">
        <w:rPr>
          <w:rFonts w:ascii="Times New Roman" w:hAnsi="Times New Roman" w:cs="Times New Roman"/>
          <w:sz w:val="20"/>
          <w:szCs w:val="20"/>
        </w:rPr>
        <w:t>Para dar entendimento ao novo texto da lei material parece ser possível, a partir da vigência da Lei 10.406, de 10 de janeiro de 2002, que a denunciação da lide não se dê, necessariamente e em qualquer caso, ao alienante imediato, de quem</w:t>
      </w:r>
      <w:r w:rsidR="00A30B7C" w:rsidRPr="00CC26DC">
        <w:rPr>
          <w:rFonts w:ascii="Times New Roman" w:hAnsi="Times New Roman" w:cs="Times New Roman"/>
          <w:sz w:val="20"/>
          <w:szCs w:val="20"/>
        </w:rPr>
        <w:t xml:space="preserve"> o denunciante adquiriu o bem ou direito questionado em juízo</w:t>
      </w:r>
      <w:r w:rsidR="002F283C" w:rsidRPr="00CC26DC">
        <w:rPr>
          <w:rFonts w:ascii="Times New Roman" w:hAnsi="Times New Roman" w:cs="Times New Roman"/>
          <w:sz w:val="20"/>
          <w:szCs w:val="20"/>
        </w:rPr>
        <w:t>, mas</w:t>
      </w:r>
      <w:r w:rsidR="00A30B7C" w:rsidRPr="00CC26DC">
        <w:rPr>
          <w:rFonts w:ascii="Times New Roman" w:hAnsi="Times New Roman" w:cs="Times New Roman"/>
          <w:sz w:val="20"/>
          <w:szCs w:val="20"/>
        </w:rPr>
        <w:t xml:space="preserve"> a qualquer outro dos anteriores, independentemente da ordem das alienações no plano </w:t>
      </w:r>
      <w:r w:rsidR="002F283C" w:rsidRPr="00CC26DC">
        <w:rPr>
          <w:rFonts w:ascii="Times New Roman" w:hAnsi="Times New Roman" w:cs="Times New Roman"/>
          <w:sz w:val="20"/>
          <w:szCs w:val="20"/>
        </w:rPr>
        <w:t>material.</w:t>
      </w:r>
    </w:p>
    <w:p w:rsidR="00A30B7C" w:rsidRDefault="00CC26DC" w:rsidP="00CC26DC">
      <w:pPr>
        <w:tabs>
          <w:tab w:val="left" w:pos="6105"/>
        </w:tabs>
        <w:spacing w:after="0" w:line="240" w:lineRule="auto"/>
        <w:ind w:left="2268"/>
        <w:jc w:val="both"/>
        <w:rPr>
          <w:rFonts w:ascii="Times New Roman" w:hAnsi="Times New Roman" w:cs="Times New Roman"/>
          <w:sz w:val="20"/>
          <w:szCs w:val="20"/>
        </w:rPr>
      </w:pPr>
      <w:r w:rsidRPr="00CC26DC">
        <w:rPr>
          <w:rFonts w:ascii="Times New Roman" w:hAnsi="Times New Roman" w:cs="Times New Roman"/>
          <w:sz w:val="20"/>
          <w:szCs w:val="20"/>
        </w:rPr>
        <w:t>Passe-se a ser admitida, pois, uma verdadeira ‘denunciação da lide per saltum’ criando, a lei material, a possibilidade de o adquirente litigar em juízo diretamente com pessoas com quem não teve ou não tem qualquer relação jurídica. É dizer, por outras palavras: o novo art.456 do Código Civil cria uma nova espécie de legitimação extraordinária para fins de denunciação da lide.</w:t>
      </w:r>
    </w:p>
    <w:p w:rsidR="00053624" w:rsidRDefault="00053624" w:rsidP="00924BDE">
      <w:pPr>
        <w:tabs>
          <w:tab w:val="left" w:pos="6105"/>
        </w:tabs>
        <w:spacing w:after="0" w:line="360" w:lineRule="auto"/>
        <w:ind w:firstLine="1134"/>
        <w:jc w:val="both"/>
        <w:rPr>
          <w:rFonts w:ascii="Times New Roman" w:hAnsi="Times New Roman" w:cs="Times New Roman"/>
          <w:sz w:val="24"/>
          <w:szCs w:val="24"/>
        </w:rPr>
      </w:pPr>
      <w:r w:rsidRPr="00053624">
        <w:rPr>
          <w:rFonts w:ascii="Times New Roman" w:hAnsi="Times New Roman" w:cs="Times New Roman"/>
          <w:sz w:val="24"/>
          <w:szCs w:val="24"/>
        </w:rPr>
        <w:t>Sobre a doutrina contrária,</w:t>
      </w:r>
      <w:r w:rsidR="002F283C">
        <w:rPr>
          <w:rFonts w:ascii="Times New Roman" w:hAnsi="Times New Roman" w:cs="Times New Roman"/>
          <w:sz w:val="24"/>
          <w:szCs w:val="24"/>
        </w:rPr>
        <w:t xml:space="preserve"> entende-se que </w:t>
      </w:r>
      <w:r w:rsidR="00160E6C">
        <w:rPr>
          <w:rFonts w:ascii="Times New Roman" w:hAnsi="Times New Roman" w:cs="Times New Roman"/>
          <w:sz w:val="24"/>
          <w:szCs w:val="24"/>
        </w:rPr>
        <w:t xml:space="preserve">a alteração por si só não abre espaço para essa novidade de denunciação “por saltos” porque o </w:t>
      </w:r>
      <w:r w:rsidR="00160E6C" w:rsidRPr="00DF741E">
        <w:rPr>
          <w:rFonts w:ascii="Times New Roman" w:hAnsi="Times New Roman" w:cs="Times New Roman"/>
          <w:i/>
          <w:sz w:val="24"/>
          <w:szCs w:val="24"/>
        </w:rPr>
        <w:t>caput</w:t>
      </w:r>
      <w:r w:rsidR="00160E6C">
        <w:rPr>
          <w:rFonts w:ascii="Times New Roman" w:hAnsi="Times New Roman" w:cs="Times New Roman"/>
          <w:sz w:val="24"/>
          <w:szCs w:val="24"/>
        </w:rPr>
        <w:t xml:space="preserve"> do artigo referido (456, do CC) não muda o dever do alienante de notificar o denunciado quando e como “lhe determinarem as leis do processo”</w:t>
      </w:r>
      <w:r w:rsidR="00DF741E">
        <w:rPr>
          <w:rFonts w:ascii="Times New Roman" w:hAnsi="Times New Roman" w:cs="Times New Roman"/>
          <w:sz w:val="24"/>
          <w:szCs w:val="24"/>
        </w:rPr>
        <w:t>, ou seja, não é cabível por força das regras processuais</w:t>
      </w:r>
      <w:r w:rsidR="00160E6C">
        <w:rPr>
          <w:rFonts w:ascii="Times New Roman" w:hAnsi="Times New Roman" w:cs="Times New Roman"/>
          <w:sz w:val="24"/>
          <w:szCs w:val="24"/>
        </w:rPr>
        <w:t>.</w:t>
      </w:r>
      <w:r w:rsidR="00DF741E">
        <w:rPr>
          <w:rFonts w:ascii="Times New Roman" w:hAnsi="Times New Roman" w:cs="Times New Roman"/>
          <w:sz w:val="24"/>
          <w:szCs w:val="24"/>
        </w:rPr>
        <w:t xml:space="preserve"> Assim, </w:t>
      </w:r>
      <w:r w:rsidRPr="00053624">
        <w:rPr>
          <w:rFonts w:ascii="Times New Roman" w:hAnsi="Times New Roman" w:cs="Times New Roman"/>
          <w:sz w:val="24"/>
          <w:szCs w:val="24"/>
        </w:rPr>
        <w:t xml:space="preserve">destaca-se a idéia sugerida por Yarshall, que entende que esta nova regra deve ser compreendida como a exata consagração na legislação da possibilidade de denunciação sucessiva prevista o art. 73 do CPC. Não aceita o </w:t>
      </w:r>
      <w:r w:rsidR="00DF741E">
        <w:rPr>
          <w:rFonts w:ascii="Times New Roman" w:hAnsi="Times New Roman" w:cs="Times New Roman"/>
          <w:sz w:val="24"/>
          <w:szCs w:val="24"/>
        </w:rPr>
        <w:t>reconhecimentod</w:t>
      </w:r>
      <w:r w:rsidRPr="00053624">
        <w:rPr>
          <w:rFonts w:ascii="Times New Roman" w:hAnsi="Times New Roman" w:cs="Times New Roman"/>
          <w:sz w:val="24"/>
          <w:szCs w:val="24"/>
        </w:rPr>
        <w:t xml:space="preserve">a possibilidade de uma denunciação </w:t>
      </w:r>
      <w:r w:rsidRPr="00DF741E">
        <w:rPr>
          <w:rFonts w:ascii="Times New Roman" w:hAnsi="Times New Roman" w:cs="Times New Roman"/>
          <w:i/>
          <w:sz w:val="24"/>
          <w:szCs w:val="24"/>
        </w:rPr>
        <w:t>per saltum</w:t>
      </w:r>
      <w:r w:rsidRPr="00053624">
        <w:rPr>
          <w:rFonts w:ascii="Times New Roman" w:hAnsi="Times New Roman" w:cs="Times New Roman"/>
          <w:sz w:val="24"/>
          <w:szCs w:val="24"/>
        </w:rPr>
        <w:t>, que permitiria que o alienante, provavelmente aquele que tivesse maior capacidade econômica, pudesse responder por diferentes indenizações, de diferentes adquirentes</w:t>
      </w:r>
      <w:r w:rsidRPr="00053624">
        <w:rPr>
          <w:rStyle w:val="Refdenotaderodap"/>
          <w:rFonts w:ascii="Times New Roman" w:hAnsi="Times New Roman" w:cs="Times New Roman"/>
          <w:sz w:val="24"/>
          <w:szCs w:val="24"/>
        </w:rPr>
        <w:footnoteReference w:id="22"/>
      </w:r>
      <w:r>
        <w:rPr>
          <w:rFonts w:ascii="Times New Roman" w:hAnsi="Times New Roman" w:cs="Times New Roman"/>
          <w:sz w:val="24"/>
          <w:szCs w:val="24"/>
        </w:rPr>
        <w:t>. Nesse ponto é correto ressaltar a afronta ao artigo 6</w:t>
      </w:r>
      <w:r w:rsidR="002F283C">
        <w:rPr>
          <w:rFonts w:ascii="Times New Roman" w:hAnsi="Times New Roman" w:cs="Times New Roman"/>
          <w:sz w:val="24"/>
          <w:szCs w:val="24"/>
        </w:rPr>
        <w:t>º</w:t>
      </w:r>
      <w:r w:rsidR="002F283C">
        <w:rPr>
          <w:rStyle w:val="Refdenotaderodap"/>
          <w:rFonts w:ascii="Times New Roman" w:hAnsi="Times New Roman" w:cs="Times New Roman"/>
          <w:sz w:val="24"/>
          <w:szCs w:val="24"/>
        </w:rPr>
        <w:footnoteReference w:id="23"/>
      </w:r>
      <w:r>
        <w:rPr>
          <w:rFonts w:ascii="Times New Roman" w:hAnsi="Times New Roman" w:cs="Times New Roman"/>
          <w:sz w:val="24"/>
          <w:szCs w:val="24"/>
        </w:rPr>
        <w:t xml:space="preserve"> do Código de Processo Civil.</w:t>
      </w:r>
    </w:p>
    <w:p w:rsidR="00DF741E" w:rsidRDefault="00DF741E" w:rsidP="00924BDE">
      <w:pPr>
        <w:tabs>
          <w:tab w:val="left" w:pos="6105"/>
        </w:tabs>
        <w:spacing w:after="0" w:line="360" w:lineRule="auto"/>
        <w:ind w:firstLine="1134"/>
        <w:jc w:val="both"/>
        <w:rPr>
          <w:rFonts w:ascii="Times New Roman" w:hAnsi="Times New Roman" w:cs="Times New Roman"/>
          <w:sz w:val="24"/>
          <w:szCs w:val="24"/>
        </w:rPr>
      </w:pPr>
      <w:r w:rsidRPr="00225307">
        <w:rPr>
          <w:rFonts w:ascii="Times New Roman" w:hAnsi="Times New Roman" w:cs="Times New Roman"/>
          <w:sz w:val="24"/>
          <w:szCs w:val="24"/>
        </w:rPr>
        <w:t xml:space="preserve">Ainda entendendo essa possibilidade como inócua, Alexandre Freitas Câmara nos diz que o </w:t>
      </w:r>
      <w:r w:rsidR="00225307" w:rsidRPr="00225307">
        <w:rPr>
          <w:rFonts w:ascii="Times New Roman" w:hAnsi="Times New Roman" w:cs="Times New Roman"/>
          <w:sz w:val="24"/>
          <w:szCs w:val="24"/>
        </w:rPr>
        <w:t>Código</w:t>
      </w:r>
      <w:r w:rsidRPr="00225307">
        <w:rPr>
          <w:rFonts w:ascii="Times New Roman" w:hAnsi="Times New Roman" w:cs="Times New Roman"/>
          <w:sz w:val="24"/>
          <w:szCs w:val="24"/>
        </w:rPr>
        <w:t xml:space="preserve"> Civil estaria permitindo a denunciação da lide </w:t>
      </w:r>
      <w:r w:rsidRPr="00225307">
        <w:rPr>
          <w:rFonts w:ascii="Times New Roman" w:hAnsi="Times New Roman" w:cs="Times New Roman"/>
          <w:i/>
          <w:sz w:val="24"/>
          <w:szCs w:val="24"/>
        </w:rPr>
        <w:t>per saltum</w:t>
      </w:r>
      <w:r w:rsidRPr="00225307">
        <w:rPr>
          <w:rFonts w:ascii="Times New Roman" w:hAnsi="Times New Roman" w:cs="Times New Roman"/>
          <w:sz w:val="24"/>
          <w:szCs w:val="24"/>
        </w:rPr>
        <w:t xml:space="preserve"> se isoladamente fosse interpretado. Assim, a legislação civil estaria permitindo uma espécie de legitimação extraordinária, que forçaria o adquirentedemandar em face de sujeito de relação jurídica distinta, anterior a sua</w:t>
      </w:r>
      <w:r w:rsidRPr="00225307">
        <w:rPr>
          <w:rStyle w:val="Refdenotaderodap"/>
          <w:rFonts w:ascii="Times New Roman" w:hAnsi="Times New Roman" w:cs="Times New Roman"/>
          <w:sz w:val="24"/>
          <w:szCs w:val="24"/>
        </w:rPr>
        <w:footnoteReference w:id="24"/>
      </w:r>
      <w:r w:rsidRPr="00225307">
        <w:rPr>
          <w:rFonts w:ascii="Times New Roman" w:hAnsi="Times New Roman" w:cs="Times New Roman"/>
          <w:sz w:val="24"/>
          <w:szCs w:val="24"/>
        </w:rPr>
        <w:t>.</w:t>
      </w:r>
      <w:r w:rsidR="00225307" w:rsidRPr="00225307">
        <w:rPr>
          <w:rFonts w:ascii="Times New Roman" w:hAnsi="Times New Roman" w:cs="Times New Roman"/>
          <w:sz w:val="24"/>
          <w:szCs w:val="24"/>
        </w:rPr>
        <w:t xml:space="preserve"> Ou seja, interpretar essa mudança de acordo com o que ela mesm</w:t>
      </w:r>
      <w:r w:rsidR="002F283C">
        <w:rPr>
          <w:rFonts w:ascii="Times New Roman" w:hAnsi="Times New Roman" w:cs="Times New Roman"/>
          <w:sz w:val="24"/>
          <w:szCs w:val="24"/>
        </w:rPr>
        <w:t>a</w:t>
      </w:r>
      <w:r w:rsidR="00225307" w:rsidRPr="00225307">
        <w:rPr>
          <w:rFonts w:ascii="Times New Roman" w:hAnsi="Times New Roman" w:cs="Times New Roman"/>
          <w:sz w:val="24"/>
          <w:szCs w:val="24"/>
        </w:rPr>
        <w:t xml:space="preserve"> preceitua implica a observância do art.73 do CPC, que a</w:t>
      </w:r>
      <w:r w:rsidR="002F283C">
        <w:rPr>
          <w:rFonts w:ascii="Times New Roman" w:hAnsi="Times New Roman" w:cs="Times New Roman"/>
          <w:sz w:val="24"/>
          <w:szCs w:val="24"/>
        </w:rPr>
        <w:t>dmite que as denunciações devam</w:t>
      </w:r>
      <w:r w:rsidR="00225307" w:rsidRPr="00225307">
        <w:rPr>
          <w:rFonts w:ascii="Times New Roman" w:hAnsi="Times New Roman" w:cs="Times New Roman"/>
          <w:sz w:val="24"/>
          <w:szCs w:val="24"/>
        </w:rPr>
        <w:t xml:space="preserve"> ser feitas sucessivamente, e não </w:t>
      </w:r>
      <w:r w:rsidR="00225307" w:rsidRPr="00225307">
        <w:rPr>
          <w:rFonts w:ascii="Times New Roman" w:hAnsi="Times New Roman" w:cs="Times New Roman"/>
          <w:i/>
          <w:sz w:val="24"/>
          <w:szCs w:val="24"/>
        </w:rPr>
        <w:t>“per saltum</w:t>
      </w:r>
      <w:r w:rsidR="00225307" w:rsidRPr="00225307">
        <w:rPr>
          <w:rFonts w:ascii="Times New Roman" w:hAnsi="Times New Roman" w:cs="Times New Roman"/>
          <w:sz w:val="24"/>
          <w:szCs w:val="24"/>
        </w:rPr>
        <w:t>”</w:t>
      </w:r>
      <w:r w:rsidR="00225307">
        <w:rPr>
          <w:rFonts w:ascii="Times New Roman" w:hAnsi="Times New Roman" w:cs="Times New Roman"/>
          <w:sz w:val="24"/>
          <w:szCs w:val="24"/>
        </w:rPr>
        <w:t>.</w:t>
      </w:r>
    </w:p>
    <w:p w:rsidR="00225307" w:rsidRDefault="00225307" w:rsidP="00924BDE">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o citado autor considerar a possibilidade da denunciação da lide </w:t>
      </w:r>
      <w:r w:rsidRPr="00B8121E">
        <w:rPr>
          <w:rFonts w:ascii="Times New Roman" w:hAnsi="Times New Roman" w:cs="Times New Roman"/>
          <w:i/>
          <w:sz w:val="24"/>
          <w:szCs w:val="24"/>
        </w:rPr>
        <w:t>per saltum</w:t>
      </w:r>
      <w:r>
        <w:rPr>
          <w:rFonts w:ascii="Times New Roman" w:hAnsi="Times New Roman" w:cs="Times New Roman"/>
          <w:sz w:val="24"/>
          <w:szCs w:val="24"/>
        </w:rPr>
        <w:t xml:space="preserve"> é uma interpretação apressada</w:t>
      </w:r>
      <w:r w:rsidR="00B8121E">
        <w:rPr>
          <w:rFonts w:ascii="Times New Roman" w:hAnsi="Times New Roman" w:cs="Times New Roman"/>
          <w:sz w:val="24"/>
          <w:szCs w:val="24"/>
        </w:rPr>
        <w:t>, pois admite que se firme a responsabilidade de uma pessoa perante outra que não tem qualquer relação jurídica.</w:t>
      </w:r>
      <w:r w:rsidR="00E6149D">
        <w:rPr>
          <w:rFonts w:ascii="Times New Roman" w:hAnsi="Times New Roman" w:cs="Times New Roman"/>
          <w:sz w:val="24"/>
          <w:szCs w:val="24"/>
        </w:rPr>
        <w:t xml:space="preserve"> Novamente recaindo na não possibilidade dessa leg</w:t>
      </w:r>
      <w:r w:rsidR="001C4905">
        <w:rPr>
          <w:rFonts w:ascii="Times New Roman" w:hAnsi="Times New Roman" w:cs="Times New Roman"/>
          <w:sz w:val="24"/>
          <w:szCs w:val="24"/>
        </w:rPr>
        <w:t>itimação extraordinária</w:t>
      </w:r>
      <w:r w:rsidR="00E6149D">
        <w:rPr>
          <w:rFonts w:ascii="Times New Roman" w:hAnsi="Times New Roman" w:cs="Times New Roman"/>
          <w:sz w:val="24"/>
          <w:szCs w:val="24"/>
        </w:rPr>
        <w:t>,</w:t>
      </w:r>
      <w:r w:rsidR="001C4905">
        <w:rPr>
          <w:rFonts w:ascii="Times New Roman" w:hAnsi="Times New Roman" w:cs="Times New Roman"/>
          <w:sz w:val="24"/>
          <w:szCs w:val="24"/>
        </w:rPr>
        <w:t xml:space="preserve"> já que</w:t>
      </w:r>
      <w:r w:rsidR="00E6149D">
        <w:rPr>
          <w:rFonts w:ascii="Times New Roman" w:hAnsi="Times New Roman" w:cs="Times New Roman"/>
          <w:sz w:val="24"/>
          <w:szCs w:val="24"/>
        </w:rPr>
        <w:t xml:space="preserve"> a lei diz que pode denunciar ao alienante imediato bem como aos anteriores, desde que siga as leis do processo civil, ou seja, observância ao art.73 do CPC.</w:t>
      </w:r>
    </w:p>
    <w:p w:rsidR="0034747A" w:rsidRDefault="0034747A" w:rsidP="0034747A">
      <w:pPr>
        <w:tabs>
          <w:tab w:val="left" w:pos="61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Eis a</w:t>
      </w:r>
      <w:r w:rsidR="00E6149D">
        <w:rPr>
          <w:rFonts w:ascii="Times New Roman" w:hAnsi="Times New Roman" w:cs="Times New Roman"/>
          <w:sz w:val="24"/>
          <w:szCs w:val="24"/>
        </w:rPr>
        <w:t xml:space="preserve"> síntese sobre os posicionamentos do</w:t>
      </w:r>
      <w:r w:rsidR="00AB04A8">
        <w:rPr>
          <w:rFonts w:ascii="Times New Roman" w:hAnsi="Times New Roman" w:cs="Times New Roman"/>
          <w:sz w:val="24"/>
          <w:szCs w:val="24"/>
        </w:rPr>
        <w:t>u</w:t>
      </w:r>
      <w:r w:rsidR="00E6149D">
        <w:rPr>
          <w:rFonts w:ascii="Times New Roman" w:hAnsi="Times New Roman" w:cs="Times New Roman"/>
          <w:sz w:val="24"/>
          <w:szCs w:val="24"/>
        </w:rPr>
        <w:t>trinários</w:t>
      </w:r>
      <w:r w:rsidR="00434D84">
        <w:rPr>
          <w:rFonts w:ascii="Times New Roman" w:hAnsi="Times New Roman" w:cs="Times New Roman"/>
          <w:sz w:val="24"/>
          <w:szCs w:val="24"/>
        </w:rPr>
        <w:t xml:space="preserve"> dos ilustres mestres processualistas</w:t>
      </w:r>
      <w:r w:rsidR="00E6149D">
        <w:rPr>
          <w:rFonts w:ascii="Times New Roman" w:hAnsi="Times New Roman" w:cs="Times New Roman"/>
          <w:sz w:val="24"/>
          <w:szCs w:val="24"/>
        </w:rPr>
        <w:t xml:space="preserve"> acerca tema que é, em gr</w:t>
      </w:r>
      <w:r w:rsidR="00434D84">
        <w:rPr>
          <w:rFonts w:ascii="Times New Roman" w:hAnsi="Times New Roman" w:cs="Times New Roman"/>
          <w:sz w:val="24"/>
          <w:szCs w:val="24"/>
        </w:rPr>
        <w:t>ande medida, admitida, interpre</w:t>
      </w:r>
      <w:r w:rsidR="00E6149D">
        <w:rPr>
          <w:rFonts w:ascii="Times New Roman" w:hAnsi="Times New Roman" w:cs="Times New Roman"/>
          <w:sz w:val="24"/>
          <w:szCs w:val="24"/>
        </w:rPr>
        <w:t>tada em máximo proveito a inovação legislativa e abolida, no sentido de que essa inovação não teria nenhum efeito com relação à denunciação da lide</w:t>
      </w:r>
      <w:r w:rsidR="00434D84">
        <w:rPr>
          <w:rFonts w:ascii="Times New Roman" w:hAnsi="Times New Roman" w:cs="Times New Roman"/>
          <w:sz w:val="24"/>
          <w:szCs w:val="24"/>
        </w:rPr>
        <w:t>, uma vez que o próprio art.456 do CC determina obediência às leis do processo, o qual inad</w:t>
      </w:r>
      <w:r>
        <w:rPr>
          <w:rFonts w:ascii="Times New Roman" w:hAnsi="Times New Roman" w:cs="Times New Roman"/>
          <w:sz w:val="24"/>
          <w:szCs w:val="24"/>
        </w:rPr>
        <w:t>mite a “denunciação por saltos”.</w:t>
      </w:r>
    </w:p>
    <w:p w:rsidR="000F2D7F" w:rsidRDefault="00434D84" w:rsidP="0034747A">
      <w:pPr>
        <w:tabs>
          <w:tab w:val="left" w:pos="6105"/>
        </w:tabs>
        <w:spacing w:after="0" w:line="360" w:lineRule="auto"/>
        <w:ind w:firstLine="1134"/>
        <w:jc w:val="both"/>
        <w:rPr>
          <w:rFonts w:ascii="Times New Roman" w:hAnsi="Times New Roman" w:cs="Times New Roman"/>
          <w:sz w:val="24"/>
          <w:szCs w:val="24"/>
        </w:rPr>
      </w:pPr>
      <w:r w:rsidRPr="000F2D7F">
        <w:rPr>
          <w:rFonts w:ascii="Times New Roman" w:hAnsi="Times New Roman" w:cs="Times New Roman"/>
          <w:sz w:val="24"/>
          <w:szCs w:val="24"/>
        </w:rPr>
        <w:t>Em suma, grande parte da discussão gira em torno da aceitação da legitimação extraordinária</w:t>
      </w:r>
      <w:r w:rsidR="001C4905" w:rsidRPr="000F2D7F">
        <w:rPr>
          <w:rFonts w:ascii="Times New Roman" w:hAnsi="Times New Roman" w:cs="Times New Roman"/>
          <w:sz w:val="24"/>
          <w:szCs w:val="24"/>
        </w:rPr>
        <w:t>, que é o que acontece inevitavelmente quando se aceita a hipótese “por saltos”</w:t>
      </w:r>
      <w:r w:rsidR="000F2D7F">
        <w:rPr>
          <w:rFonts w:ascii="Times New Roman" w:hAnsi="Times New Roman" w:cs="Times New Roman"/>
          <w:sz w:val="24"/>
          <w:szCs w:val="24"/>
        </w:rPr>
        <w:t>. Nesse ponto Dinamarco esclarece:</w:t>
      </w:r>
    </w:p>
    <w:p w:rsidR="001C4905" w:rsidRPr="000F2D7F" w:rsidRDefault="000F2D7F" w:rsidP="00924BD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w:t>
      </w:r>
      <w:r w:rsidRPr="000F2D7F">
        <w:rPr>
          <w:rFonts w:ascii="Times New Roman" w:hAnsi="Times New Roman" w:cs="Times New Roman"/>
          <w:sz w:val="20"/>
          <w:szCs w:val="20"/>
        </w:rPr>
        <w:t>ão há como não querer entenderque a lei civil acabou por criar um caso de legitimação extraordinária para fins de denunciação da lide nos casos de evicção.</w:t>
      </w:r>
      <w:r>
        <w:rPr>
          <w:rFonts w:ascii="Times New Roman" w:hAnsi="Times New Roman" w:cs="Times New Roman"/>
          <w:sz w:val="20"/>
          <w:szCs w:val="20"/>
        </w:rPr>
        <w:t xml:space="preserve"> N</w:t>
      </w:r>
      <w:r w:rsidR="001C4905" w:rsidRPr="000F2D7F">
        <w:rPr>
          <w:rFonts w:ascii="Times New Roman" w:hAnsi="Times New Roman" w:cs="Times New Roman"/>
          <w:sz w:val="20"/>
          <w:szCs w:val="20"/>
        </w:rPr>
        <w:t>o sentido de que a condenação pelaprocedência da ação de denunciação e, oportunamente, sua execução, se dêemindependentemente das relações jurídicas materiais entre denunciante e denunciado. Não hácomo negar que o caso é de litigar em nome próprio também por um direito que não lhepertence</w:t>
      </w:r>
      <w:r>
        <w:rPr>
          <w:rStyle w:val="Refdenotaderodap"/>
          <w:rFonts w:ascii="Times New Roman" w:hAnsi="Times New Roman" w:cs="Times New Roman"/>
          <w:sz w:val="20"/>
          <w:szCs w:val="20"/>
        </w:rPr>
        <w:footnoteReference w:id="25"/>
      </w:r>
      <w:r w:rsidR="001C4905" w:rsidRPr="000F2D7F">
        <w:rPr>
          <w:rFonts w:ascii="Times New Roman" w:hAnsi="Times New Roman" w:cs="Times New Roman"/>
          <w:sz w:val="20"/>
          <w:szCs w:val="20"/>
        </w:rPr>
        <w:t>.</w:t>
      </w:r>
    </w:p>
    <w:p w:rsidR="00434D84" w:rsidRPr="0034747A" w:rsidRDefault="0034747A" w:rsidP="00053624">
      <w:pPr>
        <w:tabs>
          <w:tab w:val="left" w:pos="6105"/>
        </w:tabs>
        <w:spacing w:after="0" w:line="360" w:lineRule="auto"/>
        <w:ind w:firstLine="1134"/>
        <w:jc w:val="both"/>
        <w:rPr>
          <w:rFonts w:ascii="Times New Roman" w:hAnsi="Times New Roman" w:cs="Times New Roman"/>
          <w:sz w:val="24"/>
          <w:szCs w:val="24"/>
        </w:rPr>
      </w:pPr>
      <w:r w:rsidRPr="0034747A">
        <w:rPr>
          <w:rFonts w:ascii="Times New Roman" w:hAnsi="Times New Roman" w:cs="Times New Roman"/>
          <w:sz w:val="24"/>
          <w:szCs w:val="24"/>
        </w:rPr>
        <w:t>Ou seja, gera um conflito entre o próprio artigo 6º do CPC, que veda a hipótese de alguém pleitear direito alheio em nome próprio, com a busca incessante pela celeridade do processo advinda da EC 45/2004, visto que seria</w:t>
      </w:r>
      <w:r w:rsidR="00AB04A8" w:rsidRPr="0034747A">
        <w:rPr>
          <w:rFonts w:ascii="Times New Roman" w:hAnsi="Times New Roman" w:cs="Times New Roman"/>
          <w:sz w:val="24"/>
          <w:szCs w:val="24"/>
        </w:rPr>
        <w:t xml:space="preserve"> facilitada pela admissibilidade da denunciação “por saltos”, e ainda, prezar-se-ia pela economia processual.</w:t>
      </w:r>
    </w:p>
    <w:p w:rsidR="004066EC" w:rsidRPr="00E70779" w:rsidRDefault="004066EC" w:rsidP="004066EC">
      <w:pPr>
        <w:tabs>
          <w:tab w:val="left" w:pos="6105"/>
        </w:tabs>
        <w:spacing w:after="0" w:line="240" w:lineRule="auto"/>
        <w:ind w:firstLine="851"/>
        <w:jc w:val="both"/>
        <w:rPr>
          <w:rFonts w:ascii="Times New Roman" w:hAnsi="Times New Roman" w:cs="Times New Roman"/>
          <w:sz w:val="24"/>
          <w:szCs w:val="24"/>
        </w:rPr>
      </w:pPr>
    </w:p>
    <w:p w:rsidR="003D7C96" w:rsidRPr="00AC3E97" w:rsidRDefault="00950A3C" w:rsidP="00AC3E97">
      <w:pPr>
        <w:pStyle w:val="PargrafodaLista"/>
        <w:numPr>
          <w:ilvl w:val="0"/>
          <w:numId w:val="11"/>
        </w:numPr>
        <w:spacing w:after="0" w:line="360" w:lineRule="auto"/>
        <w:jc w:val="both"/>
        <w:rPr>
          <w:rFonts w:ascii="Times New Roman" w:hAnsi="Times New Roman"/>
          <w:b/>
          <w:sz w:val="24"/>
          <w:szCs w:val="24"/>
          <w:lang w:val="pt-BR"/>
        </w:rPr>
      </w:pPr>
      <w:r w:rsidRPr="00AC3E97">
        <w:rPr>
          <w:rFonts w:ascii="Times New Roman" w:hAnsi="Times New Roman"/>
          <w:b/>
          <w:sz w:val="24"/>
          <w:szCs w:val="24"/>
          <w:lang w:val="pt-BR"/>
        </w:rPr>
        <w:t xml:space="preserve"> O POSICIONAMENTO DO SUPERIOR </w:t>
      </w:r>
      <w:r w:rsidR="004B7BF5" w:rsidRPr="00AC3E97">
        <w:rPr>
          <w:rFonts w:ascii="Times New Roman" w:hAnsi="Times New Roman"/>
          <w:b/>
          <w:sz w:val="24"/>
          <w:szCs w:val="24"/>
          <w:lang w:val="pt-BR"/>
        </w:rPr>
        <w:t xml:space="preserve">TRIBUNAL </w:t>
      </w:r>
      <w:r w:rsidRPr="00AC3E97">
        <w:rPr>
          <w:rFonts w:ascii="Times New Roman" w:hAnsi="Times New Roman"/>
          <w:b/>
          <w:sz w:val="24"/>
          <w:szCs w:val="24"/>
          <w:lang w:val="pt-BR"/>
        </w:rPr>
        <w:t>DE JUSTIÇA</w:t>
      </w:r>
      <w:r w:rsidR="004B7BF5" w:rsidRPr="00AC3E97">
        <w:rPr>
          <w:rFonts w:ascii="Times New Roman" w:hAnsi="Times New Roman"/>
          <w:b/>
          <w:sz w:val="24"/>
          <w:szCs w:val="24"/>
          <w:lang w:val="pt-BR"/>
        </w:rPr>
        <w:t xml:space="preserve"> DIANTE DA QUESTÃO</w:t>
      </w:r>
    </w:p>
    <w:p w:rsidR="003D7C96" w:rsidRDefault="003D7C96" w:rsidP="003D7C96">
      <w:pPr>
        <w:autoSpaceDE w:val="0"/>
        <w:autoSpaceDN w:val="0"/>
        <w:adjustRightInd w:val="0"/>
        <w:spacing w:after="0" w:line="360" w:lineRule="auto"/>
        <w:ind w:firstLine="1134"/>
        <w:jc w:val="both"/>
        <w:rPr>
          <w:rFonts w:ascii="Times New Roman" w:hAnsi="Times New Roman" w:cs="Times New Roman"/>
          <w:sz w:val="24"/>
          <w:szCs w:val="24"/>
        </w:rPr>
      </w:pPr>
      <w:r w:rsidRPr="003D7C96">
        <w:rPr>
          <w:rFonts w:ascii="Times New Roman" w:hAnsi="Times New Roman" w:cs="Times New Roman"/>
          <w:sz w:val="24"/>
          <w:szCs w:val="24"/>
        </w:rPr>
        <w:t xml:space="preserve">A fim de corroborar o entendimento </w:t>
      </w:r>
      <w:r w:rsidR="000777B9">
        <w:rPr>
          <w:rFonts w:ascii="Times New Roman" w:hAnsi="Times New Roman" w:cs="Times New Roman"/>
          <w:sz w:val="24"/>
          <w:szCs w:val="24"/>
        </w:rPr>
        <w:t>evidencia</w:t>
      </w:r>
      <w:r w:rsidRPr="003D7C96">
        <w:rPr>
          <w:rFonts w:ascii="Times New Roman" w:hAnsi="Times New Roman" w:cs="Times New Roman"/>
          <w:sz w:val="24"/>
          <w:szCs w:val="24"/>
        </w:rPr>
        <w:t>-se o entendimento do STJ</w:t>
      </w:r>
      <w:r w:rsidR="00830726">
        <w:rPr>
          <w:rFonts w:ascii="Times New Roman" w:hAnsi="Times New Roman" w:cs="Times New Roman"/>
          <w:sz w:val="24"/>
          <w:szCs w:val="24"/>
        </w:rPr>
        <w:t>, corte apropriada para julgar a matéria, devido ao caráter iminentemente infraconstitucional da matéria.</w:t>
      </w:r>
      <w:r w:rsidRPr="004D0C81">
        <w:rPr>
          <w:rFonts w:ascii="Times New Roman" w:hAnsi="Times New Roman" w:cs="Times New Roman"/>
          <w:sz w:val="24"/>
          <w:szCs w:val="24"/>
        </w:rPr>
        <w:t xml:space="preserve"> Em jurisprudências ma</w:t>
      </w:r>
      <w:r w:rsidR="0076265B">
        <w:rPr>
          <w:rFonts w:ascii="Times New Roman" w:hAnsi="Times New Roman" w:cs="Times New Roman"/>
          <w:sz w:val="24"/>
          <w:szCs w:val="24"/>
        </w:rPr>
        <w:t>i</w:t>
      </w:r>
      <w:r w:rsidRPr="004D0C81">
        <w:rPr>
          <w:rFonts w:ascii="Times New Roman" w:hAnsi="Times New Roman" w:cs="Times New Roman"/>
          <w:sz w:val="24"/>
          <w:szCs w:val="24"/>
        </w:rPr>
        <w:t xml:space="preserve">s antigas observa-se grande resistência a aceitação da possibilidade da denunciação da lide </w:t>
      </w:r>
      <w:r w:rsidRPr="007C79EE">
        <w:rPr>
          <w:rFonts w:ascii="Times New Roman" w:hAnsi="Times New Roman" w:cs="Times New Roman"/>
          <w:i/>
          <w:sz w:val="24"/>
          <w:szCs w:val="24"/>
        </w:rPr>
        <w:t>per saltum</w:t>
      </w:r>
      <w:r w:rsidRPr="004D0C81">
        <w:rPr>
          <w:rFonts w:ascii="Times New Roman" w:hAnsi="Times New Roman" w:cs="Times New Roman"/>
          <w:sz w:val="24"/>
          <w:szCs w:val="24"/>
        </w:rPr>
        <w:t xml:space="preserve">. Assim, </w:t>
      </w:r>
      <w:r w:rsidR="000777B9">
        <w:rPr>
          <w:rFonts w:ascii="Times New Roman" w:hAnsi="Times New Roman" w:cs="Times New Roman"/>
          <w:sz w:val="24"/>
          <w:szCs w:val="24"/>
        </w:rPr>
        <w:t xml:space="preserve">para resolução </w:t>
      </w:r>
      <w:r w:rsidRPr="004D0C81">
        <w:rPr>
          <w:rFonts w:ascii="Times New Roman" w:hAnsi="Times New Roman" w:cs="Times New Roman"/>
          <w:sz w:val="24"/>
          <w:szCs w:val="24"/>
        </w:rPr>
        <w:t>os tribunais “utilizavam de normas infraconstitucionais, ora socorriam-se de normas constitucionais para descartá-la</w:t>
      </w:r>
      <w:r w:rsidR="00437FE7" w:rsidRPr="004D0C81">
        <w:rPr>
          <w:rStyle w:val="Refdenotaderodap"/>
          <w:rFonts w:ascii="Times New Roman" w:hAnsi="Times New Roman" w:cs="Times New Roman"/>
          <w:sz w:val="24"/>
          <w:szCs w:val="24"/>
        </w:rPr>
        <w:footnoteReference w:id="26"/>
      </w:r>
      <w:r w:rsidRPr="004D0C81">
        <w:rPr>
          <w:rFonts w:ascii="Times New Roman" w:hAnsi="Times New Roman" w:cs="Times New Roman"/>
          <w:sz w:val="24"/>
          <w:szCs w:val="24"/>
        </w:rPr>
        <w:t>”</w:t>
      </w:r>
      <w:r w:rsidR="00D52174">
        <w:rPr>
          <w:rFonts w:ascii="Times New Roman" w:hAnsi="Times New Roman" w:cs="Times New Roman"/>
          <w:sz w:val="24"/>
          <w:szCs w:val="24"/>
        </w:rPr>
        <w:t>. Como é possível observar nas ementas baixo:</w:t>
      </w:r>
    </w:p>
    <w:p w:rsidR="00830726" w:rsidRDefault="00830726" w:rsidP="00830726">
      <w:pPr>
        <w:autoSpaceDE w:val="0"/>
        <w:autoSpaceDN w:val="0"/>
        <w:adjustRightInd w:val="0"/>
        <w:spacing w:after="0" w:line="240" w:lineRule="auto"/>
        <w:ind w:left="2268"/>
        <w:jc w:val="both"/>
        <w:rPr>
          <w:rFonts w:ascii="Times New Roman" w:hAnsi="Times New Roman" w:cs="Times New Roman"/>
          <w:sz w:val="20"/>
          <w:szCs w:val="20"/>
        </w:rPr>
      </w:pPr>
      <w:r w:rsidRPr="00830726">
        <w:rPr>
          <w:rFonts w:ascii="Times New Roman" w:hAnsi="Times New Roman" w:cs="Times New Roman"/>
          <w:sz w:val="20"/>
          <w:szCs w:val="20"/>
        </w:rPr>
        <w:t>Ementa: agravo de instrumento. Denunciação a lide. Alienações sucessivas de veiculo furtado. De regra somente se admite uma única denunciação para evitar que se gere o tumulto processual. Inviável promover-se um salto para se buscar o primitivo alienante, quebrando-se a corrente causal. Agravo desprovido. (agravo de instrumento nº 595197963, sexta câmara cível, Tribunal de Justiça do RS, Relator: Des. Décio Antônio Erpen, julgado em 14/05/1996)</w:t>
      </w:r>
    </w:p>
    <w:p w:rsidR="00D52174" w:rsidRDefault="00D52174" w:rsidP="00830726">
      <w:pPr>
        <w:autoSpaceDE w:val="0"/>
        <w:autoSpaceDN w:val="0"/>
        <w:adjustRightInd w:val="0"/>
        <w:spacing w:after="0" w:line="240" w:lineRule="auto"/>
        <w:ind w:left="2268"/>
        <w:jc w:val="both"/>
        <w:rPr>
          <w:rFonts w:ascii="Times New Roman" w:hAnsi="Times New Roman" w:cs="Times New Roman"/>
          <w:sz w:val="20"/>
          <w:szCs w:val="20"/>
        </w:rPr>
      </w:pPr>
    </w:p>
    <w:p w:rsidR="00D52174" w:rsidRPr="00D52174" w:rsidRDefault="00D52174" w:rsidP="00D52174">
      <w:pPr>
        <w:autoSpaceDE w:val="0"/>
        <w:autoSpaceDN w:val="0"/>
        <w:adjustRightInd w:val="0"/>
        <w:spacing w:after="0" w:line="240" w:lineRule="auto"/>
        <w:ind w:left="2268"/>
        <w:jc w:val="both"/>
        <w:rPr>
          <w:rFonts w:ascii="Times New Roman" w:hAnsi="Times New Roman" w:cs="Times New Roman"/>
          <w:sz w:val="20"/>
          <w:szCs w:val="20"/>
        </w:rPr>
      </w:pPr>
      <w:r w:rsidRPr="00D52174">
        <w:rPr>
          <w:rFonts w:ascii="Times New Roman" w:hAnsi="Times New Roman" w:cs="Times New Roman"/>
          <w:sz w:val="20"/>
          <w:szCs w:val="20"/>
        </w:rPr>
        <w:t xml:space="preserve">EMENTA: - Competência. Ação ordinária de indenização contra a União Federal e a FUNAI. 2. Parque Nacional do Xingu. 3. Desapropriação indireta. 4. Denunciação da lide ao Estado-membro que vendeu o imóvel. Código de Processo Civil, art. 70. Hipótese em que os autores adquiriram o imóvel do Estado-membro. 5. </w:t>
      </w:r>
      <w:r w:rsidRPr="00D52174">
        <w:rPr>
          <w:rFonts w:ascii="Times New Roman" w:hAnsi="Times New Roman" w:cs="Times New Roman"/>
          <w:b/>
          <w:bCs/>
          <w:sz w:val="20"/>
          <w:szCs w:val="20"/>
        </w:rPr>
        <w:t>A denunciação da lide não se faz per saltum. O STF, em casos semelhantes, não tem admitido a denunciação da lide ao Estado-membro e, conseqüentemente, afirma sua incompetência para processar e julgar, originariamente, a ação proposta</w:t>
      </w:r>
      <w:r w:rsidRPr="00D52174">
        <w:rPr>
          <w:rFonts w:ascii="Times New Roman" w:hAnsi="Times New Roman" w:cs="Times New Roman"/>
          <w:sz w:val="20"/>
          <w:szCs w:val="20"/>
        </w:rPr>
        <w:t>. (ACO 305 QO, Relator(a): Min. NÉRI DA SILVEIRA, Tribunal Pleno, julgado em 07/10/1999, DJ 29-09-2000 PP-00069 EMENT VOL-02006-01 PP-00001)</w:t>
      </w:r>
      <w:r>
        <w:rPr>
          <w:rFonts w:ascii="Times New Roman" w:hAnsi="Times New Roman" w:cs="Times New Roman"/>
          <w:sz w:val="20"/>
          <w:szCs w:val="20"/>
        </w:rPr>
        <w:t xml:space="preserve"> (grifo nosso)</w:t>
      </w:r>
    </w:p>
    <w:p w:rsidR="00D52174" w:rsidRDefault="00D52174" w:rsidP="00830726">
      <w:pPr>
        <w:autoSpaceDE w:val="0"/>
        <w:autoSpaceDN w:val="0"/>
        <w:adjustRightInd w:val="0"/>
        <w:spacing w:after="0" w:line="240" w:lineRule="auto"/>
        <w:ind w:left="2268"/>
        <w:jc w:val="both"/>
        <w:rPr>
          <w:rFonts w:ascii="Times New Roman" w:hAnsi="Times New Roman" w:cs="Times New Roman"/>
          <w:sz w:val="20"/>
          <w:szCs w:val="20"/>
        </w:rPr>
      </w:pPr>
    </w:p>
    <w:p w:rsidR="00830726" w:rsidRDefault="00830726" w:rsidP="0083072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os </w:t>
      </w:r>
      <w:r w:rsidRPr="00830726">
        <w:rPr>
          <w:rFonts w:ascii="Times New Roman" w:hAnsi="Times New Roman" w:cs="Times New Roman"/>
          <w:sz w:val="24"/>
          <w:szCs w:val="24"/>
        </w:rPr>
        <w:t>Ministros Ruy Rosado de Aguiar e Ari Pargendler, ambos membros do Superi</w:t>
      </w:r>
      <w:r>
        <w:rPr>
          <w:rFonts w:ascii="Times New Roman" w:hAnsi="Times New Roman" w:cs="Times New Roman"/>
          <w:sz w:val="24"/>
          <w:szCs w:val="24"/>
        </w:rPr>
        <w:t>or Tribunal de Justiça, editaram</w:t>
      </w:r>
      <w:r w:rsidRPr="00830726">
        <w:rPr>
          <w:rFonts w:ascii="Times New Roman" w:hAnsi="Times New Roman" w:cs="Times New Roman"/>
          <w:sz w:val="24"/>
          <w:szCs w:val="24"/>
        </w:rPr>
        <w:t xml:space="preserve"> o enunciado de nº 29 na III Jornada </w:t>
      </w:r>
      <w:r>
        <w:rPr>
          <w:rFonts w:ascii="Times New Roman" w:hAnsi="Times New Roman" w:cs="Times New Roman"/>
          <w:sz w:val="24"/>
          <w:szCs w:val="24"/>
        </w:rPr>
        <w:t xml:space="preserve"> que  admiteque “</w:t>
      </w:r>
      <w:r w:rsidRPr="00830726">
        <w:rPr>
          <w:rFonts w:ascii="Times New Roman" w:hAnsi="Times New Roman" w:cs="Times New Roman"/>
          <w:sz w:val="24"/>
          <w:szCs w:val="24"/>
        </w:rPr>
        <w:t>a interpretação do art. 456 do novo Código Civil permite ao evicto a denunciação direta de qualquer dos responsáveis pelo vício</w:t>
      </w:r>
      <w:r>
        <w:rPr>
          <w:rStyle w:val="Refdenotaderodap"/>
          <w:rFonts w:ascii="Times New Roman" w:hAnsi="Times New Roman" w:cs="Times New Roman"/>
          <w:sz w:val="24"/>
          <w:szCs w:val="24"/>
        </w:rPr>
        <w:footnoteReference w:id="27"/>
      </w:r>
      <w:r>
        <w:rPr>
          <w:rFonts w:ascii="Times New Roman" w:hAnsi="Times New Roman" w:cs="Times New Roman"/>
          <w:sz w:val="24"/>
          <w:szCs w:val="24"/>
        </w:rPr>
        <w:t>”</w:t>
      </w:r>
      <w:r w:rsidRPr="00830726">
        <w:rPr>
          <w:rFonts w:ascii="Times New Roman" w:hAnsi="Times New Roman" w:cs="Times New Roman"/>
          <w:sz w:val="24"/>
          <w:szCs w:val="24"/>
        </w:rPr>
        <w:t>.</w:t>
      </w:r>
      <w:r>
        <w:rPr>
          <w:rFonts w:ascii="Times New Roman" w:hAnsi="Times New Roman" w:cs="Times New Roman"/>
          <w:sz w:val="24"/>
          <w:szCs w:val="24"/>
        </w:rPr>
        <w:t xml:space="preserve"> Ademais, é possível encontrar jurisprudência que sirva como base para a </w:t>
      </w:r>
      <w:r w:rsidR="00D52174">
        <w:rPr>
          <w:rFonts w:ascii="Times New Roman" w:hAnsi="Times New Roman" w:cs="Times New Roman"/>
          <w:sz w:val="24"/>
          <w:szCs w:val="24"/>
        </w:rPr>
        <w:t>a</w:t>
      </w:r>
      <w:r>
        <w:rPr>
          <w:rFonts w:ascii="Times New Roman" w:hAnsi="Times New Roman" w:cs="Times New Roman"/>
          <w:sz w:val="24"/>
          <w:szCs w:val="24"/>
        </w:rPr>
        <w:t>dmissão da denunciação da lide “coletiva”. É o caso do REsp 4589-PR, relatado pelo min. Athos Gusmão</w:t>
      </w:r>
      <w:r>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w:t>
      </w:r>
    </w:p>
    <w:p w:rsidR="00830726" w:rsidRPr="00830726" w:rsidRDefault="00830726" w:rsidP="00830726">
      <w:pPr>
        <w:autoSpaceDE w:val="0"/>
        <w:autoSpaceDN w:val="0"/>
        <w:adjustRightInd w:val="0"/>
        <w:spacing w:after="0" w:line="240" w:lineRule="auto"/>
        <w:ind w:left="2268"/>
        <w:jc w:val="both"/>
        <w:rPr>
          <w:rFonts w:ascii="Times New Roman" w:hAnsi="Times New Roman" w:cs="Times New Roman"/>
          <w:sz w:val="20"/>
          <w:szCs w:val="20"/>
        </w:rPr>
      </w:pPr>
      <w:r w:rsidRPr="007C79EE">
        <w:rPr>
          <w:rFonts w:ascii="Times New Roman" w:hAnsi="Times New Roman" w:cs="Times New Roman"/>
          <w:sz w:val="20"/>
          <w:szCs w:val="20"/>
        </w:rPr>
        <w:t>DENUNCIAÇÃO DA LIDE. MANDATO IN REM PROPRIAM. RESPONSABILIDADE DOS MANDATÁRIOS E SEUS CESSIONÁRIOS PELOS RISCOS DA EVICÇÃO. (..) Configuração do mandado em causa própria como como negócio oneroso, com transmissão da posse e consequente responsabilidade do transmitente pelos riscos da evicção. Artigos 70, I do Código de processo civil e 1.107 e 1.073 do Código Civil. Admissibilidade da denunciação ‘coletiva’, com chamamento conjunto e não ‘sucessivo’ dos vários antecessores na cadeia de proprietários ou possuidores. ( REsp 4589/PR – rel. para o acórdão Min. Athos Carneiro – dj 30.03.1992)</w:t>
      </w:r>
    </w:p>
    <w:p w:rsidR="00CB48D8" w:rsidRDefault="00D52174" w:rsidP="00D52174">
      <w:pPr>
        <w:spacing w:line="360" w:lineRule="auto"/>
        <w:ind w:firstLine="1134"/>
        <w:jc w:val="both"/>
        <w:rPr>
          <w:rFonts w:ascii="Times New Roman" w:hAnsi="Times New Roman" w:cs="Times New Roman"/>
          <w:sz w:val="24"/>
          <w:szCs w:val="24"/>
        </w:rPr>
      </w:pPr>
      <w:r w:rsidRPr="00D52174">
        <w:rPr>
          <w:rFonts w:ascii="Times New Roman" w:hAnsi="Times New Roman" w:cs="Times New Roman"/>
          <w:sz w:val="24"/>
          <w:szCs w:val="24"/>
        </w:rPr>
        <w:t>Poucos são os julgados acerca do tema, contudo, com base nas jurisprudências apesentadas percebe-se a não consolidação de um entendimento homogêneo, evidenciando que os debates entre os estudiosos do assunto repercutem tamb</w:t>
      </w:r>
      <w:r>
        <w:rPr>
          <w:rFonts w:ascii="Times New Roman" w:hAnsi="Times New Roman" w:cs="Times New Roman"/>
          <w:sz w:val="24"/>
          <w:szCs w:val="24"/>
        </w:rPr>
        <w:t>ém nas C</w:t>
      </w:r>
      <w:r w:rsidRPr="00D52174">
        <w:rPr>
          <w:rFonts w:ascii="Times New Roman" w:hAnsi="Times New Roman" w:cs="Times New Roman"/>
          <w:sz w:val="24"/>
          <w:szCs w:val="24"/>
        </w:rPr>
        <w:t>ortes</w:t>
      </w:r>
      <w:r>
        <w:rPr>
          <w:rFonts w:ascii="Times New Roman" w:hAnsi="Times New Roman" w:cs="Times New Roman"/>
          <w:sz w:val="24"/>
          <w:szCs w:val="24"/>
        </w:rPr>
        <w:t xml:space="preserve"> de julgamento. </w:t>
      </w:r>
      <w:r w:rsidRPr="00D52174">
        <w:rPr>
          <w:rFonts w:ascii="Times New Roman" w:hAnsi="Times New Roman" w:cs="Times New Roman"/>
          <w:sz w:val="24"/>
          <w:szCs w:val="24"/>
        </w:rPr>
        <w:t>Aguarda-se</w:t>
      </w:r>
      <w:r>
        <w:rPr>
          <w:rFonts w:ascii="Times New Roman" w:hAnsi="Times New Roman" w:cs="Times New Roman"/>
          <w:sz w:val="24"/>
          <w:szCs w:val="24"/>
        </w:rPr>
        <w:t>, portanto por uma manifestação do STF d</w:t>
      </w:r>
      <w:r w:rsidRPr="00D52174">
        <w:rPr>
          <w:rFonts w:ascii="Times New Roman" w:hAnsi="Times New Roman" w:cs="Times New Roman"/>
          <w:sz w:val="24"/>
          <w:szCs w:val="24"/>
        </w:rPr>
        <w:t xml:space="preserve">iante da modificação da </w:t>
      </w:r>
      <w:r>
        <w:rPr>
          <w:rFonts w:ascii="Times New Roman" w:hAnsi="Times New Roman" w:cs="Times New Roman"/>
          <w:sz w:val="24"/>
          <w:szCs w:val="24"/>
        </w:rPr>
        <w:t>legislação civil, apesar do que já fora suscitado: que se trata</w:t>
      </w:r>
      <w:r w:rsidRPr="00D52174">
        <w:rPr>
          <w:rFonts w:ascii="Times New Roman" w:hAnsi="Times New Roman" w:cs="Times New Roman"/>
          <w:sz w:val="24"/>
          <w:szCs w:val="24"/>
        </w:rPr>
        <w:t xml:space="preserve"> de matéria</w:t>
      </w:r>
      <w:r>
        <w:rPr>
          <w:rFonts w:ascii="Times New Roman" w:hAnsi="Times New Roman" w:cs="Times New Roman"/>
          <w:sz w:val="24"/>
          <w:szCs w:val="24"/>
        </w:rPr>
        <w:t xml:space="preserve"> infraconstitucional, que dificilmente chega a ser conhecida pelo Supremo.</w:t>
      </w:r>
    </w:p>
    <w:p w:rsidR="00B12901" w:rsidRDefault="00CB48D8" w:rsidP="00CB48D8">
      <w:pPr>
        <w:spacing w:line="360" w:lineRule="auto"/>
        <w:rPr>
          <w:rFonts w:ascii="Times New Roman" w:hAnsi="Times New Roman" w:cs="Times New Roman"/>
          <w:b/>
          <w:sz w:val="24"/>
          <w:szCs w:val="24"/>
        </w:rPr>
      </w:pPr>
      <w:r w:rsidRPr="00CB48D8">
        <w:rPr>
          <w:rFonts w:ascii="Times New Roman" w:hAnsi="Times New Roman" w:cs="Times New Roman"/>
          <w:b/>
          <w:sz w:val="24"/>
          <w:szCs w:val="24"/>
        </w:rPr>
        <w:t>CONCLUSÃO</w:t>
      </w:r>
    </w:p>
    <w:p w:rsidR="009138AE" w:rsidRPr="009138AE" w:rsidRDefault="009138AE" w:rsidP="009138AE">
      <w:pPr>
        <w:spacing w:after="0" w:line="360" w:lineRule="auto"/>
        <w:ind w:firstLine="1134"/>
        <w:jc w:val="both"/>
        <w:rPr>
          <w:rFonts w:ascii="Times New Roman" w:hAnsi="Times New Roman" w:cs="Times New Roman"/>
          <w:sz w:val="24"/>
          <w:szCs w:val="24"/>
        </w:rPr>
      </w:pPr>
      <w:r w:rsidRPr="009138AE">
        <w:rPr>
          <w:rFonts w:ascii="Times New Roman" w:hAnsi="Times New Roman" w:cs="Times New Roman"/>
          <w:sz w:val="24"/>
          <w:szCs w:val="24"/>
        </w:rPr>
        <w:t xml:space="preserve">Diante do exposto, considera-se que a perda do ônus absoluto em casos de denunciação da lide para o exercício do direito do evicto não pode entender senão que a interpretação conjunta dos dispositivos normativos leva a possibilidade de uma denunciação da lide coletiva para questões que envolvam evicção. Fundamenta-se no fato de que as leis devem sempre ser interpretadas visando </w:t>
      </w:r>
      <w:r w:rsidR="0068775F" w:rsidRPr="009138AE">
        <w:rPr>
          <w:rFonts w:ascii="Times New Roman" w:hAnsi="Times New Roman" w:cs="Times New Roman"/>
          <w:sz w:val="24"/>
          <w:szCs w:val="24"/>
        </w:rPr>
        <w:t>à</w:t>
      </w:r>
      <w:r w:rsidRPr="009138AE">
        <w:rPr>
          <w:rFonts w:ascii="Times New Roman" w:hAnsi="Times New Roman" w:cs="Times New Roman"/>
          <w:sz w:val="24"/>
          <w:szCs w:val="24"/>
        </w:rPr>
        <w:t xml:space="preserve"> finalidade para a qual foi criada, além da necessidade de observar a instrumentalidade e o modelo constitucional de processo vigente. Sobre a afirmação: </w:t>
      </w:r>
    </w:p>
    <w:p w:rsidR="009138AE" w:rsidRPr="009138AE" w:rsidRDefault="009138AE" w:rsidP="009138AE">
      <w:pPr>
        <w:pStyle w:val="PargrafodaLista"/>
        <w:spacing w:after="0" w:line="240" w:lineRule="auto"/>
        <w:ind w:left="2268"/>
        <w:jc w:val="both"/>
        <w:rPr>
          <w:rFonts w:ascii="Times New Roman" w:hAnsi="Times New Roman"/>
          <w:sz w:val="20"/>
          <w:szCs w:val="20"/>
          <w:lang w:val="pt-BR"/>
        </w:rPr>
      </w:pPr>
      <w:r w:rsidRPr="009138AE">
        <w:rPr>
          <w:rFonts w:ascii="Times New Roman" w:hAnsi="Times New Roman"/>
          <w:sz w:val="20"/>
          <w:szCs w:val="20"/>
          <w:lang w:val="pt-BR"/>
        </w:rPr>
        <w:t>É vaga e pouco acrescenta ao conhecimento do processo a usual afirmação de que ele é um instrumento, enquanto não acompanhada da indicação dos objetivos a serem alcançados mediante o seu emprego. Todo instrumento, como tal, é meio</w:t>
      </w:r>
      <w:r w:rsidR="0034747A">
        <w:rPr>
          <w:rFonts w:ascii="Times New Roman" w:hAnsi="Times New Roman"/>
          <w:sz w:val="20"/>
          <w:szCs w:val="20"/>
          <w:lang w:val="pt-BR"/>
        </w:rPr>
        <w:t>; e todo meio só é tal e se le</w:t>
      </w:r>
      <w:r w:rsidRPr="009138AE">
        <w:rPr>
          <w:rFonts w:ascii="Times New Roman" w:hAnsi="Times New Roman"/>
          <w:sz w:val="20"/>
          <w:szCs w:val="20"/>
          <w:lang w:val="pt-BR"/>
        </w:rPr>
        <w:t>gi</w:t>
      </w:r>
      <w:r w:rsidR="0034747A">
        <w:rPr>
          <w:rFonts w:ascii="Times New Roman" w:hAnsi="Times New Roman"/>
          <w:sz w:val="20"/>
          <w:szCs w:val="20"/>
          <w:lang w:val="pt-BR"/>
        </w:rPr>
        <w:t>ti</w:t>
      </w:r>
      <w:r w:rsidRPr="009138AE">
        <w:rPr>
          <w:rFonts w:ascii="Times New Roman" w:hAnsi="Times New Roman"/>
          <w:sz w:val="20"/>
          <w:szCs w:val="20"/>
          <w:lang w:val="pt-BR"/>
        </w:rPr>
        <w:t xml:space="preserve">ma em função dos fins a que se destina. O </w:t>
      </w:r>
      <w:r w:rsidR="00894602" w:rsidRPr="009138AE">
        <w:rPr>
          <w:rFonts w:ascii="Times New Roman" w:hAnsi="Times New Roman"/>
          <w:sz w:val="20"/>
          <w:szCs w:val="20"/>
          <w:lang w:val="pt-BR"/>
        </w:rPr>
        <w:t>raciocínio</w:t>
      </w:r>
      <w:r w:rsidRPr="009138AE">
        <w:rPr>
          <w:rFonts w:ascii="Times New Roman" w:hAnsi="Times New Roman"/>
          <w:sz w:val="20"/>
          <w:szCs w:val="20"/>
          <w:lang w:val="pt-BR"/>
        </w:rPr>
        <w:t xml:space="preserve"> teleológico há de incluir então, necessariamente, a fixação do escopos do processo, ou seja, dos propósitos norteadores da sua instituição e das condutas dos agentes estatais que o utilizam. (...)Fixar os escopos do processo equivale, ainda, a revelar o grau de sua utilidade. Trata-se de instituição humana, imposta pelo estado, e a sua legitimidade há de estar apoiada não só na capacidade de realizar objetivos, mas igualmente no modo como estes são recebidos e sentidos pela sociedade</w:t>
      </w:r>
      <w:r>
        <w:rPr>
          <w:rStyle w:val="Refdenotaderodap"/>
          <w:rFonts w:ascii="Times New Roman" w:hAnsi="Times New Roman"/>
          <w:sz w:val="20"/>
          <w:szCs w:val="20"/>
          <w:lang w:val="pt-BR"/>
        </w:rPr>
        <w:footnoteReference w:id="29"/>
      </w:r>
      <w:r>
        <w:rPr>
          <w:rFonts w:ascii="Times New Roman" w:hAnsi="Times New Roman"/>
          <w:sz w:val="20"/>
          <w:szCs w:val="20"/>
          <w:lang w:val="pt-BR"/>
        </w:rPr>
        <w:t>.</w:t>
      </w:r>
    </w:p>
    <w:p w:rsidR="0068775F" w:rsidRPr="00D904E2" w:rsidRDefault="0068775F" w:rsidP="0068775F">
      <w:pPr>
        <w:spacing w:after="0" w:line="360" w:lineRule="auto"/>
        <w:ind w:firstLine="1134"/>
        <w:jc w:val="both"/>
        <w:rPr>
          <w:rFonts w:ascii="Times New Roman" w:hAnsi="Times New Roman" w:cs="Times New Roman"/>
          <w:sz w:val="24"/>
          <w:szCs w:val="24"/>
        </w:rPr>
      </w:pPr>
      <w:r w:rsidRPr="0068775F">
        <w:rPr>
          <w:rFonts w:ascii="Times New Roman" w:hAnsi="Times New Roman" w:cs="Times New Roman"/>
          <w:sz w:val="24"/>
          <w:szCs w:val="24"/>
        </w:rPr>
        <w:t xml:space="preserve">Nada obstante, não basta a busca pelo mais correto, é preciso a busca pelo mais benéfico </w:t>
      </w:r>
      <w:r>
        <w:rPr>
          <w:rFonts w:ascii="Times New Roman" w:hAnsi="Times New Roman" w:cs="Times New Roman"/>
          <w:sz w:val="24"/>
          <w:szCs w:val="24"/>
        </w:rPr>
        <w:t xml:space="preserve">ao processo, visto </w:t>
      </w:r>
      <w:r w:rsidR="000804AC">
        <w:rPr>
          <w:rFonts w:ascii="Times New Roman" w:hAnsi="Times New Roman" w:cs="Times New Roman"/>
          <w:sz w:val="24"/>
          <w:szCs w:val="24"/>
        </w:rPr>
        <w:t xml:space="preserve">hoje </w:t>
      </w:r>
      <w:r w:rsidR="000A5545">
        <w:rPr>
          <w:rFonts w:ascii="Times New Roman" w:hAnsi="Times New Roman" w:cs="Times New Roman"/>
          <w:sz w:val="24"/>
          <w:szCs w:val="24"/>
        </w:rPr>
        <w:t>se difunde</w:t>
      </w:r>
      <w:r w:rsidR="000804AC">
        <w:rPr>
          <w:rFonts w:ascii="Times New Roman" w:hAnsi="Times New Roman" w:cs="Times New Roman"/>
          <w:sz w:val="24"/>
          <w:szCs w:val="24"/>
        </w:rPr>
        <w:t xml:space="preserve"> um pensamento ligado</w:t>
      </w:r>
      <w:r>
        <w:rPr>
          <w:rFonts w:ascii="Times New Roman" w:hAnsi="Times New Roman" w:cs="Times New Roman"/>
          <w:sz w:val="24"/>
          <w:szCs w:val="24"/>
        </w:rPr>
        <w:t xml:space="preserve"> “diretamente na instrumentalidade do sistema processual à ordem social econômica e politica </w:t>
      </w:r>
      <w:r w:rsidRPr="00D904E2">
        <w:rPr>
          <w:rFonts w:ascii="Times New Roman" w:hAnsi="Times New Roman" w:cs="Times New Roman"/>
          <w:sz w:val="24"/>
          <w:szCs w:val="24"/>
        </w:rPr>
        <w:t>representada pela Constituição a leis ordinárias</w:t>
      </w:r>
      <w:r w:rsidRPr="00D904E2">
        <w:rPr>
          <w:rStyle w:val="Refdenotaderodap"/>
          <w:rFonts w:ascii="Times New Roman" w:hAnsi="Times New Roman" w:cs="Times New Roman"/>
          <w:sz w:val="24"/>
          <w:szCs w:val="24"/>
        </w:rPr>
        <w:footnoteReference w:id="30"/>
      </w:r>
      <w:r w:rsidRPr="00D904E2">
        <w:rPr>
          <w:rFonts w:ascii="Times New Roman" w:hAnsi="Times New Roman" w:cs="Times New Roman"/>
          <w:sz w:val="24"/>
          <w:szCs w:val="24"/>
        </w:rPr>
        <w:t>” para que se obtenha a máxima utilidade possível. Assim, considera-se possível que em questões de evicção, o alienante nem mesmo seja notificado</w:t>
      </w:r>
      <w:r w:rsidR="000804AC" w:rsidRPr="00D904E2">
        <w:rPr>
          <w:rFonts w:ascii="Times New Roman" w:hAnsi="Times New Roman" w:cs="Times New Roman"/>
          <w:sz w:val="24"/>
          <w:szCs w:val="24"/>
        </w:rPr>
        <w:t>, que fique a critério do adquirente.</w:t>
      </w:r>
    </w:p>
    <w:p w:rsidR="0068775F" w:rsidRPr="00D904E2" w:rsidRDefault="0068775F" w:rsidP="0068775F">
      <w:pPr>
        <w:spacing w:after="0" w:line="360" w:lineRule="auto"/>
        <w:ind w:firstLine="1134"/>
        <w:jc w:val="both"/>
        <w:rPr>
          <w:rFonts w:ascii="Times New Roman" w:hAnsi="Times New Roman" w:cs="Times New Roman"/>
          <w:sz w:val="24"/>
          <w:szCs w:val="24"/>
        </w:rPr>
      </w:pPr>
      <w:r w:rsidRPr="00D904E2">
        <w:rPr>
          <w:rFonts w:ascii="Times New Roman" w:hAnsi="Times New Roman" w:cs="Times New Roman"/>
          <w:sz w:val="24"/>
          <w:szCs w:val="24"/>
        </w:rPr>
        <w:t>Ademais, percebe-se que a</w:t>
      </w:r>
      <w:r w:rsidR="00B12901" w:rsidRPr="00D904E2">
        <w:rPr>
          <w:rFonts w:ascii="Times New Roman" w:hAnsi="Times New Roman" w:cs="Times New Roman"/>
          <w:sz w:val="24"/>
          <w:szCs w:val="24"/>
        </w:rPr>
        <w:t xml:space="preserve"> concepção de denunciação cole</w:t>
      </w:r>
      <w:r w:rsidR="000804AC" w:rsidRPr="00D904E2">
        <w:rPr>
          <w:rFonts w:ascii="Times New Roman" w:hAnsi="Times New Roman" w:cs="Times New Roman"/>
          <w:sz w:val="24"/>
          <w:szCs w:val="24"/>
        </w:rPr>
        <w:t xml:space="preserve">tiva, já existe há algum tempo, </w:t>
      </w:r>
      <w:r w:rsidR="00B12901" w:rsidRPr="00D904E2">
        <w:rPr>
          <w:rFonts w:ascii="Times New Roman" w:hAnsi="Times New Roman" w:cs="Times New Roman"/>
          <w:sz w:val="24"/>
          <w:szCs w:val="24"/>
        </w:rPr>
        <w:t xml:space="preserve">está de acordo com os princípios legais, </w:t>
      </w:r>
      <w:r w:rsidRPr="00D904E2">
        <w:rPr>
          <w:rFonts w:ascii="Times New Roman" w:hAnsi="Times New Roman" w:cs="Times New Roman"/>
          <w:sz w:val="24"/>
          <w:szCs w:val="24"/>
        </w:rPr>
        <w:t>e ainda soluciona os pontos problemáticos do artigo 73</w:t>
      </w:r>
      <w:r w:rsidR="000804AC" w:rsidRPr="00D904E2">
        <w:rPr>
          <w:rStyle w:val="Refdenotaderodap"/>
          <w:rFonts w:ascii="Times New Roman" w:hAnsi="Times New Roman" w:cs="Times New Roman"/>
          <w:sz w:val="24"/>
          <w:szCs w:val="24"/>
        </w:rPr>
        <w:footnoteReference w:id="31"/>
      </w:r>
      <w:r w:rsidRPr="00D904E2">
        <w:rPr>
          <w:rFonts w:ascii="Times New Roman" w:hAnsi="Times New Roman" w:cs="Times New Roman"/>
          <w:sz w:val="24"/>
          <w:szCs w:val="24"/>
        </w:rPr>
        <w:t xml:space="preserve"> do CPC que versa sobre a denunciação da lide sucessiva</w:t>
      </w:r>
      <w:r w:rsidR="000804AC" w:rsidRPr="00D904E2">
        <w:rPr>
          <w:rFonts w:ascii="Times New Roman" w:hAnsi="Times New Roman" w:cs="Times New Roman"/>
          <w:sz w:val="24"/>
          <w:szCs w:val="24"/>
        </w:rPr>
        <w:t>, onde se permite “a denunciação sucessiva da lide, por aqueles a quem a lide já fora denunciada</w:t>
      </w:r>
      <w:r w:rsidR="000804AC" w:rsidRPr="00D904E2">
        <w:rPr>
          <w:rStyle w:val="Refdenotaderodap"/>
          <w:rFonts w:ascii="Times New Roman" w:hAnsi="Times New Roman" w:cs="Times New Roman"/>
          <w:sz w:val="24"/>
          <w:szCs w:val="24"/>
        </w:rPr>
        <w:footnoteReference w:id="32"/>
      </w:r>
      <w:r w:rsidR="000804AC" w:rsidRPr="00D904E2">
        <w:rPr>
          <w:rFonts w:ascii="Times New Roman" w:hAnsi="Times New Roman" w:cs="Times New Roman"/>
          <w:sz w:val="24"/>
          <w:szCs w:val="24"/>
        </w:rPr>
        <w:t>”.</w:t>
      </w:r>
      <w:r w:rsidR="00F621F1" w:rsidRPr="00D904E2">
        <w:rPr>
          <w:rFonts w:ascii="Times New Roman" w:hAnsi="Times New Roman" w:cs="Times New Roman"/>
          <w:sz w:val="24"/>
          <w:szCs w:val="24"/>
        </w:rPr>
        <w:t>Autorizando a notificação a lei consagra a tese do Superior Tribunal de Justiça já supra citada da posição da “denunciação da lide coletiva”</w:t>
      </w:r>
    </w:p>
    <w:p w:rsidR="0068775F" w:rsidRPr="00D904E2" w:rsidRDefault="000A5545" w:rsidP="00695FD6">
      <w:pPr>
        <w:spacing w:after="0" w:line="360" w:lineRule="auto"/>
        <w:ind w:firstLine="1134"/>
        <w:jc w:val="both"/>
        <w:rPr>
          <w:rFonts w:ascii="Times New Roman" w:hAnsi="Times New Roman" w:cs="Times New Roman"/>
          <w:sz w:val="24"/>
          <w:szCs w:val="24"/>
        </w:rPr>
      </w:pPr>
      <w:r w:rsidRPr="00D904E2">
        <w:rPr>
          <w:rFonts w:ascii="Times New Roman" w:hAnsi="Times New Roman" w:cs="Times New Roman"/>
          <w:sz w:val="24"/>
          <w:szCs w:val="24"/>
        </w:rPr>
        <w:t xml:space="preserve">Quanto </w:t>
      </w:r>
      <w:r w:rsidR="007810B8" w:rsidRPr="00D904E2">
        <w:rPr>
          <w:rFonts w:ascii="Times New Roman" w:hAnsi="Times New Roman" w:cs="Times New Roman"/>
          <w:sz w:val="24"/>
          <w:szCs w:val="24"/>
        </w:rPr>
        <w:t>à</w:t>
      </w:r>
      <w:r w:rsidRPr="00D904E2">
        <w:rPr>
          <w:rFonts w:ascii="Times New Roman" w:hAnsi="Times New Roman" w:cs="Times New Roman"/>
          <w:sz w:val="24"/>
          <w:szCs w:val="24"/>
        </w:rPr>
        <w:t xml:space="preserve"> qu</w:t>
      </w:r>
      <w:r w:rsidR="007810B8" w:rsidRPr="00D904E2">
        <w:rPr>
          <w:rFonts w:ascii="Times New Roman" w:hAnsi="Times New Roman" w:cs="Times New Roman"/>
          <w:sz w:val="24"/>
          <w:szCs w:val="24"/>
        </w:rPr>
        <w:t>e</w:t>
      </w:r>
      <w:r w:rsidRPr="00D904E2">
        <w:rPr>
          <w:rFonts w:ascii="Times New Roman" w:hAnsi="Times New Roman" w:cs="Times New Roman"/>
          <w:sz w:val="24"/>
          <w:szCs w:val="24"/>
        </w:rPr>
        <w:t>stão da legitimação extraordinária</w:t>
      </w:r>
      <w:r w:rsidR="007810B8" w:rsidRPr="00D904E2">
        <w:rPr>
          <w:rFonts w:ascii="Times New Roman" w:hAnsi="Times New Roman" w:cs="Times New Roman"/>
          <w:sz w:val="24"/>
          <w:szCs w:val="24"/>
        </w:rPr>
        <w:t>, verifica-se a possibilidade</w:t>
      </w:r>
      <w:r w:rsidR="00695FD6" w:rsidRPr="00D904E2">
        <w:rPr>
          <w:rFonts w:ascii="Times New Roman" w:hAnsi="Times New Roman" w:cs="Times New Roman"/>
          <w:sz w:val="24"/>
          <w:szCs w:val="24"/>
        </w:rPr>
        <w:t xml:space="preserve"> de exercício do direito de evicção aindaque n</w:t>
      </w:r>
      <w:r w:rsidR="00F621F1" w:rsidRPr="00D904E2">
        <w:rPr>
          <w:rFonts w:ascii="Times New Roman" w:hAnsi="Times New Roman" w:cs="Times New Roman"/>
          <w:sz w:val="24"/>
          <w:szCs w:val="24"/>
        </w:rPr>
        <w:t>ão tenha figurado nenhum negó</w:t>
      </w:r>
      <w:r w:rsidR="00695FD6" w:rsidRPr="00D904E2">
        <w:rPr>
          <w:rFonts w:ascii="Times New Roman" w:hAnsi="Times New Roman" w:cs="Times New Roman"/>
          <w:sz w:val="24"/>
          <w:szCs w:val="24"/>
        </w:rPr>
        <w:t xml:space="preserve">cio imediato, </w:t>
      </w:r>
      <w:r w:rsidR="00F621F1" w:rsidRPr="00D904E2">
        <w:rPr>
          <w:rFonts w:ascii="Times New Roman" w:hAnsi="Times New Roman" w:cs="Times New Roman"/>
          <w:sz w:val="24"/>
          <w:szCs w:val="24"/>
        </w:rPr>
        <w:t>com fundamento no</w:t>
      </w:r>
      <w:r w:rsidR="00695FD6" w:rsidRPr="00D904E2">
        <w:rPr>
          <w:rFonts w:ascii="Times New Roman" w:hAnsi="Times New Roman" w:cs="Times New Roman"/>
          <w:sz w:val="24"/>
          <w:szCs w:val="24"/>
        </w:rPr>
        <w:t xml:space="preserve"> fato de que essa excepcionalidade provém da vontade da lei, sendo assim, n</w:t>
      </w:r>
      <w:r w:rsidR="00F621F1" w:rsidRPr="00D904E2">
        <w:rPr>
          <w:rFonts w:ascii="Times New Roman" w:hAnsi="Times New Roman" w:cs="Times New Roman"/>
          <w:sz w:val="24"/>
          <w:szCs w:val="24"/>
        </w:rPr>
        <w:t>ão há</w:t>
      </w:r>
      <w:r w:rsidR="00695FD6" w:rsidRPr="00D904E2">
        <w:rPr>
          <w:rFonts w:ascii="Times New Roman" w:hAnsi="Times New Roman" w:cs="Times New Roman"/>
          <w:sz w:val="24"/>
          <w:szCs w:val="24"/>
        </w:rPr>
        <w:t xml:space="preserve"> motivo para que a doutrina recuse. </w:t>
      </w:r>
    </w:p>
    <w:p w:rsidR="00B12901" w:rsidRDefault="00D904E2" w:rsidP="00D904E2">
      <w:pPr>
        <w:spacing w:after="0" w:line="360" w:lineRule="auto"/>
        <w:ind w:firstLine="1134"/>
        <w:jc w:val="both"/>
        <w:rPr>
          <w:rFonts w:ascii="Times New Roman" w:hAnsi="Times New Roman" w:cs="Times New Roman"/>
          <w:sz w:val="24"/>
          <w:szCs w:val="24"/>
        </w:rPr>
      </w:pPr>
      <w:r w:rsidRPr="00D904E2">
        <w:rPr>
          <w:rFonts w:ascii="Times New Roman" w:hAnsi="Times New Roman" w:cs="Times New Roman"/>
          <w:sz w:val="24"/>
          <w:szCs w:val="24"/>
        </w:rPr>
        <w:t xml:space="preserve">Resta claro observar que as denunciações sucessivas previstas no art. 73 do CPC poderão ser feitas coletivamente, requeridas em conjunto, de forma a abreviar o processo e ainda, melhor assegurando o êxito da demanda, evitando a denunciações sucessivas desnecessárias. </w:t>
      </w:r>
      <w:r w:rsidR="00B12901" w:rsidRPr="00D904E2">
        <w:rPr>
          <w:rFonts w:ascii="Times New Roman" w:hAnsi="Times New Roman" w:cs="Times New Roman"/>
          <w:sz w:val="24"/>
          <w:szCs w:val="24"/>
        </w:rPr>
        <w:t xml:space="preserve">Sendo </w:t>
      </w:r>
      <w:r w:rsidRPr="00D904E2">
        <w:rPr>
          <w:rFonts w:ascii="Times New Roman" w:hAnsi="Times New Roman" w:cs="Times New Roman"/>
          <w:sz w:val="24"/>
          <w:szCs w:val="24"/>
        </w:rPr>
        <w:t>assim, esta parece ser a melhor e</w:t>
      </w:r>
      <w:r w:rsidR="00B12901" w:rsidRPr="00D904E2">
        <w:rPr>
          <w:rFonts w:ascii="Times New Roman" w:hAnsi="Times New Roman" w:cs="Times New Roman"/>
          <w:sz w:val="24"/>
          <w:szCs w:val="24"/>
        </w:rPr>
        <w:t xml:space="preserve"> mais adequada interpretação para o novo te</w:t>
      </w:r>
      <w:r w:rsidRPr="00D904E2">
        <w:rPr>
          <w:rFonts w:ascii="Times New Roman" w:hAnsi="Times New Roman" w:cs="Times New Roman"/>
          <w:sz w:val="24"/>
          <w:szCs w:val="24"/>
        </w:rPr>
        <w:t>xto do Art. 456 do Código Civil, ressaltando que esta deve ser feita sempre de forma ampliativa e nunca restritiva, caso contrário não há nenhum ganho nessa análise.</w:t>
      </w:r>
    </w:p>
    <w:p w:rsidR="00B12901" w:rsidRDefault="00B12901"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34747A" w:rsidRDefault="0034747A" w:rsidP="007973F5">
      <w:pPr>
        <w:spacing w:after="0" w:line="240" w:lineRule="auto"/>
        <w:jc w:val="center"/>
        <w:rPr>
          <w:rFonts w:ascii="Times New Roman" w:hAnsi="Times New Roman" w:cs="Times New Roman"/>
          <w:sz w:val="24"/>
          <w:szCs w:val="24"/>
        </w:rPr>
      </w:pPr>
    </w:p>
    <w:p w:rsidR="00B12901" w:rsidRDefault="00B12901" w:rsidP="007973F5">
      <w:pPr>
        <w:spacing w:after="0" w:line="240" w:lineRule="auto"/>
        <w:jc w:val="center"/>
        <w:rPr>
          <w:rFonts w:ascii="Times New Roman" w:hAnsi="Times New Roman" w:cs="Times New Roman"/>
          <w:sz w:val="24"/>
          <w:szCs w:val="24"/>
        </w:rPr>
      </w:pPr>
    </w:p>
    <w:p w:rsidR="00021C5A" w:rsidRDefault="00021C5A" w:rsidP="007973F5">
      <w:pPr>
        <w:spacing w:after="0" w:line="240" w:lineRule="auto"/>
        <w:jc w:val="center"/>
        <w:rPr>
          <w:rFonts w:ascii="Times New Roman" w:hAnsi="Times New Roman" w:cs="Times New Roman"/>
          <w:sz w:val="24"/>
          <w:szCs w:val="24"/>
        </w:rPr>
      </w:pPr>
    </w:p>
    <w:p w:rsidR="00E14F8B" w:rsidRDefault="007973F5" w:rsidP="0034747A">
      <w:pPr>
        <w:spacing w:after="0" w:line="240" w:lineRule="auto"/>
        <w:rPr>
          <w:rFonts w:ascii="Times New Roman" w:hAnsi="Times New Roman" w:cs="Times New Roman"/>
          <w:b/>
          <w:sz w:val="24"/>
          <w:szCs w:val="24"/>
        </w:rPr>
      </w:pPr>
      <w:r w:rsidRPr="0034747A">
        <w:rPr>
          <w:rFonts w:ascii="Times New Roman" w:hAnsi="Times New Roman" w:cs="Times New Roman"/>
          <w:b/>
          <w:sz w:val="24"/>
          <w:szCs w:val="24"/>
        </w:rPr>
        <w:t>REFERÊNCIAS</w:t>
      </w:r>
    </w:p>
    <w:p w:rsidR="00AC3E97" w:rsidRDefault="00AC3E97" w:rsidP="0034747A">
      <w:pPr>
        <w:spacing w:after="0" w:line="240" w:lineRule="auto"/>
        <w:rPr>
          <w:rFonts w:ascii="Times New Roman" w:hAnsi="Times New Roman" w:cs="Times New Roman"/>
          <w:b/>
          <w:sz w:val="24"/>
          <w:szCs w:val="24"/>
        </w:rPr>
      </w:pPr>
    </w:p>
    <w:p w:rsidR="00AC3E97" w:rsidRDefault="00AC3E97" w:rsidP="0034747A">
      <w:pPr>
        <w:spacing w:after="0" w:line="240" w:lineRule="auto"/>
        <w:rPr>
          <w:rFonts w:ascii="Times New Roman" w:hAnsi="Times New Roman" w:cs="Times New Roman"/>
          <w:b/>
          <w:sz w:val="24"/>
          <w:szCs w:val="24"/>
        </w:rPr>
      </w:pPr>
    </w:p>
    <w:p w:rsidR="00AC3E97" w:rsidRDefault="00AC3E97" w:rsidP="0034747A">
      <w:pPr>
        <w:spacing w:after="0" w:line="240" w:lineRule="auto"/>
        <w:rPr>
          <w:rFonts w:ascii="Times New Roman" w:hAnsi="Times New Roman" w:cs="Times New Roman"/>
          <w:b/>
          <w:sz w:val="24"/>
          <w:szCs w:val="24"/>
        </w:rPr>
      </w:pPr>
    </w:p>
    <w:p w:rsidR="0034747A" w:rsidRPr="00AC3E97" w:rsidRDefault="0034747A" w:rsidP="00AC3E97">
      <w:pPr>
        <w:spacing w:after="0" w:line="240" w:lineRule="auto"/>
        <w:rPr>
          <w:rFonts w:ascii="Times New Roman" w:hAnsi="Times New Roman" w:cs="Times New Roman"/>
          <w:b/>
          <w:sz w:val="24"/>
          <w:szCs w:val="24"/>
        </w:rPr>
      </w:pPr>
    </w:p>
    <w:p w:rsidR="0034747A" w:rsidRPr="00AC3E97" w:rsidRDefault="0034747A" w:rsidP="00AC3E97">
      <w:pPr>
        <w:spacing w:after="0" w:line="240" w:lineRule="auto"/>
        <w:rPr>
          <w:rFonts w:ascii="Times New Roman" w:hAnsi="Times New Roman" w:cs="Times New Roman"/>
          <w:sz w:val="24"/>
          <w:szCs w:val="24"/>
        </w:rPr>
      </w:pPr>
      <w:r w:rsidRPr="00AC3E97">
        <w:rPr>
          <w:rFonts w:ascii="Times New Roman" w:hAnsi="Times New Roman" w:cs="Times New Roman"/>
          <w:sz w:val="24"/>
          <w:szCs w:val="24"/>
        </w:rPr>
        <w:t xml:space="preserve">BUENO, Cássio Scarpinella. </w:t>
      </w:r>
      <w:r w:rsidRPr="00AC3E97">
        <w:rPr>
          <w:rFonts w:ascii="Times New Roman" w:hAnsi="Times New Roman" w:cs="Times New Roman"/>
          <w:b/>
          <w:sz w:val="24"/>
          <w:szCs w:val="24"/>
        </w:rPr>
        <w:t>A denunciação da lide e o art. 456 do novo código civil</w:t>
      </w:r>
      <w:r w:rsidRPr="00AC3E97">
        <w:rPr>
          <w:rFonts w:ascii="Times New Roman" w:hAnsi="Times New Roman" w:cs="Times New Roman"/>
          <w:sz w:val="24"/>
          <w:szCs w:val="24"/>
        </w:rPr>
        <w:t>. &lt;</w:t>
      </w:r>
      <w:hyperlink r:id="rId8" w:history="1">
        <w:r w:rsidRPr="00AC3E97">
          <w:rPr>
            <w:rStyle w:val="Hyperlink"/>
            <w:rFonts w:ascii="Times New Roman" w:hAnsi="Times New Roman" w:cs="Times New Roman"/>
            <w:color w:val="auto"/>
            <w:sz w:val="24"/>
            <w:szCs w:val="24"/>
            <w:u w:val="none"/>
          </w:rPr>
          <w:t>http://www.scarpinellabueno.com.br/Textos/Denuncia%C3%A7%C3%A3o%20da%20lide%20_Arruda%20Alvim_.pdf</w:t>
        </w:r>
      </w:hyperlink>
      <w:r w:rsidRPr="00AC3E97">
        <w:rPr>
          <w:rStyle w:val="Hyperlink"/>
          <w:rFonts w:ascii="Times New Roman" w:hAnsi="Times New Roman" w:cs="Times New Roman"/>
          <w:color w:val="auto"/>
          <w:sz w:val="24"/>
          <w:szCs w:val="24"/>
          <w:u w:val="none"/>
        </w:rPr>
        <w:t>&gt; Acesso em 12 mai2012</w:t>
      </w:r>
    </w:p>
    <w:p w:rsidR="0034747A" w:rsidRPr="00AC3E97" w:rsidRDefault="0034747A" w:rsidP="00AC3E97">
      <w:pPr>
        <w:spacing w:after="0" w:line="240" w:lineRule="auto"/>
        <w:rPr>
          <w:rFonts w:ascii="Times New Roman" w:hAnsi="Times New Roman" w:cs="Times New Roman"/>
          <w:b/>
          <w:sz w:val="24"/>
          <w:szCs w:val="24"/>
        </w:rPr>
      </w:pPr>
    </w:p>
    <w:p w:rsidR="007973F5" w:rsidRDefault="007973F5" w:rsidP="00AC3E97">
      <w:pPr>
        <w:spacing w:after="0" w:line="240" w:lineRule="auto"/>
        <w:rPr>
          <w:rFonts w:ascii="Times New Roman" w:hAnsi="Times New Roman" w:cs="Times New Roman"/>
          <w:sz w:val="24"/>
          <w:szCs w:val="24"/>
        </w:rPr>
      </w:pPr>
    </w:p>
    <w:p w:rsidR="00AC3E97" w:rsidRDefault="00AC3E97" w:rsidP="00AC3E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CAMARA, Alexandre Freitas. </w:t>
      </w:r>
      <w:r w:rsidRPr="00AC3E97">
        <w:rPr>
          <w:rFonts w:ascii="Times New Roman" w:hAnsi="Times New Roman" w:cs="Times New Roman"/>
          <w:b/>
          <w:sz w:val="24"/>
          <w:szCs w:val="24"/>
        </w:rPr>
        <w:t>Lições de Direito Pocessual Civil</w:t>
      </w:r>
      <w:r>
        <w:rPr>
          <w:rFonts w:ascii="Times New Roman" w:hAnsi="Times New Roman" w:cs="Times New Roman"/>
          <w:sz w:val="24"/>
          <w:szCs w:val="24"/>
        </w:rPr>
        <w:t>, vol. I. 16ª ed. Rio de Janeiro: Ed. Lumen Juris, 2007.</w:t>
      </w:r>
    </w:p>
    <w:p w:rsidR="00AC3E97" w:rsidRDefault="00AC3E97" w:rsidP="00AC3E97">
      <w:pPr>
        <w:spacing w:after="0" w:line="240" w:lineRule="auto"/>
        <w:rPr>
          <w:rFonts w:ascii="Times New Roman" w:hAnsi="Times New Roman" w:cs="Times New Roman"/>
          <w:sz w:val="24"/>
          <w:szCs w:val="24"/>
        </w:rPr>
      </w:pPr>
    </w:p>
    <w:p w:rsidR="00AC3E97" w:rsidRPr="00AC3E97" w:rsidRDefault="00AC3E97" w:rsidP="00AC3E97">
      <w:pPr>
        <w:spacing w:after="0" w:line="240" w:lineRule="auto"/>
        <w:rPr>
          <w:rFonts w:ascii="Times New Roman" w:hAnsi="Times New Roman" w:cs="Times New Roman"/>
          <w:sz w:val="24"/>
          <w:szCs w:val="24"/>
        </w:rPr>
      </w:pPr>
    </w:p>
    <w:p w:rsidR="001B1D54" w:rsidRPr="00AC3E97" w:rsidRDefault="0034747A" w:rsidP="00AC3E97">
      <w:pPr>
        <w:spacing w:after="0" w:line="240" w:lineRule="auto"/>
        <w:rPr>
          <w:rStyle w:val="Hyperlink"/>
          <w:rFonts w:ascii="Times New Roman" w:hAnsi="Times New Roman" w:cs="Times New Roman"/>
          <w:color w:val="auto"/>
          <w:sz w:val="24"/>
          <w:szCs w:val="24"/>
          <w:u w:val="none"/>
        </w:rPr>
      </w:pPr>
      <w:r w:rsidRPr="00AC3E97">
        <w:rPr>
          <w:rFonts w:ascii="Times New Roman" w:hAnsi="Times New Roman" w:cs="Times New Roman"/>
          <w:sz w:val="24"/>
          <w:szCs w:val="24"/>
        </w:rPr>
        <w:t xml:space="preserve">D’AGUIAR, Guilherme. </w:t>
      </w:r>
      <w:r w:rsidRPr="00AC3E97">
        <w:rPr>
          <w:rFonts w:ascii="Times New Roman" w:hAnsi="Times New Roman" w:cs="Times New Roman"/>
          <w:b/>
          <w:sz w:val="24"/>
          <w:szCs w:val="24"/>
        </w:rPr>
        <w:t>Denunciação da lide ‘per saltum</w:t>
      </w:r>
      <w:r w:rsidRPr="00AC3E97">
        <w:rPr>
          <w:rFonts w:ascii="Times New Roman" w:hAnsi="Times New Roman" w:cs="Times New Roman"/>
          <w:sz w:val="24"/>
          <w:szCs w:val="24"/>
        </w:rPr>
        <w:t>.  PontificiaUniverdade Católica do Rio de Janeiro. Rio de Janeiro, 2005. Disponível em: &lt;</w:t>
      </w:r>
      <w:hyperlink r:id="rId9" w:history="1">
        <w:r w:rsidR="00437FE7" w:rsidRPr="00AC3E97">
          <w:rPr>
            <w:rStyle w:val="Hyperlink"/>
            <w:rFonts w:ascii="Times New Roman" w:hAnsi="Times New Roman" w:cs="Times New Roman"/>
            <w:color w:val="auto"/>
            <w:sz w:val="24"/>
            <w:szCs w:val="24"/>
            <w:u w:val="none"/>
          </w:rPr>
          <w:t>http://www.maxwell.lambda.ele.puc-rio.br/10110/10110.PDF</w:t>
        </w:r>
      </w:hyperlink>
      <w:r w:rsidRPr="00AC3E97">
        <w:rPr>
          <w:rStyle w:val="Hyperlink"/>
          <w:rFonts w:ascii="Times New Roman" w:hAnsi="Times New Roman" w:cs="Times New Roman"/>
          <w:color w:val="auto"/>
          <w:sz w:val="24"/>
          <w:szCs w:val="24"/>
          <w:u w:val="none"/>
        </w:rPr>
        <w:t>&gt; Acesso em 10 mai 2012</w:t>
      </w:r>
    </w:p>
    <w:p w:rsid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r w:rsidRPr="00AC3E97">
        <w:rPr>
          <w:rFonts w:ascii="Times New Roman" w:hAnsi="Times New Roman" w:cs="Times New Roman"/>
          <w:sz w:val="24"/>
          <w:szCs w:val="24"/>
        </w:rPr>
        <w:t xml:space="preserve">DIDIER JR. Fredier. </w:t>
      </w:r>
      <w:r w:rsidRPr="00AC3E97">
        <w:rPr>
          <w:rFonts w:ascii="Times New Roman" w:hAnsi="Times New Roman" w:cs="Times New Roman"/>
          <w:b/>
          <w:sz w:val="24"/>
          <w:szCs w:val="24"/>
        </w:rPr>
        <w:t>Curso de Direito Processual Civil</w:t>
      </w:r>
      <w:r w:rsidRPr="00AC3E97">
        <w:rPr>
          <w:rFonts w:ascii="Times New Roman" w:hAnsi="Times New Roman" w:cs="Times New Roman"/>
          <w:sz w:val="24"/>
          <w:szCs w:val="24"/>
        </w:rPr>
        <w:t>, vol.1. 13ª Ed. Bahia: Ed PODIVM</w:t>
      </w: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r w:rsidRPr="00AC3E97">
        <w:rPr>
          <w:rFonts w:ascii="Times New Roman" w:hAnsi="Times New Roman" w:cs="Times New Roman"/>
          <w:sz w:val="24"/>
          <w:szCs w:val="24"/>
        </w:rPr>
        <w:t xml:space="preserve">DIDIER JR. Fredier, Walbier, Teresa Arruda Alvim. </w:t>
      </w:r>
      <w:r w:rsidRPr="00AC3E97">
        <w:rPr>
          <w:rFonts w:ascii="Times New Roman" w:hAnsi="Times New Roman" w:cs="Times New Roman"/>
          <w:b/>
          <w:sz w:val="24"/>
          <w:szCs w:val="24"/>
        </w:rPr>
        <w:t>Aspectos polêmicos e atuais sobre os terceiros no processo civil e assuntos afins</w:t>
      </w:r>
      <w:r w:rsidRPr="00AC3E97">
        <w:rPr>
          <w:rFonts w:ascii="Times New Roman" w:hAnsi="Times New Roman" w:cs="Times New Roman"/>
          <w:sz w:val="24"/>
          <w:szCs w:val="24"/>
        </w:rPr>
        <w:t>. São Paulo: Ed. Revistas dos Tribunais, 2004.</w:t>
      </w:r>
    </w:p>
    <w:p w:rsid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Style w:val="Hyperlink"/>
          <w:rFonts w:ascii="Times New Roman" w:hAnsi="Times New Roman" w:cs="Times New Roman"/>
          <w:color w:val="auto"/>
          <w:sz w:val="24"/>
          <w:szCs w:val="24"/>
          <w:u w:val="none"/>
        </w:rPr>
      </w:pPr>
    </w:p>
    <w:p w:rsidR="00AC3E97" w:rsidRPr="00AC3E97" w:rsidRDefault="00AC3E97" w:rsidP="00AC3E97">
      <w:pPr>
        <w:spacing w:after="0" w:line="240" w:lineRule="auto"/>
        <w:rPr>
          <w:rFonts w:ascii="Times New Roman" w:hAnsi="Times New Roman" w:cs="Times New Roman"/>
          <w:sz w:val="24"/>
          <w:szCs w:val="24"/>
        </w:rPr>
      </w:pPr>
      <w:r w:rsidRPr="00AC3E97">
        <w:rPr>
          <w:rFonts w:ascii="Times New Roman" w:hAnsi="Times New Roman" w:cs="Times New Roman"/>
          <w:sz w:val="24"/>
          <w:szCs w:val="24"/>
        </w:rPr>
        <w:t>DINAMARCO, Cândido Rangel</w:t>
      </w:r>
      <w:r w:rsidRPr="00AC3E97">
        <w:rPr>
          <w:rFonts w:ascii="Times New Roman" w:hAnsi="Times New Roman" w:cs="Times New Roman"/>
          <w:b/>
          <w:sz w:val="24"/>
          <w:szCs w:val="24"/>
        </w:rPr>
        <w:t>. A instrumentalidade do processo</w:t>
      </w:r>
      <w:r w:rsidRPr="00AC3E97">
        <w:rPr>
          <w:rFonts w:ascii="Times New Roman" w:hAnsi="Times New Roman" w:cs="Times New Roman"/>
          <w:sz w:val="24"/>
          <w:szCs w:val="24"/>
        </w:rPr>
        <w:t>. 13. Ed. Malheiros Editores: São Paulo, 2008</w:t>
      </w:r>
    </w:p>
    <w:p w:rsidR="00437FE7" w:rsidRPr="00AC3E97" w:rsidRDefault="00437FE7" w:rsidP="00AC3E97">
      <w:pPr>
        <w:spacing w:after="0" w:line="240" w:lineRule="auto"/>
        <w:jc w:val="both"/>
        <w:rPr>
          <w:rFonts w:ascii="Times New Roman" w:hAnsi="Times New Roman" w:cs="Times New Roman"/>
          <w:sz w:val="24"/>
          <w:szCs w:val="24"/>
        </w:rPr>
      </w:pPr>
    </w:p>
    <w:p w:rsidR="00AC3E97" w:rsidRPr="00AC3E97" w:rsidRDefault="00AC3E97" w:rsidP="00AC3E97">
      <w:pPr>
        <w:spacing w:after="0" w:line="240" w:lineRule="auto"/>
        <w:jc w:val="both"/>
        <w:rPr>
          <w:rFonts w:ascii="Times New Roman" w:hAnsi="Times New Roman" w:cs="Times New Roman"/>
          <w:sz w:val="24"/>
          <w:szCs w:val="24"/>
        </w:rPr>
      </w:pPr>
    </w:p>
    <w:p w:rsidR="0034747A" w:rsidRPr="00AC3E97" w:rsidRDefault="00AC3E97" w:rsidP="00AC3E97">
      <w:pPr>
        <w:spacing w:after="0" w:line="240" w:lineRule="auto"/>
        <w:jc w:val="both"/>
        <w:rPr>
          <w:rFonts w:ascii="Times New Roman" w:hAnsi="Times New Roman" w:cs="Times New Roman"/>
          <w:sz w:val="24"/>
          <w:szCs w:val="24"/>
        </w:rPr>
      </w:pPr>
      <w:r w:rsidRPr="00AC3E97">
        <w:rPr>
          <w:rFonts w:ascii="Times New Roman" w:hAnsi="Times New Roman" w:cs="Times New Roman"/>
          <w:sz w:val="24"/>
          <w:szCs w:val="24"/>
          <w:lang w:val="en-US"/>
        </w:rPr>
        <w:t xml:space="preserve">NERY, Jr., Nelson, NERY, Rosa. </w:t>
      </w:r>
      <w:r w:rsidRPr="00AC3E97">
        <w:rPr>
          <w:rFonts w:ascii="Times New Roman" w:hAnsi="Times New Roman" w:cs="Times New Roman"/>
          <w:b/>
          <w:sz w:val="24"/>
          <w:szCs w:val="24"/>
        </w:rPr>
        <w:t>Código de Processo Civil comentado e legislação extravagante</w:t>
      </w:r>
      <w:r w:rsidRPr="00AC3E97">
        <w:rPr>
          <w:rFonts w:ascii="Times New Roman" w:hAnsi="Times New Roman" w:cs="Times New Roman"/>
          <w:sz w:val="24"/>
          <w:szCs w:val="24"/>
        </w:rPr>
        <w:t>. 8 ed. São Paulo: RT, 2004</w:t>
      </w:r>
    </w:p>
    <w:p w:rsidR="00AC3E97" w:rsidRDefault="00AC3E97" w:rsidP="00AC3E97">
      <w:pPr>
        <w:spacing w:after="0" w:line="240" w:lineRule="auto"/>
        <w:jc w:val="both"/>
        <w:rPr>
          <w:rFonts w:ascii="Times New Roman" w:hAnsi="Times New Roman" w:cs="Times New Roman"/>
          <w:sz w:val="24"/>
          <w:szCs w:val="24"/>
        </w:rPr>
      </w:pPr>
    </w:p>
    <w:p w:rsidR="00AC3E97" w:rsidRPr="00AC3E97" w:rsidRDefault="00AC3E97" w:rsidP="00AC3E97">
      <w:pPr>
        <w:spacing w:after="0" w:line="240" w:lineRule="auto"/>
        <w:jc w:val="both"/>
        <w:rPr>
          <w:rFonts w:ascii="Times New Roman" w:hAnsi="Times New Roman" w:cs="Times New Roman"/>
          <w:sz w:val="24"/>
          <w:szCs w:val="24"/>
        </w:rPr>
      </w:pPr>
    </w:p>
    <w:p w:rsidR="00437FE7" w:rsidRPr="00AC3E97" w:rsidRDefault="0034747A" w:rsidP="00AC3E97">
      <w:pPr>
        <w:spacing w:after="0" w:line="240" w:lineRule="auto"/>
        <w:jc w:val="both"/>
        <w:rPr>
          <w:rFonts w:ascii="Times New Roman" w:hAnsi="Times New Roman" w:cs="Times New Roman"/>
          <w:sz w:val="24"/>
          <w:szCs w:val="24"/>
        </w:rPr>
      </w:pPr>
      <w:r w:rsidRPr="00AC3E97">
        <w:rPr>
          <w:rFonts w:ascii="Times New Roman" w:hAnsi="Times New Roman" w:cs="Times New Roman"/>
          <w:sz w:val="24"/>
          <w:szCs w:val="24"/>
        </w:rPr>
        <w:t>THEODORO</w:t>
      </w:r>
      <w:r w:rsidR="00AC3E97" w:rsidRPr="00AC3E97">
        <w:rPr>
          <w:rFonts w:ascii="Times New Roman" w:hAnsi="Times New Roman" w:cs="Times New Roman"/>
          <w:sz w:val="24"/>
          <w:szCs w:val="24"/>
        </w:rPr>
        <w:t xml:space="preserve"> JR.</w:t>
      </w:r>
      <w:r w:rsidRPr="00AC3E97">
        <w:rPr>
          <w:rFonts w:ascii="Times New Roman" w:hAnsi="Times New Roman" w:cs="Times New Roman"/>
          <w:sz w:val="24"/>
          <w:szCs w:val="24"/>
        </w:rPr>
        <w:t xml:space="preserve">, Humberto. </w:t>
      </w:r>
      <w:r w:rsidRPr="00AC3E97">
        <w:rPr>
          <w:rFonts w:ascii="Times New Roman" w:hAnsi="Times New Roman" w:cs="Times New Roman"/>
          <w:b/>
          <w:sz w:val="24"/>
          <w:szCs w:val="24"/>
        </w:rPr>
        <w:t>Novidades no campo da intervenção de terceiros no processo civil</w:t>
      </w:r>
      <w:r w:rsidRPr="00AC3E97">
        <w:rPr>
          <w:rFonts w:ascii="Times New Roman" w:hAnsi="Times New Roman" w:cs="Times New Roman"/>
          <w:sz w:val="24"/>
          <w:szCs w:val="24"/>
        </w:rPr>
        <w:t>: a denunciação da lide “</w:t>
      </w:r>
      <w:r w:rsidRPr="00AC3E97">
        <w:rPr>
          <w:rFonts w:ascii="Times New Roman" w:hAnsi="Times New Roman" w:cs="Times New Roman"/>
          <w:i/>
          <w:sz w:val="24"/>
          <w:szCs w:val="24"/>
        </w:rPr>
        <w:t>per saltum</w:t>
      </w:r>
      <w:r w:rsidRPr="00AC3E97">
        <w:rPr>
          <w:rFonts w:ascii="Times New Roman" w:hAnsi="Times New Roman" w:cs="Times New Roman"/>
          <w:sz w:val="24"/>
          <w:szCs w:val="24"/>
        </w:rPr>
        <w:t>” (ação direta) e o chamamento ao processo da seguradora na ação de responsabilidade civil. Disponível em: &lt;</w:t>
      </w:r>
      <w:hyperlink r:id="rId10" w:history="1">
        <w:r w:rsidR="00437FE7" w:rsidRPr="00AC3E97">
          <w:rPr>
            <w:rStyle w:val="Hyperlink"/>
            <w:rFonts w:ascii="Times New Roman" w:hAnsi="Times New Roman" w:cs="Times New Roman"/>
            <w:color w:val="auto"/>
            <w:sz w:val="24"/>
            <w:szCs w:val="24"/>
            <w:u w:val="none"/>
          </w:rPr>
          <w:t>http://www.oab.org.br/editora/revista/users/revista/1235067126174218181901.pdf</w:t>
        </w:r>
      </w:hyperlink>
      <w:r w:rsidRPr="00AC3E97">
        <w:rPr>
          <w:rStyle w:val="Hyperlink"/>
          <w:rFonts w:ascii="Times New Roman" w:hAnsi="Times New Roman" w:cs="Times New Roman"/>
          <w:color w:val="auto"/>
          <w:sz w:val="24"/>
          <w:szCs w:val="24"/>
          <w:u w:val="none"/>
        </w:rPr>
        <w:t>&gt; Acesso em 12 mai 2012</w:t>
      </w:r>
    </w:p>
    <w:p w:rsidR="00AB14C7" w:rsidRPr="00D7001C" w:rsidRDefault="00AB14C7" w:rsidP="00AB14C7">
      <w:pPr>
        <w:spacing w:after="0" w:line="360" w:lineRule="auto"/>
        <w:jc w:val="both"/>
        <w:rPr>
          <w:rFonts w:ascii="Times New Roman" w:hAnsi="Times New Roman" w:cs="Times New Roman"/>
          <w:sz w:val="24"/>
          <w:szCs w:val="24"/>
        </w:rPr>
      </w:pPr>
    </w:p>
    <w:sectPr w:rsidR="00AB14C7" w:rsidRPr="00D7001C" w:rsidSect="00702D5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26" w:rsidRDefault="009B0F26" w:rsidP="0080378D">
      <w:pPr>
        <w:spacing w:after="0" w:line="240" w:lineRule="auto"/>
      </w:pPr>
      <w:r>
        <w:separator/>
      </w:r>
    </w:p>
  </w:endnote>
  <w:endnote w:type="continuationSeparator" w:id="0">
    <w:p w:rsidR="009B0F26" w:rsidRDefault="009B0F26" w:rsidP="00803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26" w:rsidRDefault="009B0F26" w:rsidP="0080378D">
      <w:pPr>
        <w:spacing w:after="0" w:line="240" w:lineRule="auto"/>
      </w:pPr>
      <w:r>
        <w:separator/>
      </w:r>
    </w:p>
  </w:footnote>
  <w:footnote w:type="continuationSeparator" w:id="0">
    <w:p w:rsidR="009B0F26" w:rsidRDefault="009B0F26" w:rsidP="0080378D">
      <w:pPr>
        <w:spacing w:after="0" w:line="240" w:lineRule="auto"/>
      </w:pPr>
      <w:r>
        <w:continuationSeparator/>
      </w:r>
    </w:p>
  </w:footnote>
  <w:footnote w:id="1">
    <w:p w:rsidR="00E6149D" w:rsidRPr="00021C5A" w:rsidRDefault="00E6149D" w:rsidP="00021C5A">
      <w:pPr>
        <w:pStyle w:val="Textodenotaderodap"/>
        <w:ind w:left="142" w:hanging="142"/>
        <w:rPr>
          <w:rFonts w:ascii="Arial" w:hAnsi="Arial" w:cs="Arial"/>
        </w:rPr>
      </w:pPr>
      <w:r w:rsidRPr="00021C5A">
        <w:rPr>
          <w:rStyle w:val="Refdenotaderodap"/>
        </w:rPr>
        <w:footnoteRef/>
      </w:r>
      <w:r w:rsidRPr="00021C5A">
        <w:t xml:space="preserve">Artigo científico apresentado à disciplina de </w:t>
      </w:r>
      <w:r w:rsidR="00812BC8">
        <w:t>Processo de Conhecimento I</w:t>
      </w:r>
      <w:r w:rsidRPr="00021C5A">
        <w:t xml:space="preserve"> do 4° período notur</w:t>
      </w:r>
      <w:r w:rsidR="00D2039C">
        <w:t>no do curso de Direito</w:t>
      </w:r>
    </w:p>
  </w:footnote>
  <w:footnote w:id="2">
    <w:p w:rsidR="00E6149D" w:rsidRPr="000246F3" w:rsidRDefault="00E6149D">
      <w:pPr>
        <w:pStyle w:val="Textodenotaderodap"/>
      </w:pPr>
      <w:r w:rsidRPr="000246F3">
        <w:rPr>
          <w:rStyle w:val="Refdenotaderodap"/>
        </w:rPr>
        <w:footnoteRef/>
      </w:r>
      <w:r>
        <w:t xml:space="preserve"> Aluna</w:t>
      </w:r>
      <w:r w:rsidRPr="000246F3">
        <w:t xml:space="preserve"> do 4° Perí</w:t>
      </w:r>
      <w:r w:rsidR="00D2039C">
        <w:t>odo Noturno do curso de Direito</w:t>
      </w:r>
    </w:p>
  </w:footnote>
  <w:footnote w:id="3">
    <w:p w:rsidR="00E6149D" w:rsidRDefault="00E6149D">
      <w:pPr>
        <w:pStyle w:val="Textodenotaderodap"/>
      </w:pPr>
      <w:r>
        <w:rPr>
          <w:rStyle w:val="Refdenotaderodap"/>
        </w:rPr>
        <w:footnoteRef/>
      </w:r>
      <w:r>
        <w:t xml:space="preserve"> Segundo DIDIER (2012, p. 374) a não denunciação da lide no caso dos incisos II e III do art</w:t>
      </w:r>
      <w:r w:rsidR="00894602">
        <w:t>.</w:t>
      </w:r>
      <w:r>
        <w:t xml:space="preserve"> 70 do CPC implica a perda da oportunidade de ver o direito regressivo apreciado no mesmo processo, sendo permitido, então, demanda autônoma para o exercício da pretensão do ressarcimento.</w:t>
      </w:r>
    </w:p>
  </w:footnote>
  <w:footnote w:id="4">
    <w:p w:rsidR="007F6A68" w:rsidRDefault="007F6A68">
      <w:pPr>
        <w:pStyle w:val="Textodenotaderodap"/>
      </w:pPr>
      <w:r>
        <w:rPr>
          <w:rStyle w:val="Refdenotaderodap"/>
        </w:rPr>
        <w:footnoteRef/>
      </w:r>
      <w:r w:rsidRPr="000A3ADA">
        <w:t>NERY, Jr., Nelson, NERY, Rosa.</w:t>
      </w:r>
      <w:r w:rsidRPr="004A6CC2">
        <w:t>Código de Processo Civil comentado e</w:t>
      </w:r>
      <w:r>
        <w:t xml:space="preserve"> legislação extravagante. 8 ed. São Paulo: RT, 2004, p.245</w:t>
      </w:r>
    </w:p>
  </w:footnote>
  <w:footnote w:id="5">
    <w:p w:rsidR="00E6149D" w:rsidRDefault="00E6149D">
      <w:pPr>
        <w:pStyle w:val="Textodenotaderodap"/>
      </w:pPr>
      <w:r>
        <w:rPr>
          <w:rStyle w:val="Refdenotaderodap"/>
        </w:rPr>
        <w:footnoteRef/>
      </w:r>
      <w:r>
        <w:t xml:space="preserve"> É o que acontece no âmbito dos juizados especiais (Didier, 2012, p. 375)</w:t>
      </w:r>
    </w:p>
  </w:footnote>
  <w:footnote w:id="6">
    <w:p w:rsidR="00CB48D8" w:rsidRDefault="00CB48D8" w:rsidP="00CB48D8">
      <w:pPr>
        <w:pStyle w:val="Textodenotaderodap"/>
      </w:pPr>
      <w:r>
        <w:rPr>
          <w:rStyle w:val="Refdenotaderodap"/>
        </w:rPr>
        <w:footnoteRef/>
      </w:r>
      <w:r>
        <w:t xml:space="preserve"> Art. 456 do </w:t>
      </w:r>
      <w:r w:rsidR="00AC3E97">
        <w:t>Código</w:t>
      </w:r>
      <w:r>
        <w:t xml:space="preserve"> Civil: Para poder exercitar o direito que da evicção lhe resulta, o adquirente notificará do litígio o alienante imediato ou qualquer dos anteriores, quando e como determinarem as leis do processo.</w:t>
      </w:r>
    </w:p>
  </w:footnote>
  <w:footnote w:id="7">
    <w:p w:rsidR="00E6149D" w:rsidRPr="00AC3E97" w:rsidRDefault="00E6149D">
      <w:pPr>
        <w:pStyle w:val="Textodenotaderodap"/>
      </w:pPr>
      <w:r>
        <w:rPr>
          <w:rStyle w:val="Refdenotaderodap"/>
        </w:rPr>
        <w:footnoteRef/>
      </w:r>
      <w:r w:rsidRPr="00AC3E97">
        <w:t xml:space="preserve"> DIDIER</w:t>
      </w:r>
      <w:r w:rsidR="00AC3E97" w:rsidRPr="00AC3E97">
        <w:t xml:space="preserve"> JR.</w:t>
      </w:r>
      <w:r w:rsidR="00AC3E97">
        <w:t xml:space="preserve"> Fredier. Curso de Direito Processual Civil, vol.1. 13ª Ed. Bahia: Ed PODIVM.</w:t>
      </w:r>
      <w:r w:rsidRPr="00AC3E97">
        <w:t xml:space="preserve"> (2012, p. 375)</w:t>
      </w:r>
    </w:p>
  </w:footnote>
  <w:footnote w:id="8">
    <w:p w:rsidR="00E6149D" w:rsidRDefault="00E6149D">
      <w:pPr>
        <w:pStyle w:val="Textodenotaderodap"/>
      </w:pPr>
      <w:r>
        <w:rPr>
          <w:rStyle w:val="Refdenotaderodap"/>
        </w:rPr>
        <w:footnoteRef/>
      </w:r>
      <w:r w:rsidR="00AC3E97" w:rsidRPr="00D2039C">
        <w:t xml:space="preserve">DIDIER Op Cit. </w:t>
      </w:r>
      <w:r w:rsidRPr="00D2039C">
        <w:t xml:space="preserve">APUD YARSHELL, FlavioLuiz. </w:t>
      </w:r>
      <w:r>
        <w:t xml:space="preserve">“três temas de direito processual no </w:t>
      </w:r>
      <w:r w:rsidR="00894602">
        <w:t>âmbito</w:t>
      </w:r>
      <w:r>
        <w:t xml:space="preserve"> do direito das </w:t>
      </w:r>
      <w:r w:rsidR="00894602">
        <w:t>obrigações</w:t>
      </w:r>
      <w:r>
        <w:t xml:space="preserve"> e dos contratos”</w:t>
      </w:r>
    </w:p>
  </w:footnote>
  <w:footnote w:id="9">
    <w:p w:rsidR="00E6149D" w:rsidRDefault="00E6149D">
      <w:pPr>
        <w:pStyle w:val="Textodenotaderodap"/>
      </w:pPr>
      <w:r>
        <w:rPr>
          <w:rStyle w:val="Refdenotaderodap"/>
        </w:rPr>
        <w:footnoteRef/>
      </w:r>
      <w:r w:rsidR="00AC3E97">
        <w:t xml:space="preserve">DIDIER Op. Cit. </w:t>
      </w:r>
      <w:r>
        <w:t>APUD YARSHELL, Flávio Luiz. Três temas de direito processual civil o âmbito do direito das obrigações e dos contratos.</w:t>
      </w:r>
    </w:p>
  </w:footnote>
  <w:footnote w:id="10">
    <w:p w:rsidR="00E6149D" w:rsidRDefault="00E6149D">
      <w:pPr>
        <w:pStyle w:val="Textodenotaderodap"/>
      </w:pPr>
      <w:r>
        <w:rPr>
          <w:rStyle w:val="Refdenotaderodap"/>
        </w:rPr>
        <w:footnoteRef/>
      </w:r>
      <w:r>
        <w:t xml:space="preserve"> Projeto de Lei 6.960/2002</w:t>
      </w:r>
    </w:p>
  </w:footnote>
  <w:footnote w:id="11">
    <w:p w:rsidR="00E6149D" w:rsidRDefault="00E6149D" w:rsidP="008E18F9">
      <w:pPr>
        <w:pStyle w:val="Textodenotaderodap"/>
      </w:pPr>
      <w:r>
        <w:rPr>
          <w:rStyle w:val="Refdenotaderodap"/>
        </w:rPr>
        <w:footnoteRef/>
      </w:r>
      <w:r>
        <w:t xml:space="preserve"> Perda relacionada somente à possibilidade de intervenção de terceiros</w:t>
      </w:r>
    </w:p>
  </w:footnote>
  <w:footnote w:id="12">
    <w:p w:rsidR="00E6149D" w:rsidRDefault="00E6149D">
      <w:pPr>
        <w:pStyle w:val="Textodenotaderodap"/>
      </w:pPr>
      <w:r>
        <w:rPr>
          <w:rStyle w:val="Refdenotaderodap"/>
        </w:rPr>
        <w:footnoteRef/>
      </w:r>
      <w:r>
        <w:t xml:space="preserve"> DIDIER, Fredier Jr, WANBIER, Teresa Arruda Alvim. Aspectos polêmicos e atuais sobre os terceiros no processo civil e assuntos afins.</w:t>
      </w:r>
    </w:p>
  </w:footnote>
  <w:footnote w:id="13">
    <w:p w:rsidR="00E6149D" w:rsidRDefault="00E6149D">
      <w:pPr>
        <w:pStyle w:val="Textodenotaderodap"/>
      </w:pPr>
      <w:r>
        <w:rPr>
          <w:rStyle w:val="Refdenotaderodap"/>
        </w:rPr>
        <w:footnoteRef/>
      </w:r>
      <w:r>
        <w:t xml:space="preserve"> DIDIER (2012,p. 377)</w:t>
      </w:r>
    </w:p>
  </w:footnote>
  <w:footnote w:id="14">
    <w:p w:rsidR="00E6149D" w:rsidRDefault="00E6149D">
      <w:pPr>
        <w:pStyle w:val="Textodenotaderodap"/>
      </w:pPr>
      <w:r>
        <w:rPr>
          <w:rStyle w:val="Refdenotaderodap"/>
        </w:rPr>
        <w:footnoteRef/>
      </w:r>
      <w:r>
        <w:t xml:space="preserve"> DIDIER (2012, p. 378)</w:t>
      </w:r>
    </w:p>
  </w:footnote>
  <w:footnote w:id="15">
    <w:p w:rsidR="00E6149D" w:rsidRDefault="00E6149D">
      <w:pPr>
        <w:pStyle w:val="Textodenotaderodap"/>
      </w:pPr>
      <w:r>
        <w:rPr>
          <w:rStyle w:val="Refdenotaderodap"/>
        </w:rPr>
        <w:footnoteRef/>
      </w:r>
      <w:r>
        <w:t xml:space="preserve"> Percebe-se a necessidade de aproximação do direito materialao processual no parágrafo único do art. 456, no sentido de pretender uma realização concreta de aplicação do direito material no processo, uma vez que preceitua não somente a possibilidade responsabilidade “por salto”, mas prevê uma facilitação na aplicação, nos termos: (..) pode o adquirente deixar de oferecer contestação, ou deixar de usar recursos.”</w:t>
      </w:r>
    </w:p>
  </w:footnote>
  <w:footnote w:id="16">
    <w:p w:rsidR="00E6149D" w:rsidRDefault="00E6149D">
      <w:pPr>
        <w:pStyle w:val="Textodenotaderodap"/>
      </w:pPr>
      <w:r>
        <w:rPr>
          <w:rStyle w:val="Refdenotaderodap"/>
        </w:rPr>
        <w:footnoteRef/>
      </w:r>
      <w:r w:rsidR="00924BDE">
        <w:t xml:space="preserve">BUENO, Cássio Scarpinella. </w:t>
      </w:r>
      <w:r w:rsidR="00924BDE" w:rsidRPr="00924BDE">
        <w:t>A</w:t>
      </w:r>
      <w:r w:rsidR="00924BDE">
        <w:t xml:space="preserve"> denunciação da lide e o artigo 456 do novo Código Civil. p.10 Disponível em:&lt;</w:t>
      </w:r>
      <w:r w:rsidRPr="0093426E">
        <w:t>http://www.scarpinellabueno.com.br/Textos/Denuncia%C3%A7%C3%A3o%20da%20lide%20_Arruda%20Alvim_.pdf</w:t>
      </w:r>
      <w:r w:rsidR="00924BDE">
        <w:t>&gt;</w:t>
      </w:r>
    </w:p>
  </w:footnote>
  <w:footnote w:id="17">
    <w:p w:rsidR="002F283C" w:rsidRPr="002F283C" w:rsidRDefault="002F283C">
      <w:pPr>
        <w:pStyle w:val="Textodenotaderodap"/>
      </w:pPr>
      <w:r>
        <w:rPr>
          <w:rStyle w:val="Refdenotaderodap"/>
        </w:rPr>
        <w:footnoteRef/>
      </w:r>
      <w:r>
        <w:t xml:space="preserve">Denunciação da Lide ‘Per Saltum.  </w:t>
      </w:r>
      <w:r w:rsidRPr="002F283C">
        <w:t xml:space="preserve">Disponível em: </w:t>
      </w:r>
      <w:hyperlink r:id="rId1" w:history="1">
        <w:r w:rsidRPr="002F283C">
          <w:rPr>
            <w:rStyle w:val="Hyperlink"/>
            <w:color w:val="auto"/>
            <w:u w:val="none"/>
          </w:rPr>
          <w:t>http://www.maxwell.lambda.ele.puc-rio.br/10110/10110.PDF</w:t>
        </w:r>
      </w:hyperlink>
    </w:p>
  </w:footnote>
  <w:footnote w:id="18">
    <w:p w:rsidR="00E6149D" w:rsidRPr="004A6CC2" w:rsidRDefault="00E6149D">
      <w:pPr>
        <w:pStyle w:val="Textodenotaderodap"/>
      </w:pPr>
      <w:r>
        <w:rPr>
          <w:rStyle w:val="Refdenotaderodap"/>
        </w:rPr>
        <w:footnoteRef/>
      </w:r>
      <w:r w:rsidRPr="000A3ADA">
        <w:t xml:space="preserve"> NERY, Jr., Nelson, NERY, Rosa.</w:t>
      </w:r>
      <w:r w:rsidRPr="004A6CC2">
        <w:t>Código de Processo Civil comentado e</w:t>
      </w:r>
      <w:r>
        <w:t xml:space="preserve"> legislação extravagante. 8 ed. São Paulo: RT, 2004, p.499</w:t>
      </w:r>
    </w:p>
  </w:footnote>
  <w:footnote w:id="19">
    <w:p w:rsidR="00E6149D" w:rsidRPr="00AC3E97" w:rsidRDefault="00E6149D">
      <w:pPr>
        <w:pStyle w:val="Textodenotaderodap"/>
      </w:pPr>
      <w:r>
        <w:rPr>
          <w:rStyle w:val="Refdenotaderodap"/>
        </w:rPr>
        <w:footnoteRef/>
      </w:r>
      <w:r w:rsidR="00AC3E97">
        <w:t xml:space="preserve">DIDIER Op. cit. </w:t>
      </w:r>
      <w:r w:rsidRPr="00AC3E97">
        <w:t>APUD ARAGÃO</w:t>
      </w:r>
      <w:r>
        <w:t xml:space="preserve">, Egas Dirceu Moniz de. “Sobre o chamamento à autoria” Revista AJURIS. </w:t>
      </w:r>
      <w:r w:rsidRPr="00AC3E97">
        <w:t>Porto Alegre: AJURIS, 1982, n. 25, p-40-45.</w:t>
      </w:r>
    </w:p>
  </w:footnote>
  <w:footnote w:id="20">
    <w:p w:rsidR="00E6149D" w:rsidRPr="00AC3E97" w:rsidRDefault="00E6149D">
      <w:pPr>
        <w:pStyle w:val="Textodenotaderodap"/>
      </w:pPr>
      <w:r w:rsidRPr="00AC3E97">
        <w:rPr>
          <w:rStyle w:val="Refdenotaderodap"/>
        </w:rPr>
        <w:footnoteRef/>
      </w:r>
      <w:r w:rsidR="002F283C" w:rsidRPr="00AC3E97">
        <w:t>Disponivel em: &lt;</w:t>
      </w:r>
      <w:r w:rsidRPr="00AC3E97">
        <w:t>http://www.oab.org.br/editora/revista/users/revista/1235067126174218181901.pdf</w:t>
      </w:r>
      <w:r w:rsidR="002F283C" w:rsidRPr="00AC3E97">
        <w:t>&gt;</w:t>
      </w:r>
    </w:p>
  </w:footnote>
  <w:footnote w:id="21">
    <w:p w:rsidR="00E6149D" w:rsidRPr="00924BDE" w:rsidRDefault="00E6149D">
      <w:pPr>
        <w:pStyle w:val="Textodenotaderodap"/>
        <w:rPr>
          <w:color w:val="FF0000"/>
        </w:rPr>
      </w:pPr>
      <w:r w:rsidRPr="00AC3E97">
        <w:rPr>
          <w:rStyle w:val="Refdenotaderodap"/>
        </w:rPr>
        <w:footnoteRef/>
      </w:r>
      <w:r w:rsidR="00AC3E97" w:rsidRPr="00AC3E97">
        <w:t>DIDIER JR. Fredier, Walbier, Teresa Arruda Alvim. Aspectos polêmicos e atuais sobre os terceiros no processo civil e assuntos afins. São Paulo: Ed. Revistas dos Tribunais, 2004.</w:t>
      </w:r>
    </w:p>
  </w:footnote>
  <w:footnote w:id="22">
    <w:p w:rsidR="00E6149D" w:rsidRDefault="00E6149D">
      <w:pPr>
        <w:pStyle w:val="Textodenotaderodap"/>
      </w:pPr>
      <w:r>
        <w:rPr>
          <w:rStyle w:val="Refdenotaderodap"/>
        </w:rPr>
        <w:footnoteRef/>
      </w:r>
      <w:r>
        <w:t xml:space="preserve"> DIDIER (P. 379)</w:t>
      </w:r>
    </w:p>
  </w:footnote>
  <w:footnote w:id="23">
    <w:p w:rsidR="002F283C" w:rsidRDefault="002F283C">
      <w:pPr>
        <w:pStyle w:val="Textodenotaderodap"/>
      </w:pPr>
      <w:r>
        <w:rPr>
          <w:rStyle w:val="Refdenotaderodap"/>
        </w:rPr>
        <w:footnoteRef/>
      </w:r>
      <w:r>
        <w:t xml:space="preserve"> Art. 6º do CPC: Ninguém poderá pleitear, em nome próprio, direito alheio, salvo quando autorizado por lei.</w:t>
      </w:r>
    </w:p>
  </w:footnote>
  <w:footnote w:id="24">
    <w:p w:rsidR="00E6149D" w:rsidRDefault="00E6149D">
      <w:pPr>
        <w:pStyle w:val="Textodenotaderodap"/>
      </w:pPr>
      <w:r>
        <w:rPr>
          <w:rStyle w:val="Refdenotaderodap"/>
        </w:rPr>
        <w:footnoteRef/>
      </w:r>
      <w:r>
        <w:t xml:space="preserve"> ASPECTOS POLEMICOS APUD DIREITO PROCESSUAL</w:t>
      </w:r>
    </w:p>
  </w:footnote>
  <w:footnote w:id="25">
    <w:p w:rsidR="000F2D7F" w:rsidRPr="00AC3E97" w:rsidRDefault="000F2D7F">
      <w:pPr>
        <w:pStyle w:val="Textodenotaderodap"/>
      </w:pPr>
      <w:r w:rsidRPr="00AC3E97">
        <w:rPr>
          <w:rStyle w:val="Refdenotaderodap"/>
        </w:rPr>
        <w:footnoteRef/>
      </w:r>
      <w:r w:rsidR="00AC3E97" w:rsidRPr="00AC3E97">
        <w:t>DINAMARCO, Cândido Rangel. A instrumentalidade do processo. 13. Ed. Malheiros Editores: São Paulo, 2008.</w:t>
      </w:r>
      <w:r w:rsidRPr="00AC3E97">
        <w:t>p.20</w:t>
      </w:r>
    </w:p>
  </w:footnote>
  <w:footnote w:id="26">
    <w:p w:rsidR="00E6149D" w:rsidRDefault="00E6149D">
      <w:pPr>
        <w:pStyle w:val="Textodenotaderodap"/>
      </w:pPr>
      <w:r w:rsidRPr="00AC3E97">
        <w:rPr>
          <w:rStyle w:val="Refdenotaderodap"/>
        </w:rPr>
        <w:footnoteRef/>
      </w:r>
      <w:r w:rsidR="00AC3E97" w:rsidRPr="00AC3E97">
        <w:t>D’AGUIAR, Guilherme. Op. Cit. p. 43</w:t>
      </w:r>
    </w:p>
  </w:footnote>
  <w:footnote w:id="27">
    <w:p w:rsidR="00830726" w:rsidRPr="00830726" w:rsidRDefault="00830726">
      <w:pPr>
        <w:pStyle w:val="Textodenotaderodap"/>
      </w:pPr>
      <w:r w:rsidRPr="00830726">
        <w:rPr>
          <w:rStyle w:val="Refdenotaderodap"/>
        </w:rPr>
        <w:footnoteRef/>
      </w:r>
      <w:hyperlink r:id="rId2" w:history="1">
        <w:r w:rsidR="00D52174" w:rsidRPr="00D52174">
          <w:rPr>
            <w:rStyle w:val="Hyperlink"/>
            <w:color w:val="auto"/>
            <w:u w:val="none"/>
          </w:rPr>
          <w:t>http://daleth.cjf.jus.br/revista/enunciados/IIIJornada.pdf</w:t>
        </w:r>
      </w:hyperlink>
      <w:r w:rsidR="00D52174" w:rsidRPr="00D52174">
        <w:t>.</w:t>
      </w:r>
      <w:r w:rsidR="00D52174">
        <w:t xml:space="preserve"> Evidencia a tendência da corte para a admissão da possibilidade.</w:t>
      </w:r>
    </w:p>
  </w:footnote>
  <w:footnote w:id="28">
    <w:p w:rsidR="00830726" w:rsidRDefault="00830726">
      <w:pPr>
        <w:pStyle w:val="Textodenotaderodap"/>
      </w:pPr>
      <w:r w:rsidRPr="00830726">
        <w:rPr>
          <w:rStyle w:val="Refdenotaderodap"/>
        </w:rPr>
        <w:footnoteRef/>
      </w:r>
      <w:r w:rsidR="00894602" w:rsidRPr="00830726">
        <w:t>Disponível</w:t>
      </w:r>
      <w:r w:rsidRPr="00830726">
        <w:t xml:space="preserve"> em: &lt;</w:t>
      </w:r>
      <w:hyperlink r:id="rId3" w:history="1">
        <w:r w:rsidRPr="00830726">
          <w:rPr>
            <w:rStyle w:val="Hyperlink"/>
            <w:color w:val="auto"/>
            <w:u w:val="none"/>
          </w:rPr>
          <w:t>http://ww2.stj.jus.br/processo/jsp/ita/abreDocumento.jsp?num_registro=199000079870&amp;dt_publicacao=30-03-1992&amp;xod_tipo_documento=</w:t>
        </w:r>
      </w:hyperlink>
      <w:r w:rsidRPr="00830726">
        <w:t>&gt;</w:t>
      </w:r>
    </w:p>
  </w:footnote>
  <w:footnote w:id="29">
    <w:p w:rsidR="009138AE" w:rsidRDefault="009138AE">
      <w:pPr>
        <w:pStyle w:val="Textodenotaderodap"/>
      </w:pPr>
      <w:r>
        <w:rPr>
          <w:rStyle w:val="Refdenotaderodap"/>
        </w:rPr>
        <w:footnoteRef/>
      </w:r>
      <w:r>
        <w:t xml:space="preserve"> DINAMARCO, Cândido Rangel. A instrumentalidade do processo. 13. Ed. Malheiros Editores: São Paulo, 2008. p 177</w:t>
      </w:r>
    </w:p>
  </w:footnote>
  <w:footnote w:id="30">
    <w:p w:rsidR="0068775F" w:rsidRDefault="0068775F">
      <w:pPr>
        <w:pStyle w:val="Textodenotaderodap"/>
      </w:pPr>
      <w:r>
        <w:rPr>
          <w:rStyle w:val="Refdenotaderodap"/>
        </w:rPr>
        <w:footnoteRef/>
      </w:r>
      <w:r>
        <w:t xml:space="preserve"> Idem, p. 29.</w:t>
      </w:r>
    </w:p>
  </w:footnote>
  <w:footnote w:id="31">
    <w:p w:rsidR="000804AC" w:rsidRDefault="000804AC">
      <w:pPr>
        <w:pStyle w:val="Textodenotaderodap"/>
      </w:pPr>
      <w:r>
        <w:rPr>
          <w:rStyle w:val="Refdenotaderodap"/>
        </w:rPr>
        <w:footnoteRef/>
      </w:r>
      <w:r>
        <w:t>Art. 73, do CPC: Para os fins do disposto no art. 70, o denunciante, por sua vez, intimará do litígio o alienante, o proprietário, o possuidor indireto ou o responsável pela indenização e assim, sucessivamente, observando-se quanto aos prazos</w:t>
      </w:r>
      <w:r w:rsidR="00894602">
        <w:t>.</w:t>
      </w:r>
    </w:p>
  </w:footnote>
  <w:footnote w:id="32">
    <w:p w:rsidR="000804AC" w:rsidRDefault="000804AC">
      <w:pPr>
        <w:pStyle w:val="Textodenotaderodap"/>
      </w:pPr>
      <w:r>
        <w:rPr>
          <w:rStyle w:val="Refdenotaderodap"/>
        </w:rPr>
        <w:footnoteRef/>
      </w:r>
      <w:r w:rsidRPr="004A6CC2">
        <w:t>Código de Processo Civil comentado e</w:t>
      </w:r>
      <w:r>
        <w:t xml:space="preserve"> legislação extravagante. Op. Cit. p. 252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6229"/>
      <w:docPartObj>
        <w:docPartGallery w:val="Page Numbers (Top of Page)"/>
        <w:docPartUnique/>
      </w:docPartObj>
    </w:sdtPr>
    <w:sdtContent>
      <w:p w:rsidR="00E6149D" w:rsidRDefault="006674F2">
        <w:pPr>
          <w:pStyle w:val="Cabealho"/>
          <w:jc w:val="right"/>
        </w:pPr>
        <w:r>
          <w:fldChar w:fldCharType="begin"/>
        </w:r>
        <w:r w:rsidR="00924BDE">
          <w:instrText xml:space="preserve"> PAGE   \* MERGEFORMAT </w:instrText>
        </w:r>
        <w:r>
          <w:fldChar w:fldCharType="separate"/>
        </w:r>
        <w:r w:rsidR="009B0F26">
          <w:rPr>
            <w:noProof/>
          </w:rPr>
          <w:t>1</w:t>
        </w:r>
        <w:r>
          <w:rPr>
            <w:noProof/>
          </w:rPr>
          <w:fldChar w:fldCharType="end"/>
        </w:r>
      </w:p>
    </w:sdtContent>
  </w:sdt>
  <w:p w:rsidR="00E6149D" w:rsidRDefault="00E614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F6ACF"/>
    <w:multiLevelType w:val="hybridMultilevel"/>
    <w:tmpl w:val="A16E9B9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221B2B2A"/>
    <w:multiLevelType w:val="hybridMultilevel"/>
    <w:tmpl w:val="C2C461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166638"/>
    <w:multiLevelType w:val="hybridMultilevel"/>
    <w:tmpl w:val="8334D766"/>
    <w:lvl w:ilvl="0" w:tplc="B27CAF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733E47"/>
    <w:multiLevelType w:val="hybridMultilevel"/>
    <w:tmpl w:val="D0D2ACC2"/>
    <w:lvl w:ilvl="0" w:tplc="687615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A7783F"/>
    <w:multiLevelType w:val="multilevel"/>
    <w:tmpl w:val="D0BC4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6B059F"/>
    <w:multiLevelType w:val="multilevel"/>
    <w:tmpl w:val="C5DE4D06"/>
    <w:lvl w:ilvl="0">
      <w:start w:val="1"/>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6">
    <w:nsid w:val="38832987"/>
    <w:multiLevelType w:val="hybridMultilevel"/>
    <w:tmpl w:val="5366F3D2"/>
    <w:lvl w:ilvl="0" w:tplc="39C6B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C95E01"/>
    <w:multiLevelType w:val="hybridMultilevel"/>
    <w:tmpl w:val="2A60EF6A"/>
    <w:lvl w:ilvl="0" w:tplc="E2E652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DE030BB"/>
    <w:multiLevelType w:val="multilevel"/>
    <w:tmpl w:val="1F1CE3D6"/>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13D7567"/>
    <w:multiLevelType w:val="hybridMultilevel"/>
    <w:tmpl w:val="AF7A71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CD33E2"/>
    <w:multiLevelType w:val="hybridMultilevel"/>
    <w:tmpl w:val="68FE53AA"/>
    <w:lvl w:ilvl="0" w:tplc="10EC8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7"/>
  </w:num>
  <w:num w:numId="6">
    <w:abstractNumId w:val="1"/>
  </w:num>
  <w:num w:numId="7">
    <w:abstractNumId w:val="3"/>
  </w:num>
  <w:num w:numId="8">
    <w:abstractNumId w:val="6"/>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4B7BF5"/>
    <w:rsid w:val="00014774"/>
    <w:rsid w:val="00021C5A"/>
    <w:rsid w:val="000246F3"/>
    <w:rsid w:val="00026B4C"/>
    <w:rsid w:val="0004520E"/>
    <w:rsid w:val="00053624"/>
    <w:rsid w:val="000640A7"/>
    <w:rsid w:val="00074B5E"/>
    <w:rsid w:val="000777B9"/>
    <w:rsid w:val="000804AC"/>
    <w:rsid w:val="000A3ADA"/>
    <w:rsid w:val="000A5545"/>
    <w:rsid w:val="000B4A5A"/>
    <w:rsid w:val="000B6543"/>
    <w:rsid w:val="000C217A"/>
    <w:rsid w:val="000C2EC3"/>
    <w:rsid w:val="000F2D7F"/>
    <w:rsid w:val="00117E52"/>
    <w:rsid w:val="0013581B"/>
    <w:rsid w:val="001527FC"/>
    <w:rsid w:val="00160E6C"/>
    <w:rsid w:val="00170B38"/>
    <w:rsid w:val="00180A7F"/>
    <w:rsid w:val="0018379E"/>
    <w:rsid w:val="001B1D54"/>
    <w:rsid w:val="001B5C1E"/>
    <w:rsid w:val="001C4905"/>
    <w:rsid w:val="001E44C3"/>
    <w:rsid w:val="001E4A15"/>
    <w:rsid w:val="00201A4C"/>
    <w:rsid w:val="002071D8"/>
    <w:rsid w:val="00225307"/>
    <w:rsid w:val="00256238"/>
    <w:rsid w:val="0027565D"/>
    <w:rsid w:val="00281C2B"/>
    <w:rsid w:val="00282BB1"/>
    <w:rsid w:val="00294DB6"/>
    <w:rsid w:val="002966C9"/>
    <w:rsid w:val="002F26CB"/>
    <w:rsid w:val="002F283C"/>
    <w:rsid w:val="003067A0"/>
    <w:rsid w:val="003146EC"/>
    <w:rsid w:val="00322231"/>
    <w:rsid w:val="0034747A"/>
    <w:rsid w:val="00380541"/>
    <w:rsid w:val="003848AE"/>
    <w:rsid w:val="00396B27"/>
    <w:rsid w:val="003970DC"/>
    <w:rsid w:val="003D7C96"/>
    <w:rsid w:val="003E1C36"/>
    <w:rsid w:val="003F0647"/>
    <w:rsid w:val="004066EC"/>
    <w:rsid w:val="00406CD4"/>
    <w:rsid w:val="00416A83"/>
    <w:rsid w:val="00430321"/>
    <w:rsid w:val="00434D84"/>
    <w:rsid w:val="00437FE7"/>
    <w:rsid w:val="00447030"/>
    <w:rsid w:val="004475E9"/>
    <w:rsid w:val="0046047C"/>
    <w:rsid w:val="0047246C"/>
    <w:rsid w:val="00493176"/>
    <w:rsid w:val="004A6CC2"/>
    <w:rsid w:val="004A798A"/>
    <w:rsid w:val="004B3D6B"/>
    <w:rsid w:val="004B43B7"/>
    <w:rsid w:val="004B7BF5"/>
    <w:rsid w:val="004C2D7D"/>
    <w:rsid w:val="004D08B8"/>
    <w:rsid w:val="004D0C81"/>
    <w:rsid w:val="004F415B"/>
    <w:rsid w:val="00504E62"/>
    <w:rsid w:val="0050648C"/>
    <w:rsid w:val="00517C8E"/>
    <w:rsid w:val="005263F9"/>
    <w:rsid w:val="00530C71"/>
    <w:rsid w:val="005A7053"/>
    <w:rsid w:val="005C5586"/>
    <w:rsid w:val="005D72F3"/>
    <w:rsid w:val="005F125C"/>
    <w:rsid w:val="00644EF3"/>
    <w:rsid w:val="006674F2"/>
    <w:rsid w:val="0068775F"/>
    <w:rsid w:val="00695FD6"/>
    <w:rsid w:val="00696349"/>
    <w:rsid w:val="006C7D48"/>
    <w:rsid w:val="00702D58"/>
    <w:rsid w:val="00702EC3"/>
    <w:rsid w:val="007107C0"/>
    <w:rsid w:val="00730E29"/>
    <w:rsid w:val="0076265B"/>
    <w:rsid w:val="00776B8A"/>
    <w:rsid w:val="007810B8"/>
    <w:rsid w:val="0078429B"/>
    <w:rsid w:val="00785525"/>
    <w:rsid w:val="00796AF0"/>
    <w:rsid w:val="007973F5"/>
    <w:rsid w:val="007C79EE"/>
    <w:rsid w:val="007E6C86"/>
    <w:rsid w:val="007E6DD5"/>
    <w:rsid w:val="007E7BCA"/>
    <w:rsid w:val="007F6A68"/>
    <w:rsid w:val="0080060D"/>
    <w:rsid w:val="008006ED"/>
    <w:rsid w:val="0080378D"/>
    <w:rsid w:val="00805ADB"/>
    <w:rsid w:val="008113BE"/>
    <w:rsid w:val="0081169A"/>
    <w:rsid w:val="00812BC8"/>
    <w:rsid w:val="00830726"/>
    <w:rsid w:val="008419CE"/>
    <w:rsid w:val="0085436C"/>
    <w:rsid w:val="00871FA7"/>
    <w:rsid w:val="0088102B"/>
    <w:rsid w:val="00894602"/>
    <w:rsid w:val="008B7A85"/>
    <w:rsid w:val="008E18F9"/>
    <w:rsid w:val="008F1D51"/>
    <w:rsid w:val="009105C5"/>
    <w:rsid w:val="009138AE"/>
    <w:rsid w:val="0091498B"/>
    <w:rsid w:val="00924BDE"/>
    <w:rsid w:val="009330F5"/>
    <w:rsid w:val="0093426E"/>
    <w:rsid w:val="009442F7"/>
    <w:rsid w:val="00950A3C"/>
    <w:rsid w:val="00971B3F"/>
    <w:rsid w:val="00981A13"/>
    <w:rsid w:val="00985AB3"/>
    <w:rsid w:val="009A0B84"/>
    <w:rsid w:val="009B0F26"/>
    <w:rsid w:val="009B3181"/>
    <w:rsid w:val="009C3D86"/>
    <w:rsid w:val="009C6E05"/>
    <w:rsid w:val="009D3EB7"/>
    <w:rsid w:val="009D4AB2"/>
    <w:rsid w:val="009F548E"/>
    <w:rsid w:val="00A07589"/>
    <w:rsid w:val="00A07C79"/>
    <w:rsid w:val="00A10A42"/>
    <w:rsid w:val="00A216A9"/>
    <w:rsid w:val="00A30B7C"/>
    <w:rsid w:val="00A4344A"/>
    <w:rsid w:val="00A45E4F"/>
    <w:rsid w:val="00A61F24"/>
    <w:rsid w:val="00A905B8"/>
    <w:rsid w:val="00AA3840"/>
    <w:rsid w:val="00AA5230"/>
    <w:rsid w:val="00AB04A8"/>
    <w:rsid w:val="00AB14C7"/>
    <w:rsid w:val="00AB3401"/>
    <w:rsid w:val="00AC2D21"/>
    <w:rsid w:val="00AC3E97"/>
    <w:rsid w:val="00AF5ACE"/>
    <w:rsid w:val="00B12901"/>
    <w:rsid w:val="00B23229"/>
    <w:rsid w:val="00B3548D"/>
    <w:rsid w:val="00B413CB"/>
    <w:rsid w:val="00B53E32"/>
    <w:rsid w:val="00B77D35"/>
    <w:rsid w:val="00B8121E"/>
    <w:rsid w:val="00B83971"/>
    <w:rsid w:val="00BB0142"/>
    <w:rsid w:val="00BB31C8"/>
    <w:rsid w:val="00BB6D0D"/>
    <w:rsid w:val="00BB6DBE"/>
    <w:rsid w:val="00BC2205"/>
    <w:rsid w:val="00BC5A95"/>
    <w:rsid w:val="00C01A3B"/>
    <w:rsid w:val="00C22E19"/>
    <w:rsid w:val="00C3169B"/>
    <w:rsid w:val="00C3666D"/>
    <w:rsid w:val="00C64855"/>
    <w:rsid w:val="00CB48D8"/>
    <w:rsid w:val="00CB5C54"/>
    <w:rsid w:val="00CB7D62"/>
    <w:rsid w:val="00CC26DC"/>
    <w:rsid w:val="00CD602A"/>
    <w:rsid w:val="00CD73BE"/>
    <w:rsid w:val="00D009BB"/>
    <w:rsid w:val="00D2039C"/>
    <w:rsid w:val="00D52174"/>
    <w:rsid w:val="00D53EC0"/>
    <w:rsid w:val="00D64731"/>
    <w:rsid w:val="00D7001C"/>
    <w:rsid w:val="00D84FFF"/>
    <w:rsid w:val="00D904E2"/>
    <w:rsid w:val="00DB6144"/>
    <w:rsid w:val="00DC6DBB"/>
    <w:rsid w:val="00DF741E"/>
    <w:rsid w:val="00E14F8B"/>
    <w:rsid w:val="00E178C0"/>
    <w:rsid w:val="00E35296"/>
    <w:rsid w:val="00E56DE1"/>
    <w:rsid w:val="00E6149D"/>
    <w:rsid w:val="00E67EFB"/>
    <w:rsid w:val="00E70779"/>
    <w:rsid w:val="00E82297"/>
    <w:rsid w:val="00E8607E"/>
    <w:rsid w:val="00E9096A"/>
    <w:rsid w:val="00EB3247"/>
    <w:rsid w:val="00EC168E"/>
    <w:rsid w:val="00ED4B48"/>
    <w:rsid w:val="00EF3447"/>
    <w:rsid w:val="00F0251B"/>
    <w:rsid w:val="00F05757"/>
    <w:rsid w:val="00F05AF1"/>
    <w:rsid w:val="00F15085"/>
    <w:rsid w:val="00F2791E"/>
    <w:rsid w:val="00F5462C"/>
    <w:rsid w:val="00F621F1"/>
    <w:rsid w:val="00F85BBA"/>
    <w:rsid w:val="00F86440"/>
    <w:rsid w:val="00FB2B87"/>
    <w:rsid w:val="00FB7CB3"/>
    <w:rsid w:val="00FF42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80378D"/>
    <w:rPr>
      <w:color w:val="0000FF"/>
      <w:u w:val="single"/>
    </w:rPr>
  </w:style>
  <w:style w:type="paragraph" w:styleId="Textodenotaderodap">
    <w:name w:val="footnote text"/>
    <w:basedOn w:val="Normal"/>
    <w:link w:val="TextodenotaderodapChar"/>
    <w:semiHidden/>
    <w:rsid w:val="0080378D"/>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80378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0378D"/>
    <w:rPr>
      <w:vertAlign w:val="superscript"/>
    </w:rPr>
  </w:style>
  <w:style w:type="paragraph" w:styleId="PargrafodaLista">
    <w:name w:val="List Paragraph"/>
    <w:basedOn w:val="Normal"/>
    <w:uiPriority w:val="34"/>
    <w:qFormat/>
    <w:rsid w:val="0080378D"/>
    <w:pPr>
      <w:ind w:left="720"/>
      <w:contextualSpacing/>
    </w:pPr>
    <w:rPr>
      <w:rFonts w:ascii="Calibri" w:eastAsia="Calibri" w:hAnsi="Calibri" w:cs="Times New Roman"/>
      <w:lang w:val="en-US"/>
    </w:rPr>
  </w:style>
  <w:style w:type="paragraph" w:customStyle="1" w:styleId="Default">
    <w:name w:val="Default"/>
    <w:rsid w:val="008037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bealho">
    <w:name w:val="header"/>
    <w:basedOn w:val="Normal"/>
    <w:link w:val="CabealhoChar"/>
    <w:uiPriority w:val="99"/>
    <w:unhideWhenUsed/>
    <w:rsid w:val="00BB6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D0D"/>
  </w:style>
  <w:style w:type="paragraph" w:styleId="Rodap">
    <w:name w:val="footer"/>
    <w:basedOn w:val="Normal"/>
    <w:link w:val="RodapChar"/>
    <w:uiPriority w:val="99"/>
    <w:semiHidden/>
    <w:unhideWhenUsed/>
    <w:rsid w:val="00BB6D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6D0D"/>
  </w:style>
  <w:style w:type="paragraph" w:customStyle="1" w:styleId="ecxmsonormal">
    <w:name w:val="ecxmsonormal"/>
    <w:basedOn w:val="Normal"/>
    <w:rsid w:val="00F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0060D"/>
  </w:style>
  <w:style w:type="character" w:styleId="nfase">
    <w:name w:val="Emphasis"/>
    <w:basedOn w:val="Fontepargpadro"/>
    <w:uiPriority w:val="20"/>
    <w:qFormat/>
    <w:rsid w:val="0080060D"/>
    <w:rPr>
      <w:i/>
      <w:iCs/>
    </w:rPr>
  </w:style>
  <w:style w:type="character" w:customStyle="1" w:styleId="qterm">
    <w:name w:val="qterm"/>
    <w:basedOn w:val="Fontepargpadro"/>
    <w:rsid w:val="0080060D"/>
  </w:style>
  <w:style w:type="paragraph" w:styleId="NormalWeb">
    <w:name w:val="Normal (Web)"/>
    <w:basedOn w:val="Normal"/>
    <w:uiPriority w:val="99"/>
    <w:semiHidden/>
    <w:unhideWhenUsed/>
    <w:rsid w:val="00B12901"/>
    <w:pPr>
      <w:spacing w:before="100" w:beforeAutospacing="1" w:after="100" w:afterAutospacing="1" w:line="240" w:lineRule="auto"/>
    </w:pPr>
    <w:rPr>
      <w:rFonts w:ascii="myriad-pro-2" w:eastAsia="Times New Roman" w:hAnsi="myriad-pro-2"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80378D"/>
    <w:rPr>
      <w:color w:val="0000FF"/>
      <w:u w:val="single"/>
    </w:rPr>
  </w:style>
  <w:style w:type="paragraph" w:styleId="Textodenotaderodap">
    <w:name w:val="footnote text"/>
    <w:basedOn w:val="Normal"/>
    <w:link w:val="TextodenotaderodapChar"/>
    <w:semiHidden/>
    <w:rsid w:val="0080378D"/>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80378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0378D"/>
    <w:rPr>
      <w:vertAlign w:val="superscript"/>
    </w:rPr>
  </w:style>
  <w:style w:type="paragraph" w:styleId="PargrafodaLista">
    <w:name w:val="List Paragraph"/>
    <w:basedOn w:val="Normal"/>
    <w:uiPriority w:val="34"/>
    <w:qFormat/>
    <w:rsid w:val="0080378D"/>
    <w:pPr>
      <w:ind w:left="720"/>
      <w:contextualSpacing/>
    </w:pPr>
    <w:rPr>
      <w:rFonts w:ascii="Calibri" w:eastAsia="Calibri" w:hAnsi="Calibri" w:cs="Times New Roman"/>
      <w:lang w:val="en-US"/>
    </w:rPr>
  </w:style>
  <w:style w:type="paragraph" w:customStyle="1" w:styleId="Default">
    <w:name w:val="Default"/>
    <w:rsid w:val="008037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bealho">
    <w:name w:val="header"/>
    <w:basedOn w:val="Normal"/>
    <w:link w:val="CabealhoChar"/>
    <w:uiPriority w:val="99"/>
    <w:unhideWhenUsed/>
    <w:rsid w:val="00BB6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D0D"/>
  </w:style>
  <w:style w:type="paragraph" w:styleId="Rodap">
    <w:name w:val="footer"/>
    <w:basedOn w:val="Normal"/>
    <w:link w:val="RodapChar"/>
    <w:uiPriority w:val="99"/>
    <w:semiHidden/>
    <w:unhideWhenUsed/>
    <w:rsid w:val="00BB6D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6D0D"/>
  </w:style>
  <w:style w:type="paragraph" w:customStyle="1" w:styleId="ecxmsonormal">
    <w:name w:val="ecxmsonormal"/>
    <w:basedOn w:val="Normal"/>
    <w:rsid w:val="00F0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0060D"/>
  </w:style>
  <w:style w:type="character" w:styleId="nfase">
    <w:name w:val="Emphasis"/>
    <w:basedOn w:val="Fontepargpadro"/>
    <w:uiPriority w:val="20"/>
    <w:qFormat/>
    <w:rsid w:val="0080060D"/>
    <w:rPr>
      <w:i/>
      <w:iCs/>
    </w:rPr>
  </w:style>
  <w:style w:type="character" w:customStyle="1" w:styleId="qterm">
    <w:name w:val="qterm"/>
    <w:basedOn w:val="Fontepargpadro"/>
    <w:rsid w:val="0080060D"/>
  </w:style>
  <w:style w:type="paragraph" w:styleId="NormalWeb">
    <w:name w:val="Normal (Web)"/>
    <w:basedOn w:val="Normal"/>
    <w:uiPriority w:val="99"/>
    <w:semiHidden/>
    <w:unhideWhenUsed/>
    <w:rsid w:val="00B12901"/>
    <w:pPr>
      <w:spacing w:before="100" w:beforeAutospacing="1" w:after="100" w:afterAutospacing="1" w:line="240" w:lineRule="auto"/>
    </w:pPr>
    <w:rPr>
      <w:rFonts w:ascii="myriad-pro-2" w:eastAsia="Times New Roman" w:hAnsi="myriad-pro-2" w:cs="Times New Roman"/>
      <w:sz w:val="24"/>
      <w:szCs w:val="24"/>
    </w:rPr>
  </w:style>
</w:styles>
</file>

<file path=word/webSettings.xml><?xml version="1.0" encoding="utf-8"?>
<w:webSettings xmlns:r="http://schemas.openxmlformats.org/officeDocument/2006/relationships" xmlns:w="http://schemas.openxmlformats.org/wordprocessingml/2006/main">
  <w:divs>
    <w:div w:id="283737572">
      <w:bodyDiv w:val="1"/>
      <w:marLeft w:val="0"/>
      <w:marRight w:val="0"/>
      <w:marTop w:val="0"/>
      <w:marBottom w:val="0"/>
      <w:divBdr>
        <w:top w:val="none" w:sz="0" w:space="0" w:color="auto"/>
        <w:left w:val="none" w:sz="0" w:space="0" w:color="auto"/>
        <w:bottom w:val="none" w:sz="0" w:space="0" w:color="auto"/>
        <w:right w:val="none" w:sz="0" w:space="0" w:color="auto"/>
      </w:divBdr>
    </w:div>
    <w:div w:id="762338878">
      <w:bodyDiv w:val="1"/>
      <w:marLeft w:val="0"/>
      <w:marRight w:val="0"/>
      <w:marTop w:val="0"/>
      <w:marBottom w:val="300"/>
      <w:divBdr>
        <w:top w:val="none" w:sz="0" w:space="0" w:color="auto"/>
        <w:left w:val="none" w:sz="0" w:space="0" w:color="auto"/>
        <w:bottom w:val="none" w:sz="0" w:space="0" w:color="auto"/>
        <w:right w:val="none" w:sz="0" w:space="0" w:color="auto"/>
      </w:divBdr>
      <w:divsChild>
        <w:div w:id="34045768">
          <w:marLeft w:val="0"/>
          <w:marRight w:val="0"/>
          <w:marTop w:val="0"/>
          <w:marBottom w:val="0"/>
          <w:divBdr>
            <w:top w:val="none" w:sz="0" w:space="0" w:color="auto"/>
            <w:left w:val="none" w:sz="0" w:space="0" w:color="auto"/>
            <w:bottom w:val="none" w:sz="0" w:space="0" w:color="auto"/>
            <w:right w:val="none" w:sz="0" w:space="0" w:color="auto"/>
          </w:divBdr>
          <w:divsChild>
            <w:div w:id="1576477949">
              <w:marLeft w:val="570"/>
              <w:marRight w:val="690"/>
              <w:marTop w:val="180"/>
              <w:marBottom w:val="150"/>
              <w:divBdr>
                <w:top w:val="none" w:sz="0" w:space="0" w:color="auto"/>
                <w:left w:val="none" w:sz="0" w:space="0" w:color="auto"/>
                <w:bottom w:val="none" w:sz="0" w:space="0" w:color="auto"/>
                <w:right w:val="none" w:sz="0" w:space="0" w:color="auto"/>
              </w:divBdr>
              <w:divsChild>
                <w:div w:id="2172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rpinellabueno.com.br/Textos/Denuncia%C3%A7%C3%A3o%20da%20lide%20_Arruda%20Alvim_.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ab.org.br/editora/revista/users/revista/1235067126174218181901.pdf" TargetMode="External"/><Relationship Id="rId4" Type="http://schemas.openxmlformats.org/officeDocument/2006/relationships/settings" Target="settings.xml"/><Relationship Id="rId9" Type="http://schemas.openxmlformats.org/officeDocument/2006/relationships/hyperlink" Target="http://www.maxwell.lambda.ele.puc-rio.br/10110/10110.PDF"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2.stj.jus.br/processo/jsp/ita/abreDocumento.jsp?num_registro=199000079870&amp;dt_publicacao=30-03-1992&amp;xod_tipo_documento=" TargetMode="External"/><Relationship Id="rId2" Type="http://schemas.openxmlformats.org/officeDocument/2006/relationships/hyperlink" Target="http://daleth.cjf.jus.br/revista/enunciados/IIIJornada.pdf" TargetMode="External"/><Relationship Id="rId1" Type="http://schemas.openxmlformats.org/officeDocument/2006/relationships/hyperlink" Target="http://www.maxwell.lambda.ele.puc-rio.br/10110/1011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2EC5-2456-4B8B-9217-C419CA42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4026</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Carvalhal</dc:creator>
  <cp:lastModifiedBy>Juizado</cp:lastModifiedBy>
  <cp:revision>2</cp:revision>
  <cp:lastPrinted>2011-11-11T20:45:00Z</cp:lastPrinted>
  <dcterms:created xsi:type="dcterms:W3CDTF">2015-03-04T13:16:00Z</dcterms:created>
  <dcterms:modified xsi:type="dcterms:W3CDTF">2015-03-04T13:16:00Z</dcterms:modified>
</cp:coreProperties>
</file>