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7A" w:rsidRPr="00043297" w:rsidRDefault="00FE085B" w:rsidP="005C0C2B">
      <w:pPr>
        <w:spacing w:after="0" w:line="360" w:lineRule="auto"/>
        <w:ind w:firstLine="567"/>
        <w:jc w:val="center"/>
        <w:rPr>
          <w:rFonts w:ascii="Arial" w:hAnsi="Arial" w:cs="Arial"/>
          <w:b/>
          <w:sz w:val="36"/>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27.3pt;margin-top:-3.35pt;width:88.5pt;height:88.5pt;z-index:-1;visibility:visible">
            <v:imagedata r:id="rId8" o:title=""/>
          </v:shape>
        </w:pict>
      </w:r>
      <w:r w:rsidR="00C11A7A" w:rsidRPr="00043297">
        <w:rPr>
          <w:rFonts w:ascii="Arial" w:hAnsi="Arial" w:cs="Arial"/>
          <w:b/>
          <w:sz w:val="36"/>
        </w:rPr>
        <w:t>UNIVERSIDADE FEDERAL DE SERGIPE</w:t>
      </w:r>
    </w:p>
    <w:p w:rsidR="00C11A7A" w:rsidRPr="00043297" w:rsidRDefault="00C11A7A" w:rsidP="005C0C2B">
      <w:pPr>
        <w:spacing w:after="0" w:line="360" w:lineRule="auto"/>
        <w:ind w:firstLine="567"/>
        <w:jc w:val="center"/>
        <w:rPr>
          <w:rFonts w:ascii="Arial" w:hAnsi="Arial" w:cs="Arial"/>
          <w:sz w:val="28"/>
        </w:rPr>
      </w:pPr>
      <w:r w:rsidRPr="00043297">
        <w:rPr>
          <w:rFonts w:ascii="Arial" w:hAnsi="Arial" w:cs="Arial"/>
          <w:sz w:val="28"/>
        </w:rPr>
        <w:t>CENTRO DE EDUCAÇÃO SUPERIOR A DISTANCIA</w:t>
      </w:r>
    </w:p>
    <w:p w:rsidR="00C11A7A" w:rsidRPr="00043297" w:rsidRDefault="00C11A7A" w:rsidP="005C0C2B">
      <w:pPr>
        <w:spacing w:after="0" w:line="360" w:lineRule="auto"/>
        <w:ind w:firstLine="567"/>
        <w:jc w:val="center"/>
        <w:rPr>
          <w:rFonts w:ascii="Arial" w:hAnsi="Arial" w:cs="Arial"/>
          <w:sz w:val="28"/>
        </w:rPr>
      </w:pPr>
      <w:r w:rsidRPr="00043297">
        <w:rPr>
          <w:rFonts w:ascii="Arial" w:hAnsi="Arial" w:cs="Arial"/>
          <w:sz w:val="28"/>
        </w:rPr>
        <w:t>CURSO DE FORMAÇÃO EM GESTÃO DE POLITICAS PÚBLICAS EM GÊNERO E RAÇA</w:t>
      </w:r>
    </w:p>
    <w:p w:rsidR="00C11A7A" w:rsidRDefault="00C11A7A" w:rsidP="005C0C2B">
      <w:pPr>
        <w:spacing w:after="0" w:line="360" w:lineRule="auto"/>
        <w:ind w:left="993"/>
        <w:rPr>
          <w:rFonts w:ascii="Arial" w:hAnsi="Arial" w:cs="Arial"/>
          <w:sz w:val="24"/>
        </w:rPr>
      </w:pPr>
    </w:p>
    <w:p w:rsidR="00C11A7A" w:rsidRDefault="00C11A7A" w:rsidP="005C0C2B">
      <w:pPr>
        <w:spacing w:after="0" w:line="360" w:lineRule="auto"/>
        <w:ind w:left="993"/>
        <w:rPr>
          <w:rFonts w:ascii="Arial" w:hAnsi="Arial" w:cs="Arial"/>
          <w:sz w:val="24"/>
        </w:rPr>
      </w:pPr>
    </w:p>
    <w:p w:rsidR="00C11A7A" w:rsidRDefault="00C11A7A" w:rsidP="005C0C2B">
      <w:pPr>
        <w:spacing w:after="0" w:line="360" w:lineRule="auto"/>
        <w:ind w:left="993"/>
        <w:rPr>
          <w:rFonts w:ascii="Arial" w:hAnsi="Arial" w:cs="Arial"/>
          <w:sz w:val="24"/>
        </w:rPr>
      </w:pPr>
    </w:p>
    <w:p w:rsidR="00C11A7A" w:rsidRDefault="00C11A7A" w:rsidP="005C0C2B">
      <w:pPr>
        <w:spacing w:after="0" w:line="360" w:lineRule="auto"/>
        <w:ind w:left="993"/>
        <w:rPr>
          <w:rFonts w:ascii="Arial" w:hAnsi="Arial" w:cs="Arial"/>
          <w:sz w:val="24"/>
        </w:rPr>
      </w:pPr>
    </w:p>
    <w:p w:rsidR="00C11A7A" w:rsidRPr="00043297" w:rsidRDefault="00C11A7A" w:rsidP="005C0C2B">
      <w:pPr>
        <w:spacing w:before="480" w:after="240" w:line="360" w:lineRule="auto"/>
        <w:ind w:firstLine="142"/>
        <w:jc w:val="center"/>
        <w:rPr>
          <w:rFonts w:ascii="Arial" w:hAnsi="Arial" w:cs="Arial"/>
          <w:b/>
          <w:sz w:val="32"/>
        </w:rPr>
      </w:pPr>
      <w:r w:rsidRPr="00043297">
        <w:rPr>
          <w:rFonts w:ascii="Arial" w:hAnsi="Arial" w:cs="Arial"/>
          <w:b/>
          <w:sz w:val="32"/>
        </w:rPr>
        <w:t>DANIEL FERREIRA DOS SANTOS</w:t>
      </w:r>
    </w:p>
    <w:p w:rsidR="00C11A7A" w:rsidRDefault="00C11A7A" w:rsidP="005C0C2B">
      <w:pPr>
        <w:spacing w:before="480" w:line="360" w:lineRule="auto"/>
        <w:ind w:firstLine="142"/>
      </w:pPr>
    </w:p>
    <w:p w:rsidR="00C11A7A" w:rsidRPr="0020567C" w:rsidRDefault="00C11A7A" w:rsidP="005C0C2B">
      <w:pPr>
        <w:spacing w:before="480" w:line="360" w:lineRule="auto"/>
        <w:ind w:firstLine="142"/>
      </w:pPr>
    </w:p>
    <w:p w:rsidR="00C11A7A" w:rsidRPr="00043297" w:rsidRDefault="00C11A7A" w:rsidP="005C0C2B">
      <w:pPr>
        <w:spacing w:before="480" w:line="360" w:lineRule="auto"/>
        <w:ind w:firstLine="142"/>
        <w:jc w:val="center"/>
        <w:rPr>
          <w:rFonts w:ascii="Arial" w:hAnsi="Arial" w:cs="Arial"/>
          <w:sz w:val="36"/>
          <w:szCs w:val="36"/>
        </w:rPr>
      </w:pPr>
      <w:r w:rsidRPr="00043297">
        <w:rPr>
          <w:rFonts w:ascii="Arial" w:hAnsi="Arial" w:cs="Arial"/>
          <w:b/>
          <w:sz w:val="36"/>
          <w:szCs w:val="36"/>
        </w:rPr>
        <w:t>MERCADO DE TRABALHO E SEUS PRECONCEITOS</w:t>
      </w:r>
    </w:p>
    <w:p w:rsidR="00C11A7A" w:rsidRDefault="00C11A7A" w:rsidP="005C0C2B">
      <w:pPr>
        <w:spacing w:before="480" w:line="360" w:lineRule="auto"/>
        <w:ind w:firstLine="142"/>
        <w:jc w:val="both"/>
        <w:rPr>
          <w:rFonts w:ascii="Arial" w:hAnsi="Arial" w:cs="Arial"/>
          <w:b/>
          <w:bCs/>
          <w:sz w:val="24"/>
          <w:szCs w:val="24"/>
        </w:rPr>
      </w:pPr>
    </w:p>
    <w:p w:rsidR="00C11A7A" w:rsidRDefault="00C11A7A" w:rsidP="005C0C2B">
      <w:pPr>
        <w:spacing w:before="480" w:line="360" w:lineRule="auto"/>
        <w:ind w:firstLine="142"/>
        <w:jc w:val="both"/>
        <w:rPr>
          <w:rFonts w:ascii="Arial" w:hAnsi="Arial" w:cs="Arial"/>
          <w:b/>
          <w:bCs/>
          <w:sz w:val="24"/>
          <w:szCs w:val="24"/>
        </w:rPr>
      </w:pPr>
    </w:p>
    <w:p w:rsidR="00C11A7A" w:rsidRDefault="00C11A7A" w:rsidP="005C0C2B">
      <w:pPr>
        <w:spacing w:before="480" w:line="360" w:lineRule="auto"/>
        <w:ind w:firstLine="142"/>
        <w:jc w:val="both"/>
        <w:rPr>
          <w:rFonts w:ascii="Arial" w:hAnsi="Arial" w:cs="Arial"/>
          <w:b/>
          <w:bCs/>
          <w:sz w:val="24"/>
          <w:szCs w:val="24"/>
        </w:rPr>
      </w:pPr>
    </w:p>
    <w:p w:rsidR="00C11A7A" w:rsidRDefault="00C11A7A" w:rsidP="005C0C2B">
      <w:pPr>
        <w:spacing w:before="480" w:line="360" w:lineRule="auto"/>
        <w:ind w:firstLine="142"/>
        <w:jc w:val="both"/>
        <w:rPr>
          <w:rFonts w:ascii="Arial" w:hAnsi="Arial" w:cs="Arial"/>
          <w:b/>
          <w:bCs/>
          <w:sz w:val="24"/>
          <w:szCs w:val="24"/>
        </w:rPr>
      </w:pPr>
    </w:p>
    <w:p w:rsidR="00C11A7A" w:rsidRPr="00043297" w:rsidRDefault="00C11A7A" w:rsidP="005C0C2B">
      <w:pPr>
        <w:spacing w:before="480" w:line="360" w:lineRule="auto"/>
        <w:ind w:firstLine="142"/>
        <w:jc w:val="center"/>
        <w:rPr>
          <w:rFonts w:ascii="Arial" w:hAnsi="Arial" w:cs="Arial"/>
          <w:b/>
          <w:bCs/>
          <w:sz w:val="28"/>
        </w:rPr>
      </w:pPr>
    </w:p>
    <w:p w:rsidR="00C11A7A" w:rsidRDefault="00C11A7A" w:rsidP="005C0C2B">
      <w:pPr>
        <w:spacing w:after="0" w:line="240" w:lineRule="auto"/>
        <w:ind w:firstLine="142"/>
        <w:jc w:val="center"/>
        <w:rPr>
          <w:rFonts w:ascii="Arial" w:hAnsi="Arial" w:cs="Arial"/>
          <w:bCs/>
          <w:sz w:val="28"/>
        </w:rPr>
      </w:pPr>
      <w:r>
        <w:rPr>
          <w:rFonts w:ascii="Arial" w:hAnsi="Arial" w:cs="Arial"/>
          <w:bCs/>
          <w:sz w:val="28"/>
        </w:rPr>
        <w:t>Aracaju – SE / 2013</w:t>
      </w:r>
    </w:p>
    <w:p w:rsidR="00C11A7A" w:rsidRPr="00043297" w:rsidRDefault="00FE085B" w:rsidP="00043297">
      <w:pPr>
        <w:spacing w:after="0" w:line="360" w:lineRule="auto"/>
        <w:ind w:firstLine="567"/>
        <w:jc w:val="center"/>
        <w:rPr>
          <w:rFonts w:ascii="Arial" w:hAnsi="Arial" w:cs="Arial"/>
          <w:b/>
          <w:sz w:val="36"/>
        </w:rPr>
      </w:pPr>
      <w:r>
        <w:rPr>
          <w:noProof/>
          <w:lang w:eastAsia="pt-BR"/>
        </w:rPr>
        <w:lastRenderedPageBreak/>
        <w:pict>
          <v:shape id="Imagem 2" o:spid="_x0000_s1027" type="#_x0000_t75" style="position:absolute;left:0;text-align:left;margin-left:-27.3pt;margin-top:-3.35pt;width:88.5pt;height:88.5pt;z-index:-2;visibility:visible">
            <v:imagedata r:id="rId8" o:title=""/>
          </v:shape>
        </w:pict>
      </w:r>
      <w:r w:rsidR="00C11A7A" w:rsidRPr="00043297">
        <w:rPr>
          <w:rFonts w:ascii="Arial" w:hAnsi="Arial" w:cs="Arial"/>
          <w:b/>
          <w:sz w:val="36"/>
        </w:rPr>
        <w:t>UNIVERSIDADE FEDERAL DE SERGIPE</w:t>
      </w:r>
    </w:p>
    <w:p w:rsidR="00C11A7A" w:rsidRPr="00043297" w:rsidRDefault="00C11A7A" w:rsidP="00043297">
      <w:pPr>
        <w:spacing w:after="0" w:line="360" w:lineRule="auto"/>
        <w:ind w:firstLine="567"/>
        <w:jc w:val="center"/>
        <w:rPr>
          <w:rFonts w:ascii="Arial" w:hAnsi="Arial" w:cs="Arial"/>
          <w:sz w:val="28"/>
        </w:rPr>
      </w:pPr>
      <w:r w:rsidRPr="00043297">
        <w:rPr>
          <w:rFonts w:ascii="Arial" w:hAnsi="Arial" w:cs="Arial"/>
          <w:sz w:val="28"/>
        </w:rPr>
        <w:t>CENTRO DE EDUCAÇÃO SUPERIOR A DISTANCIA</w:t>
      </w:r>
    </w:p>
    <w:p w:rsidR="00C11A7A" w:rsidRDefault="00C11A7A" w:rsidP="00043297">
      <w:pPr>
        <w:spacing w:after="0" w:line="360" w:lineRule="auto"/>
        <w:ind w:firstLine="567"/>
        <w:jc w:val="center"/>
        <w:rPr>
          <w:rFonts w:ascii="Arial" w:hAnsi="Arial" w:cs="Arial"/>
          <w:sz w:val="28"/>
        </w:rPr>
      </w:pPr>
      <w:r w:rsidRPr="00043297">
        <w:rPr>
          <w:rFonts w:ascii="Arial" w:hAnsi="Arial" w:cs="Arial"/>
          <w:sz w:val="28"/>
        </w:rPr>
        <w:t>CURSO DE FORMAÇÃO EM GESTÃO DE POLITICAS PÚBLICAS EM GÊNERO E RAÇA</w:t>
      </w:r>
    </w:p>
    <w:p w:rsidR="00C11A7A" w:rsidRDefault="00C11A7A" w:rsidP="00043297">
      <w:pPr>
        <w:spacing w:after="0" w:line="360" w:lineRule="auto"/>
        <w:ind w:firstLine="567"/>
        <w:jc w:val="center"/>
        <w:rPr>
          <w:rFonts w:ascii="Arial" w:hAnsi="Arial" w:cs="Arial"/>
          <w:sz w:val="28"/>
        </w:rPr>
      </w:pPr>
    </w:p>
    <w:p w:rsidR="00C11A7A" w:rsidRDefault="00C11A7A" w:rsidP="00043297">
      <w:pPr>
        <w:spacing w:after="0" w:line="360" w:lineRule="auto"/>
        <w:ind w:firstLine="567"/>
        <w:jc w:val="center"/>
        <w:rPr>
          <w:rFonts w:ascii="Arial" w:hAnsi="Arial" w:cs="Arial"/>
          <w:sz w:val="28"/>
        </w:rPr>
      </w:pPr>
    </w:p>
    <w:p w:rsidR="00C11A7A" w:rsidRPr="00043297" w:rsidRDefault="00C11A7A" w:rsidP="00043297">
      <w:pPr>
        <w:spacing w:after="0" w:line="360" w:lineRule="auto"/>
        <w:ind w:firstLine="567"/>
        <w:jc w:val="center"/>
        <w:rPr>
          <w:rFonts w:ascii="Arial" w:hAnsi="Arial" w:cs="Arial"/>
          <w:sz w:val="28"/>
        </w:rPr>
      </w:pPr>
    </w:p>
    <w:p w:rsidR="00C11A7A" w:rsidRPr="00F5482C" w:rsidRDefault="00C11A7A" w:rsidP="00A53E45">
      <w:pPr>
        <w:spacing w:after="0" w:line="240" w:lineRule="auto"/>
        <w:ind w:firstLine="142"/>
        <w:jc w:val="center"/>
        <w:rPr>
          <w:rFonts w:ascii="Arial" w:hAnsi="Arial" w:cs="Arial"/>
        </w:rPr>
      </w:pPr>
      <w:r w:rsidRPr="00F5482C">
        <w:rPr>
          <w:rFonts w:ascii="Arial" w:hAnsi="Arial" w:cs="Arial"/>
          <w:b/>
          <w:sz w:val="36"/>
        </w:rPr>
        <w:t>DANIEL FERREIRA DOS SANTOS</w:t>
      </w:r>
    </w:p>
    <w:p w:rsidR="00C11A7A" w:rsidRPr="00F5482C" w:rsidRDefault="00C11A7A" w:rsidP="00A53E45">
      <w:pPr>
        <w:spacing w:before="480" w:line="360" w:lineRule="auto"/>
        <w:ind w:firstLine="142"/>
        <w:rPr>
          <w:sz w:val="20"/>
        </w:rPr>
      </w:pPr>
    </w:p>
    <w:p w:rsidR="00C11A7A" w:rsidRPr="00F5482C" w:rsidRDefault="00C11A7A" w:rsidP="00A53E45">
      <w:pPr>
        <w:spacing w:before="480" w:line="360" w:lineRule="auto"/>
        <w:ind w:firstLine="851"/>
        <w:rPr>
          <w:sz w:val="16"/>
        </w:rPr>
      </w:pPr>
    </w:p>
    <w:p w:rsidR="00C11A7A" w:rsidRPr="00F5482C" w:rsidRDefault="00C11A7A" w:rsidP="00A53E45">
      <w:pPr>
        <w:spacing w:before="480" w:line="360" w:lineRule="auto"/>
        <w:jc w:val="center"/>
        <w:rPr>
          <w:rFonts w:ascii="Arial" w:hAnsi="Arial" w:cs="Arial"/>
          <w:sz w:val="28"/>
          <w:szCs w:val="24"/>
        </w:rPr>
      </w:pPr>
      <w:r w:rsidRPr="00F5482C">
        <w:rPr>
          <w:rFonts w:ascii="Arial" w:hAnsi="Arial" w:cs="Arial"/>
          <w:b/>
          <w:sz w:val="28"/>
          <w:szCs w:val="24"/>
        </w:rPr>
        <w:t>MERCADO DE TRABALHO E SEUS PRECONCEITOS</w:t>
      </w:r>
    </w:p>
    <w:p w:rsidR="00C11A7A" w:rsidRDefault="00C11A7A" w:rsidP="00A53E45">
      <w:pPr>
        <w:spacing w:before="480" w:line="360" w:lineRule="auto"/>
        <w:ind w:firstLine="851"/>
        <w:jc w:val="both"/>
        <w:rPr>
          <w:rFonts w:ascii="Arial" w:hAnsi="Arial" w:cs="Arial"/>
          <w:b/>
          <w:bCs/>
          <w:sz w:val="24"/>
          <w:szCs w:val="24"/>
        </w:rPr>
      </w:pPr>
    </w:p>
    <w:p w:rsidR="00C11A7A" w:rsidRDefault="00C11A7A" w:rsidP="00A53E45">
      <w:pPr>
        <w:spacing w:before="480" w:line="360" w:lineRule="auto"/>
        <w:ind w:left="3828"/>
        <w:jc w:val="both"/>
        <w:rPr>
          <w:rFonts w:ascii="Arial" w:hAnsi="Arial" w:cs="Arial"/>
          <w:bCs/>
          <w:sz w:val="28"/>
          <w:szCs w:val="28"/>
        </w:rPr>
      </w:pPr>
      <w:r w:rsidRPr="00F5482C">
        <w:rPr>
          <w:rFonts w:ascii="Arial" w:hAnsi="Arial" w:cs="Arial"/>
          <w:bCs/>
          <w:sz w:val="28"/>
          <w:szCs w:val="28"/>
        </w:rPr>
        <w:t>Trabalho de conclusão de curso apresentado junto ao curso de Gestão de Politicas Públicas – Foco em Gênero e Raça da Universidade Federal de Sergipe, como requisito obrigatório à obtenção do titulo de Especialista.</w:t>
      </w:r>
    </w:p>
    <w:p w:rsidR="00C11A7A" w:rsidRPr="00F5482C" w:rsidRDefault="00C11A7A" w:rsidP="00A53E45">
      <w:pPr>
        <w:spacing w:before="480" w:line="360" w:lineRule="auto"/>
        <w:ind w:left="3828"/>
        <w:jc w:val="both"/>
        <w:rPr>
          <w:rFonts w:ascii="Arial" w:hAnsi="Arial" w:cs="Arial"/>
          <w:bCs/>
          <w:sz w:val="28"/>
          <w:szCs w:val="28"/>
        </w:rPr>
      </w:pPr>
    </w:p>
    <w:p w:rsidR="00C11A7A" w:rsidRPr="00500057" w:rsidRDefault="00C11A7A" w:rsidP="00A53E45">
      <w:pPr>
        <w:spacing w:after="0" w:line="240" w:lineRule="auto"/>
        <w:ind w:firstLine="142"/>
        <w:jc w:val="center"/>
        <w:rPr>
          <w:rFonts w:ascii="Arial" w:hAnsi="Arial" w:cs="Arial"/>
          <w:bCs/>
          <w:sz w:val="24"/>
          <w:szCs w:val="24"/>
        </w:rPr>
      </w:pPr>
      <w:r w:rsidRPr="00043297">
        <w:rPr>
          <w:rFonts w:ascii="Arial" w:hAnsi="Arial" w:cs="Arial"/>
          <w:bCs/>
          <w:sz w:val="28"/>
        </w:rPr>
        <w:t>Aracaju – SE / 2013</w:t>
      </w:r>
    </w:p>
    <w:p w:rsidR="00C11A7A" w:rsidRPr="007D6BD7" w:rsidRDefault="00C11A7A" w:rsidP="00F5482C">
      <w:pPr>
        <w:spacing w:after="0" w:line="240" w:lineRule="auto"/>
        <w:rPr>
          <w:rFonts w:ascii="Arial" w:hAnsi="Arial" w:cs="Arial"/>
          <w:b/>
          <w:color w:val="FF6600"/>
        </w:rPr>
      </w:pPr>
      <w:r>
        <w:rPr>
          <w:rFonts w:ascii="Arial" w:hAnsi="Arial" w:cs="Arial"/>
          <w:b/>
        </w:rPr>
        <w:br w:type="page"/>
      </w:r>
    </w:p>
    <w:p w:rsidR="00C11A7A" w:rsidRDefault="00C11A7A" w:rsidP="00EB5BB9">
      <w:pPr>
        <w:spacing w:after="0" w:line="240" w:lineRule="auto"/>
        <w:ind w:firstLine="851"/>
        <w:rPr>
          <w:rFonts w:ascii="Arial" w:hAnsi="Arial" w:cs="Arial"/>
          <w:b/>
          <w:sz w:val="24"/>
        </w:rPr>
      </w:pPr>
      <w:r w:rsidRPr="00EB5BB9">
        <w:rPr>
          <w:rFonts w:ascii="Arial" w:hAnsi="Arial" w:cs="Arial"/>
          <w:b/>
          <w:sz w:val="24"/>
        </w:rPr>
        <w:t>Resumo</w:t>
      </w:r>
    </w:p>
    <w:p w:rsidR="00C11A7A" w:rsidRDefault="00C11A7A" w:rsidP="00EB5BB9">
      <w:pPr>
        <w:spacing w:after="0" w:line="240" w:lineRule="auto"/>
        <w:ind w:firstLine="851"/>
        <w:rPr>
          <w:rFonts w:ascii="Arial" w:hAnsi="Arial" w:cs="Arial"/>
          <w:b/>
          <w:sz w:val="24"/>
        </w:rPr>
      </w:pPr>
    </w:p>
    <w:p w:rsidR="00C11A7A" w:rsidRDefault="00C11A7A" w:rsidP="005C524C">
      <w:pPr>
        <w:spacing w:after="0" w:line="360" w:lineRule="auto"/>
        <w:ind w:firstLine="851"/>
        <w:jc w:val="both"/>
        <w:rPr>
          <w:rFonts w:ascii="Arial" w:hAnsi="Arial" w:cs="Arial"/>
          <w:sz w:val="24"/>
        </w:rPr>
      </w:pPr>
      <w:r>
        <w:rPr>
          <w:rFonts w:ascii="Arial" w:hAnsi="Arial" w:cs="Arial"/>
          <w:sz w:val="24"/>
        </w:rPr>
        <w:t xml:space="preserve">Este trabalho tem como objetivo explanar sobre alguns conceitos existentes, referentes ao mercado de trabalho e a relação com a entrada das mulheres no mesmo são eles </w:t>
      </w:r>
      <w:r w:rsidRPr="00755967">
        <w:rPr>
          <w:rFonts w:ascii="Arial" w:hAnsi="Arial" w:cs="Arial"/>
          <w:sz w:val="24"/>
          <w:szCs w:val="24"/>
        </w:rPr>
        <w:t>Divisão Sexual do Mercado de Trabalho, Segregação dos Mercados de Trabalho Baseada em Gênero e Pirâmide Ocupacional Baseada em Gênero</w:t>
      </w:r>
      <w:r>
        <w:rPr>
          <w:rFonts w:ascii="Arial" w:hAnsi="Arial" w:cs="Arial"/>
          <w:sz w:val="24"/>
        </w:rPr>
        <w:t>. Buscando fundamentação para estes conceitos através dos dados estatísticos apresentados na Pesquisa Nacional por Amostra de Domicílios. Como resultado pode-se perceber que ainda não estamos numa sociedade justa e igualitária, ainda existem fortes barreiras que dificultam a entrada e a permanência das mulheres no mercado de trabalho.</w:t>
      </w:r>
    </w:p>
    <w:p w:rsidR="00C11A7A" w:rsidRDefault="00C11A7A" w:rsidP="005C524C">
      <w:pPr>
        <w:spacing w:after="0" w:line="360" w:lineRule="auto"/>
        <w:ind w:firstLine="851"/>
        <w:jc w:val="both"/>
        <w:rPr>
          <w:rFonts w:ascii="Arial" w:hAnsi="Arial" w:cs="Arial"/>
          <w:sz w:val="24"/>
        </w:rPr>
      </w:pPr>
    </w:p>
    <w:p w:rsidR="00C11A7A" w:rsidRPr="00186EDF" w:rsidRDefault="00C11A7A" w:rsidP="005C524C">
      <w:pPr>
        <w:spacing w:after="0" w:line="360" w:lineRule="auto"/>
        <w:ind w:firstLine="851"/>
        <w:jc w:val="both"/>
        <w:rPr>
          <w:rFonts w:ascii="Arial" w:hAnsi="Arial" w:cs="Arial"/>
          <w:b/>
          <w:sz w:val="24"/>
          <w:lang w:val="en-US"/>
        </w:rPr>
      </w:pPr>
      <w:r w:rsidRPr="00186EDF">
        <w:rPr>
          <w:rFonts w:ascii="Arial" w:hAnsi="Arial" w:cs="Arial"/>
          <w:b/>
          <w:sz w:val="24"/>
          <w:lang w:val="en-US"/>
        </w:rPr>
        <w:t>Abstract</w:t>
      </w:r>
    </w:p>
    <w:p w:rsidR="00C11A7A" w:rsidRPr="00C77983" w:rsidRDefault="00C11A7A" w:rsidP="005C524C">
      <w:pPr>
        <w:spacing w:after="0" w:line="360" w:lineRule="auto"/>
        <w:ind w:firstLine="851"/>
        <w:jc w:val="both"/>
        <w:rPr>
          <w:rFonts w:ascii="Arial" w:hAnsi="Arial" w:cs="Arial"/>
          <w:sz w:val="24"/>
          <w:lang w:val="en-US"/>
        </w:rPr>
      </w:pPr>
      <w:r w:rsidRPr="00C77983">
        <w:rPr>
          <w:rFonts w:ascii="Arial" w:hAnsi="Arial" w:cs="Arial"/>
          <w:sz w:val="24"/>
          <w:lang w:val="en-US"/>
        </w:rPr>
        <w:t>This paper aims to expound upon some existing concepts, related to the labor market and the relationship with the entry of women in that they are Sexual Division of Labour Market and Labour Market Segregation Based on Gender and Gender-Based Occupational Pyramid. Seeking reasons for these concepts through the statistical data presented in the Pesquisa Nacional por Amostra de Domicílios. As a result one can see that we are not yet in a just and egalitarian society, there are still strong barriers to entry and permanence of women in the labor market.</w:t>
      </w:r>
    </w:p>
    <w:p w:rsidR="00C11A7A" w:rsidRPr="00C77983" w:rsidRDefault="00C11A7A" w:rsidP="005C524C">
      <w:pPr>
        <w:spacing w:after="0" w:line="360" w:lineRule="auto"/>
        <w:ind w:firstLine="851"/>
        <w:jc w:val="both"/>
        <w:rPr>
          <w:rFonts w:ascii="Arial" w:hAnsi="Arial" w:cs="Arial"/>
          <w:sz w:val="24"/>
          <w:lang w:val="en-US"/>
        </w:rPr>
      </w:pPr>
    </w:p>
    <w:p w:rsidR="00C11A7A" w:rsidRDefault="00C11A7A" w:rsidP="005C524C">
      <w:pPr>
        <w:spacing w:after="0" w:line="360" w:lineRule="auto"/>
        <w:ind w:firstLine="851"/>
        <w:jc w:val="both"/>
        <w:rPr>
          <w:rFonts w:ascii="Arial" w:hAnsi="Arial" w:cs="Arial"/>
          <w:sz w:val="24"/>
        </w:rPr>
      </w:pPr>
      <w:r w:rsidRPr="00C77983">
        <w:rPr>
          <w:rFonts w:ascii="Arial" w:hAnsi="Arial" w:cs="Arial"/>
          <w:b/>
          <w:sz w:val="24"/>
        </w:rPr>
        <w:t>Palavras-chave:</w:t>
      </w:r>
      <w:r>
        <w:rPr>
          <w:rFonts w:ascii="Arial" w:hAnsi="Arial" w:cs="Arial"/>
          <w:sz w:val="24"/>
        </w:rPr>
        <w:t xml:space="preserve"> Mercado de trabalho. Mulheres. Gênero.</w:t>
      </w:r>
    </w:p>
    <w:p w:rsidR="00C11A7A" w:rsidRPr="00EB5BB9" w:rsidRDefault="00C11A7A" w:rsidP="005C524C">
      <w:pPr>
        <w:spacing w:after="0" w:line="360" w:lineRule="auto"/>
        <w:ind w:firstLine="851"/>
        <w:jc w:val="both"/>
        <w:rPr>
          <w:rFonts w:ascii="Arial" w:hAnsi="Arial" w:cs="Arial"/>
          <w:sz w:val="24"/>
        </w:rPr>
      </w:pPr>
    </w:p>
    <w:p w:rsidR="00C11A7A" w:rsidRPr="00EB5BB9" w:rsidRDefault="00C11A7A" w:rsidP="00EB5BB9">
      <w:pPr>
        <w:spacing w:after="0" w:line="240" w:lineRule="auto"/>
        <w:ind w:firstLine="851"/>
        <w:rPr>
          <w:rFonts w:ascii="Arial" w:hAnsi="Arial" w:cs="Arial"/>
          <w:b/>
          <w:sz w:val="24"/>
        </w:rPr>
      </w:pPr>
    </w:p>
    <w:p w:rsidR="00C11A7A" w:rsidRDefault="00C11A7A">
      <w:pPr>
        <w:spacing w:after="0" w:line="240" w:lineRule="auto"/>
        <w:rPr>
          <w:rFonts w:ascii="Arial" w:hAnsi="Arial" w:cs="Arial"/>
          <w:b/>
        </w:rPr>
      </w:pPr>
      <w:r>
        <w:rPr>
          <w:rFonts w:ascii="Arial" w:hAnsi="Arial" w:cs="Arial"/>
          <w:b/>
        </w:rPr>
        <w:br w:type="page"/>
      </w:r>
    </w:p>
    <w:p w:rsidR="00C11A7A" w:rsidRDefault="00C11A7A" w:rsidP="00F5482C">
      <w:pPr>
        <w:spacing w:after="0" w:line="240" w:lineRule="auto"/>
        <w:rPr>
          <w:rFonts w:ascii="Arial" w:hAnsi="Arial" w:cs="Arial"/>
          <w:b/>
        </w:rPr>
      </w:pPr>
      <w:r>
        <w:rPr>
          <w:rFonts w:ascii="Arial" w:hAnsi="Arial" w:cs="Arial"/>
          <w:b/>
        </w:rPr>
        <w:t>Introdução</w:t>
      </w:r>
    </w:p>
    <w:p w:rsidR="00C11A7A" w:rsidRDefault="00C11A7A" w:rsidP="00F5482C">
      <w:pPr>
        <w:spacing w:after="0" w:line="240" w:lineRule="auto"/>
        <w:rPr>
          <w:rFonts w:ascii="Arial" w:hAnsi="Arial" w:cs="Arial"/>
          <w:b/>
        </w:rPr>
      </w:pPr>
    </w:p>
    <w:p w:rsidR="00C11A7A" w:rsidRPr="00755967" w:rsidRDefault="00C11A7A" w:rsidP="00755967">
      <w:pPr>
        <w:spacing w:after="0" w:line="360" w:lineRule="auto"/>
        <w:ind w:firstLine="851"/>
        <w:jc w:val="both"/>
        <w:rPr>
          <w:rFonts w:ascii="Arial" w:hAnsi="Arial" w:cs="Arial"/>
          <w:sz w:val="24"/>
          <w:szCs w:val="24"/>
        </w:rPr>
      </w:pPr>
      <w:r w:rsidRPr="00BE301D">
        <w:rPr>
          <w:rFonts w:ascii="Arial" w:hAnsi="Arial" w:cs="Arial"/>
          <w:sz w:val="24"/>
          <w:szCs w:val="24"/>
        </w:rPr>
        <w:t xml:space="preserve">Este estudo tem como finalidade analisar a situação das mulheres negras no mercado de trabalho brasileiro. </w:t>
      </w:r>
      <w:r w:rsidR="00BE301D" w:rsidRPr="00BE301D">
        <w:rPr>
          <w:rFonts w:ascii="Arial" w:hAnsi="Arial" w:cs="Arial"/>
          <w:sz w:val="24"/>
          <w:szCs w:val="24"/>
        </w:rPr>
        <w:t>O</w:t>
      </w:r>
      <w:r w:rsidRPr="00BE301D">
        <w:rPr>
          <w:rFonts w:ascii="Arial" w:hAnsi="Arial" w:cs="Arial"/>
          <w:sz w:val="24"/>
          <w:szCs w:val="24"/>
        </w:rPr>
        <w:t xml:space="preserve"> tema foi abordado devido a necessidade de estudar e buscar minimizar ou ate mesmo excluir as desigualdades de gênero no mercado de trabalho. </w:t>
      </w:r>
      <w:r w:rsidR="00BE301D" w:rsidRPr="00BE301D">
        <w:rPr>
          <w:rFonts w:ascii="Arial" w:hAnsi="Arial" w:cs="Arial"/>
          <w:sz w:val="24"/>
          <w:szCs w:val="24"/>
        </w:rPr>
        <w:t>C</w:t>
      </w:r>
      <w:r w:rsidRPr="00BE301D">
        <w:rPr>
          <w:rFonts w:ascii="Arial" w:hAnsi="Arial" w:cs="Arial"/>
          <w:sz w:val="24"/>
          <w:szCs w:val="24"/>
        </w:rPr>
        <w:t>onstitui</w:t>
      </w:r>
      <w:r w:rsidR="00BE301D" w:rsidRPr="00BE301D">
        <w:rPr>
          <w:rFonts w:ascii="Arial" w:hAnsi="Arial" w:cs="Arial"/>
          <w:sz w:val="24"/>
          <w:szCs w:val="24"/>
        </w:rPr>
        <w:t>ndo</w:t>
      </w:r>
      <w:r w:rsidRPr="00BE301D">
        <w:rPr>
          <w:rFonts w:ascii="Arial" w:hAnsi="Arial" w:cs="Arial"/>
          <w:sz w:val="24"/>
          <w:szCs w:val="24"/>
        </w:rPr>
        <w:t xml:space="preserve">-se como uma pesquisa descritiva que visa relacionar os conceitos de Divisão Sexual do Mercado de Trabalho, Segregação dos Mercados de Trabalho Baseada em Gênero e Pirâmide Ocupacional Baseada em Gênero, com os dados apresentados na Pesquisa Nacional por Amostra de Domicílios (PNAD) realizada pelo Instituto </w:t>
      </w:r>
      <w:r w:rsidRPr="00BE301D">
        <w:rPr>
          <w:rFonts w:ascii="Arial" w:eastAsia="Univers" w:hAnsi="Arial" w:cs="Arial"/>
          <w:bCs/>
          <w:sz w:val="24"/>
          <w:szCs w:val="24"/>
        </w:rPr>
        <w:t>Brasileiro de Geografia e Estatística, referente</w:t>
      </w:r>
      <w:r w:rsidRPr="00BE301D">
        <w:rPr>
          <w:rFonts w:ascii="Arial" w:hAnsi="Arial" w:cs="Arial"/>
          <w:sz w:val="24"/>
          <w:szCs w:val="24"/>
        </w:rPr>
        <w:t xml:space="preserve"> aos anos de 1999, 2003, 2008 e 2011. Estando</w:t>
      </w:r>
      <w:r w:rsidRPr="00755967">
        <w:rPr>
          <w:rFonts w:ascii="Arial" w:hAnsi="Arial" w:cs="Arial"/>
          <w:sz w:val="24"/>
          <w:szCs w:val="24"/>
        </w:rPr>
        <w:t xml:space="preserve"> dividido em duas partes, </w:t>
      </w:r>
      <w:r w:rsidR="00BE301D">
        <w:rPr>
          <w:rFonts w:ascii="Arial" w:hAnsi="Arial" w:cs="Arial"/>
          <w:sz w:val="24"/>
          <w:szCs w:val="24"/>
        </w:rPr>
        <w:t>onde</w:t>
      </w:r>
      <w:r w:rsidRPr="00755967">
        <w:rPr>
          <w:rFonts w:ascii="Arial" w:hAnsi="Arial" w:cs="Arial"/>
          <w:sz w:val="24"/>
          <w:szCs w:val="24"/>
        </w:rPr>
        <w:t xml:space="preserve"> inicialmente faz uma abordagem conceitual e posteriormente apresenta os dados inferidos das PNAD’s. </w:t>
      </w:r>
    </w:p>
    <w:p w:rsidR="00C11A7A" w:rsidRPr="00D22BE8" w:rsidRDefault="00C11A7A" w:rsidP="00434258">
      <w:pPr>
        <w:autoSpaceDE w:val="0"/>
        <w:autoSpaceDN w:val="0"/>
        <w:adjustRightInd w:val="0"/>
        <w:spacing w:before="480" w:line="360" w:lineRule="auto"/>
        <w:ind w:firstLine="851"/>
        <w:jc w:val="both"/>
        <w:rPr>
          <w:rFonts w:ascii="Arial" w:hAnsi="Arial" w:cs="Arial"/>
          <w:sz w:val="24"/>
          <w:szCs w:val="24"/>
        </w:rPr>
      </w:pPr>
      <w:r w:rsidRPr="00D22BE8">
        <w:rPr>
          <w:rFonts w:ascii="Arial" w:hAnsi="Arial" w:cs="Arial"/>
          <w:sz w:val="24"/>
          <w:szCs w:val="24"/>
        </w:rPr>
        <w:t>Presenciamos no Brasil um quadro de gravíssimas desigualdades sociais. E grande parte dessas disparidades é ocasionada devido ao processo histórico decorrido em nosso p</w:t>
      </w:r>
      <w:r>
        <w:rPr>
          <w:rFonts w:ascii="Arial" w:hAnsi="Arial" w:cs="Arial"/>
          <w:sz w:val="24"/>
          <w:szCs w:val="24"/>
        </w:rPr>
        <w:t>aís, onde se formaram grupos de</w:t>
      </w:r>
      <w:r w:rsidRPr="00D22BE8">
        <w:rPr>
          <w:rFonts w:ascii="Arial" w:hAnsi="Arial" w:cs="Arial"/>
          <w:sz w:val="24"/>
          <w:szCs w:val="24"/>
        </w:rPr>
        <w:t xml:space="preserve"> descendentes dos Europeus, detentores de algum meio-de-produção</w:t>
      </w:r>
      <w:r>
        <w:rPr>
          <w:rFonts w:ascii="Arial" w:hAnsi="Arial" w:cs="Arial"/>
          <w:sz w:val="24"/>
          <w:szCs w:val="24"/>
        </w:rPr>
        <w:t>,</w:t>
      </w:r>
      <w:r w:rsidRPr="00D22BE8">
        <w:rPr>
          <w:rFonts w:ascii="Arial" w:hAnsi="Arial" w:cs="Arial"/>
          <w:sz w:val="24"/>
          <w:szCs w:val="24"/>
        </w:rPr>
        <w:t xml:space="preserve"> e por outro lado grupos de ex-escravos</w:t>
      </w:r>
      <w:r w:rsidRPr="00D22BE8">
        <w:rPr>
          <w:rStyle w:val="Refdenotaderodap"/>
          <w:rFonts w:ascii="Arial" w:hAnsi="Arial" w:cs="Arial"/>
          <w:sz w:val="24"/>
          <w:szCs w:val="24"/>
        </w:rPr>
        <w:footnoteReference w:id="1"/>
      </w:r>
      <w:r w:rsidRPr="00D22BE8">
        <w:rPr>
          <w:rFonts w:ascii="Arial" w:hAnsi="Arial" w:cs="Arial"/>
          <w:sz w:val="24"/>
          <w:szCs w:val="24"/>
        </w:rPr>
        <w:t xml:space="preserve"> buscando legitimidade para sua liberdade. Com o passar dos anos houve inúmeros avanços, tais como direitos ao voto, e a inclusão de políticas públicas direcionadas as questões de raça, entre outros. Contudo</w:t>
      </w:r>
      <w:r>
        <w:rPr>
          <w:rFonts w:ascii="Arial" w:hAnsi="Arial" w:cs="Arial"/>
          <w:sz w:val="24"/>
          <w:szCs w:val="24"/>
        </w:rPr>
        <w:t xml:space="preserve">, </w:t>
      </w:r>
      <w:r w:rsidRPr="00D22BE8">
        <w:rPr>
          <w:rFonts w:ascii="Arial" w:hAnsi="Arial" w:cs="Arial"/>
          <w:sz w:val="24"/>
          <w:szCs w:val="24"/>
        </w:rPr>
        <w:t>ainda estamos longe de vivermos em plena igualdade.</w:t>
      </w:r>
    </w:p>
    <w:p w:rsidR="00C11A7A" w:rsidRPr="0047166C" w:rsidRDefault="00C11A7A" w:rsidP="0047166C">
      <w:pPr>
        <w:spacing w:before="480" w:line="360" w:lineRule="auto"/>
        <w:ind w:firstLine="851"/>
        <w:jc w:val="both"/>
        <w:rPr>
          <w:rFonts w:ascii="Arial" w:hAnsi="Arial" w:cs="Arial"/>
          <w:bCs/>
          <w:sz w:val="24"/>
          <w:szCs w:val="24"/>
          <w:lang w:eastAsia="pt-BR"/>
        </w:rPr>
      </w:pPr>
      <w:r w:rsidRPr="0047166C">
        <w:rPr>
          <w:rFonts w:ascii="Arial" w:hAnsi="Arial" w:cs="Arial"/>
          <w:sz w:val="24"/>
          <w:szCs w:val="24"/>
        </w:rPr>
        <w:t xml:space="preserve">O processo de exclusão dos negros do mercado de trabalho teve inicio com a Abolição da escravatura em </w:t>
      </w:r>
      <w:r w:rsidRPr="0047166C">
        <w:rPr>
          <w:rFonts w:ascii="Arial" w:hAnsi="Arial" w:cs="Arial"/>
          <w:color w:val="222222"/>
          <w:sz w:val="24"/>
          <w:szCs w:val="24"/>
          <w:shd w:val="clear" w:color="auto" w:fill="FFFFFF"/>
        </w:rPr>
        <w:t>13 de maio de 1888</w:t>
      </w:r>
      <w:r>
        <w:rPr>
          <w:rFonts w:ascii="Arial" w:hAnsi="Arial" w:cs="Arial"/>
          <w:color w:val="222222"/>
          <w:sz w:val="24"/>
          <w:szCs w:val="24"/>
          <w:shd w:val="clear" w:color="auto" w:fill="FFFFFF"/>
        </w:rPr>
        <w:t>. A</w:t>
      </w:r>
      <w:r w:rsidRPr="0047166C">
        <w:rPr>
          <w:rFonts w:ascii="Arial" w:hAnsi="Arial" w:cs="Arial"/>
          <w:color w:val="222222"/>
          <w:sz w:val="24"/>
          <w:szCs w:val="24"/>
          <w:shd w:val="clear" w:color="auto" w:fill="FFFFFF"/>
        </w:rPr>
        <w:t xml:space="preserve"> princesa Isabel, filha de dom Pedro II, assinou a Lei Áurea, extinguindo </w:t>
      </w:r>
      <w:r>
        <w:rPr>
          <w:rFonts w:ascii="Arial" w:hAnsi="Arial" w:cs="Arial"/>
          <w:color w:val="222222"/>
          <w:sz w:val="24"/>
          <w:szCs w:val="24"/>
          <w:shd w:val="clear" w:color="auto" w:fill="FFFFFF"/>
        </w:rPr>
        <w:t>a</w:t>
      </w:r>
      <w:r w:rsidRPr="0047166C">
        <w:rPr>
          <w:rFonts w:ascii="Arial" w:hAnsi="Arial" w:cs="Arial"/>
          <w:color w:val="222222"/>
          <w:sz w:val="24"/>
          <w:szCs w:val="24"/>
          <w:shd w:val="clear" w:color="auto" w:fill="FFFFFF"/>
        </w:rPr>
        <w:t> </w:t>
      </w:r>
      <w:r w:rsidRPr="0047166C">
        <w:rPr>
          <w:rFonts w:ascii="Arial" w:hAnsi="Arial" w:cs="Arial"/>
          <w:bCs/>
          <w:color w:val="000000"/>
          <w:sz w:val="24"/>
          <w:szCs w:val="24"/>
          <w:shd w:val="clear" w:color="auto" w:fill="FFFFFF"/>
        </w:rPr>
        <w:t>escravidão</w:t>
      </w:r>
      <w:r w:rsidRPr="0047166C">
        <w:rPr>
          <w:rFonts w:ascii="Arial" w:hAnsi="Arial" w:cs="Arial"/>
          <w:color w:val="222222"/>
          <w:sz w:val="24"/>
          <w:szCs w:val="24"/>
          <w:shd w:val="clear" w:color="auto" w:fill="FFFFFF"/>
        </w:rPr>
        <w:t xml:space="preserve"> no Brasil. </w:t>
      </w:r>
      <w:r w:rsidRPr="0047166C">
        <w:rPr>
          <w:rFonts w:ascii="Arial" w:hAnsi="Arial" w:cs="Arial"/>
          <w:sz w:val="24"/>
          <w:szCs w:val="24"/>
          <w:lang w:eastAsia="pt-BR"/>
        </w:rPr>
        <w:t xml:space="preserve">Para </w:t>
      </w:r>
      <w:r w:rsidRPr="0047166C">
        <w:rPr>
          <w:rFonts w:ascii="Arial" w:hAnsi="Arial" w:cs="Arial"/>
          <w:bCs/>
          <w:sz w:val="24"/>
          <w:szCs w:val="24"/>
          <w:lang w:eastAsia="pt-BR"/>
        </w:rPr>
        <w:t>Mário T</w:t>
      </w:r>
      <w:r>
        <w:rPr>
          <w:rFonts w:ascii="Arial" w:hAnsi="Arial" w:cs="Arial"/>
          <w:bCs/>
          <w:sz w:val="24"/>
          <w:szCs w:val="24"/>
          <w:lang w:eastAsia="pt-BR"/>
        </w:rPr>
        <w:t xml:space="preserve">heodoro </w:t>
      </w:r>
      <w:r w:rsidRPr="0047166C">
        <w:rPr>
          <w:rFonts w:ascii="Arial" w:hAnsi="Arial" w:cs="Arial"/>
          <w:bCs/>
          <w:sz w:val="24"/>
          <w:szCs w:val="24"/>
          <w:lang w:eastAsia="pt-BR"/>
        </w:rPr>
        <w:t>(2006</w:t>
      </w:r>
      <w:r>
        <w:rPr>
          <w:rFonts w:ascii="Arial" w:hAnsi="Arial" w:cs="Arial"/>
          <w:bCs/>
          <w:sz w:val="24"/>
          <w:szCs w:val="24"/>
          <w:lang w:eastAsia="pt-BR"/>
        </w:rPr>
        <w:t>, p. 43)</w:t>
      </w:r>
      <w:r w:rsidRPr="0047166C">
        <w:rPr>
          <w:rFonts w:ascii="Arial" w:hAnsi="Arial" w:cs="Arial"/>
          <w:bCs/>
          <w:sz w:val="24"/>
          <w:szCs w:val="24"/>
          <w:lang w:eastAsia="pt-BR"/>
        </w:rPr>
        <w:t>:</w:t>
      </w:r>
    </w:p>
    <w:p w:rsidR="00C11A7A" w:rsidRPr="0047166C" w:rsidRDefault="00C11A7A" w:rsidP="004D3DDA">
      <w:pPr>
        <w:autoSpaceDE w:val="0"/>
        <w:autoSpaceDN w:val="0"/>
        <w:adjustRightInd w:val="0"/>
        <w:spacing w:after="0"/>
        <w:ind w:left="2268"/>
        <w:jc w:val="both"/>
        <w:rPr>
          <w:rFonts w:ascii="Arial" w:hAnsi="Arial" w:cs="Arial"/>
          <w:lang w:eastAsia="pt-BR"/>
        </w:rPr>
      </w:pPr>
      <w:r w:rsidRPr="0047166C">
        <w:rPr>
          <w:rFonts w:ascii="Arial" w:hAnsi="Arial" w:cs="Arial"/>
          <w:lang w:eastAsia="pt-BR"/>
        </w:rPr>
        <w:t xml:space="preserve">Em relação ao trabalho, a Abolição foi excludente. Quando se aboliu o trabalho escravo no Brasil, ao mesmo tempo se implementou uma política de imigração que fez com que os </w:t>
      </w:r>
      <w:r w:rsidRPr="0047166C">
        <w:rPr>
          <w:rFonts w:ascii="Arial" w:hAnsi="Arial" w:cs="Arial"/>
          <w:lang w:eastAsia="pt-BR"/>
        </w:rPr>
        <w:lastRenderedPageBreak/>
        <w:t xml:space="preserve">postos de trabalho fossem ocupados por outros trabalhadores que não os ex-escravos. A abolição nas antigas colônias inglesas foi assim: baixou-se um decreto dizendo que aqueles que antes eram escravos continuariam trabalhando, mas agora como assalariados. Então, não houve mudança nos postos de trabalho. No caso brasileiro, essa abolição veio junto com uma política clara de branqueamento e de estímulo à imigração. Isso fez com que se dobrasse ou triplicasse a oferta de mão-de-obra para as ocupações existentes. Os negros foram para o desemprego e o subemprego. A exclusão veio no mercado de trabalho urbano, por essa política de abolição que chamo de excludente. </w:t>
      </w:r>
    </w:p>
    <w:p w:rsidR="00C11A7A" w:rsidRDefault="00C11A7A" w:rsidP="00E73063">
      <w:pPr>
        <w:autoSpaceDE w:val="0"/>
        <w:autoSpaceDN w:val="0"/>
        <w:adjustRightInd w:val="0"/>
        <w:spacing w:after="0" w:line="240" w:lineRule="auto"/>
        <w:jc w:val="both"/>
        <w:rPr>
          <w:rFonts w:ascii="Verdana" w:hAnsi="Verdana" w:cs="Verdana"/>
          <w:sz w:val="17"/>
          <w:szCs w:val="17"/>
          <w:lang w:eastAsia="pt-BR"/>
        </w:rPr>
      </w:pPr>
    </w:p>
    <w:p w:rsidR="00C11A7A" w:rsidRDefault="00C11A7A" w:rsidP="00E73063">
      <w:pPr>
        <w:autoSpaceDE w:val="0"/>
        <w:autoSpaceDN w:val="0"/>
        <w:adjustRightInd w:val="0"/>
        <w:spacing w:after="0" w:line="240" w:lineRule="auto"/>
        <w:jc w:val="both"/>
        <w:rPr>
          <w:rFonts w:ascii="Verdana" w:hAnsi="Verdana" w:cs="Verdana"/>
          <w:sz w:val="17"/>
          <w:szCs w:val="17"/>
          <w:lang w:eastAsia="pt-BR"/>
        </w:rPr>
      </w:pPr>
    </w:p>
    <w:p w:rsidR="00C11A7A" w:rsidRDefault="00C11A7A" w:rsidP="00434258">
      <w:pPr>
        <w:spacing w:before="480" w:line="360" w:lineRule="auto"/>
        <w:ind w:firstLine="851"/>
        <w:jc w:val="both"/>
        <w:rPr>
          <w:rFonts w:ascii="Arial" w:hAnsi="Arial" w:cs="Arial"/>
          <w:sz w:val="24"/>
          <w:szCs w:val="24"/>
        </w:rPr>
      </w:pPr>
      <w:r>
        <w:rPr>
          <w:rFonts w:ascii="Arial" w:hAnsi="Arial" w:cs="Arial"/>
          <w:sz w:val="24"/>
          <w:szCs w:val="24"/>
        </w:rPr>
        <w:t>Para Antônio Sergio Guimarães (2002), a democracia racial passa por três momentos: o ideal - constitui o momento de elaboração de conceito, quando os autores e pensadores se nutrem do imaginário vigente no século XIX, e que via o Brasil como exemplo de paraíso racial. O pacto – se dá quando a noção de democracia racial serve como alicerce para a coalizão de grupos políticos, sociais e raciais distintos que tinham como objetivo comum implantar de fato a democracia racial. O mito – faz referência ao momento em que essa aliança é quebrada e a idéia de democracia passa a ser vista como falácia.</w:t>
      </w:r>
    </w:p>
    <w:p w:rsidR="00C11A7A" w:rsidRDefault="00C11A7A" w:rsidP="00B97535">
      <w:pPr>
        <w:pStyle w:val="Default"/>
        <w:spacing w:before="480" w:line="360" w:lineRule="auto"/>
        <w:ind w:firstLine="851"/>
        <w:jc w:val="both"/>
        <w:rPr>
          <w:rFonts w:ascii="Arial" w:hAnsi="Arial" w:cs="Arial"/>
          <w:b/>
          <w:color w:val="auto"/>
        </w:rPr>
      </w:pPr>
      <w:r>
        <w:rPr>
          <w:rFonts w:ascii="Arial" w:hAnsi="Arial" w:cs="Arial"/>
          <w:b/>
          <w:color w:val="auto"/>
        </w:rPr>
        <w:t>Divisão sexual no mercado de trabalho</w:t>
      </w:r>
    </w:p>
    <w:p w:rsidR="00C11A7A" w:rsidRPr="00932C99" w:rsidRDefault="00C11A7A" w:rsidP="006C27A6">
      <w:pPr>
        <w:spacing w:before="480" w:line="360" w:lineRule="auto"/>
        <w:ind w:firstLine="851"/>
        <w:jc w:val="both"/>
        <w:rPr>
          <w:rFonts w:ascii="Arial" w:hAnsi="Arial" w:cs="Arial"/>
          <w:color w:val="FF0000"/>
          <w:sz w:val="24"/>
          <w:szCs w:val="24"/>
        </w:rPr>
      </w:pPr>
      <w:r>
        <w:rPr>
          <w:rFonts w:ascii="Arial" w:hAnsi="Arial" w:cs="Arial"/>
          <w:sz w:val="24"/>
          <w:szCs w:val="24"/>
        </w:rPr>
        <w:t xml:space="preserve">Para compreender melhor o processo de inserção das mulheres negras no mercado de trabalho e a relação entre identidade, raça e mercado de trabalho, se faz necessário a compreensão de alguns conceitos: Divisão Sexual do Mercado de Trabalho, Segregação dos Mercados de Trabalho baseada em Gênero e Pirâmide Ocupacional baseada em Gênero. Estes conceitos se tornaram fundamentais para essa discussão, pois os mesmos serviram como fundamentos para explicação da situação feminina junto ao mercado de trabalho, no decorrer do processo histórico do país, bem como no auxilio para a análise de viabilidade para elaboração e implementação de políticas públicas voltadas para um desenvolvimento social </w:t>
      </w:r>
      <w:r w:rsidRPr="00BE301D">
        <w:rPr>
          <w:rFonts w:ascii="Arial" w:hAnsi="Arial" w:cs="Arial"/>
          <w:sz w:val="24"/>
          <w:szCs w:val="24"/>
        </w:rPr>
        <w:t>dentro de um contexto machista e racista apresentado durante século XX.</w:t>
      </w:r>
      <w:r>
        <w:rPr>
          <w:rFonts w:ascii="Arial" w:hAnsi="Arial" w:cs="Arial"/>
          <w:sz w:val="24"/>
          <w:szCs w:val="24"/>
        </w:rPr>
        <w:t xml:space="preserve"> </w:t>
      </w:r>
    </w:p>
    <w:p w:rsidR="00C11A7A" w:rsidRDefault="00C11A7A" w:rsidP="006C27A6">
      <w:pPr>
        <w:spacing w:before="480" w:line="360" w:lineRule="auto"/>
        <w:ind w:firstLine="851"/>
        <w:jc w:val="both"/>
        <w:rPr>
          <w:rFonts w:ascii="Arial" w:hAnsi="Arial" w:cs="Arial"/>
          <w:sz w:val="24"/>
          <w:szCs w:val="24"/>
        </w:rPr>
      </w:pPr>
      <w:r>
        <w:rPr>
          <w:rFonts w:ascii="Arial" w:hAnsi="Arial" w:cs="Arial"/>
          <w:sz w:val="24"/>
          <w:szCs w:val="24"/>
        </w:rPr>
        <w:lastRenderedPageBreak/>
        <w:t>N</w:t>
      </w:r>
      <w:r w:rsidRPr="009C5AD8">
        <w:rPr>
          <w:rFonts w:ascii="Arial" w:hAnsi="Arial" w:cs="Arial"/>
          <w:sz w:val="24"/>
          <w:szCs w:val="24"/>
        </w:rPr>
        <w:t>a sociedade capitalista moderna a integração do trabalho feminino remunerado</w:t>
      </w:r>
      <w:r>
        <w:rPr>
          <w:rFonts w:ascii="Arial" w:hAnsi="Arial" w:cs="Arial"/>
          <w:sz w:val="24"/>
          <w:szCs w:val="24"/>
        </w:rPr>
        <w:t xml:space="preserve"> </w:t>
      </w:r>
      <w:r w:rsidR="00BE301D">
        <w:rPr>
          <w:rFonts w:ascii="Arial" w:hAnsi="Arial" w:cs="Arial"/>
          <w:sz w:val="24"/>
          <w:szCs w:val="24"/>
        </w:rPr>
        <w:t xml:space="preserve">no </w:t>
      </w:r>
      <w:r>
        <w:rPr>
          <w:rFonts w:ascii="Arial" w:hAnsi="Arial" w:cs="Arial"/>
          <w:sz w:val="24"/>
          <w:szCs w:val="24"/>
        </w:rPr>
        <w:t xml:space="preserve">mercado de trabalho é diferente da do homem. A presença masculina está na grande maioria dos setores, mas principalmente aos setores ligados diretamente a produção, por outro lado </w:t>
      </w:r>
      <w:r w:rsidRPr="00E3067E">
        <w:rPr>
          <w:rFonts w:ascii="Arial" w:hAnsi="Arial" w:cs="Arial"/>
          <w:sz w:val="24"/>
          <w:szCs w:val="24"/>
        </w:rPr>
        <w:t>às mulheres agrupam–se em setor</w:t>
      </w:r>
      <w:r>
        <w:rPr>
          <w:rFonts w:ascii="Arial" w:hAnsi="Arial" w:cs="Arial"/>
          <w:sz w:val="24"/>
          <w:szCs w:val="24"/>
        </w:rPr>
        <w:t>es</w:t>
      </w:r>
      <w:r w:rsidRPr="00E3067E">
        <w:rPr>
          <w:rFonts w:ascii="Arial" w:hAnsi="Arial" w:cs="Arial"/>
          <w:sz w:val="24"/>
          <w:szCs w:val="24"/>
        </w:rPr>
        <w:t xml:space="preserve"> de ativ</w:t>
      </w:r>
      <w:r>
        <w:rPr>
          <w:rFonts w:ascii="Arial" w:hAnsi="Arial" w:cs="Arial"/>
          <w:sz w:val="24"/>
          <w:szCs w:val="24"/>
        </w:rPr>
        <w:t>idade específicos, que demandam atributos que são facilmente encontrados nas mulheres</w:t>
      </w:r>
      <w:r w:rsidRPr="00E3067E">
        <w:rPr>
          <w:rFonts w:ascii="Arial" w:hAnsi="Arial" w:cs="Arial"/>
          <w:sz w:val="24"/>
          <w:szCs w:val="24"/>
        </w:rPr>
        <w:t>. Este</w:t>
      </w:r>
      <w:r>
        <w:rPr>
          <w:rFonts w:ascii="Arial" w:hAnsi="Arial" w:cs="Arial"/>
          <w:sz w:val="24"/>
          <w:szCs w:val="24"/>
        </w:rPr>
        <w:t>s</w:t>
      </w:r>
      <w:r w:rsidRPr="00E3067E">
        <w:rPr>
          <w:rFonts w:ascii="Arial" w:hAnsi="Arial" w:cs="Arial"/>
          <w:sz w:val="24"/>
          <w:szCs w:val="24"/>
        </w:rPr>
        <w:t xml:space="preserve"> setor</w:t>
      </w:r>
      <w:r>
        <w:rPr>
          <w:rFonts w:ascii="Arial" w:hAnsi="Arial" w:cs="Arial"/>
          <w:sz w:val="24"/>
          <w:szCs w:val="24"/>
        </w:rPr>
        <w:t>es são</w:t>
      </w:r>
      <w:r w:rsidRPr="00E3067E">
        <w:rPr>
          <w:rFonts w:ascii="Arial" w:hAnsi="Arial" w:cs="Arial"/>
          <w:sz w:val="24"/>
          <w:szCs w:val="24"/>
        </w:rPr>
        <w:t xml:space="preserve"> determinado</w:t>
      </w:r>
      <w:r>
        <w:rPr>
          <w:rFonts w:ascii="Arial" w:hAnsi="Arial" w:cs="Arial"/>
          <w:sz w:val="24"/>
          <w:szCs w:val="24"/>
        </w:rPr>
        <w:t>s</w:t>
      </w:r>
      <w:r w:rsidRPr="00E3067E">
        <w:rPr>
          <w:rFonts w:ascii="Arial" w:hAnsi="Arial" w:cs="Arial"/>
          <w:sz w:val="24"/>
          <w:szCs w:val="24"/>
        </w:rPr>
        <w:t xml:space="preserve"> pela junção das características atribuídas às mulheres, </w:t>
      </w:r>
      <w:r w:rsidRPr="00BE301D">
        <w:rPr>
          <w:rFonts w:ascii="Arial" w:hAnsi="Arial" w:cs="Arial"/>
          <w:sz w:val="24"/>
          <w:szCs w:val="24"/>
        </w:rPr>
        <w:t>através do desenvolvimento da cultura, com a identidade feminina.</w:t>
      </w:r>
      <w:r>
        <w:rPr>
          <w:rFonts w:ascii="Arial" w:hAnsi="Arial" w:cs="Arial"/>
          <w:sz w:val="24"/>
          <w:szCs w:val="24"/>
        </w:rPr>
        <w:t xml:space="preserve"> Tais como sensibilidade, meiguice, paciência,</w:t>
      </w:r>
      <w:r w:rsidRPr="009C5AD8">
        <w:rPr>
          <w:rFonts w:ascii="Arial" w:hAnsi="Arial" w:cs="Arial"/>
          <w:sz w:val="24"/>
          <w:szCs w:val="24"/>
        </w:rPr>
        <w:t xml:space="preserve"> meticulosidade, delicadeza entre outros adjetivos comumente atribuídos ao gênero feminino</w:t>
      </w:r>
      <w:r w:rsidRPr="002C71EB">
        <w:rPr>
          <w:rFonts w:ascii="Arial" w:hAnsi="Arial" w:cs="Arial"/>
          <w:sz w:val="24"/>
          <w:szCs w:val="24"/>
        </w:rPr>
        <w:t xml:space="preserve">. </w:t>
      </w:r>
      <w:r>
        <w:rPr>
          <w:rFonts w:ascii="Arial" w:hAnsi="Arial" w:cs="Arial"/>
          <w:sz w:val="24"/>
          <w:szCs w:val="24"/>
        </w:rPr>
        <w:t xml:space="preserve">Essa separação quanto às ocupações no mercado de trabalho é considerada como </w:t>
      </w:r>
      <w:r w:rsidRPr="00E3067E">
        <w:rPr>
          <w:rFonts w:ascii="Arial" w:hAnsi="Arial" w:cs="Arial"/>
          <w:sz w:val="24"/>
          <w:szCs w:val="24"/>
        </w:rPr>
        <w:t>uma “</w:t>
      </w:r>
      <w:r w:rsidRPr="00E3067E">
        <w:rPr>
          <w:rFonts w:ascii="Arial" w:hAnsi="Arial" w:cs="Arial"/>
          <w:bCs/>
          <w:sz w:val="24"/>
          <w:szCs w:val="24"/>
        </w:rPr>
        <w:t>divisão sexual do mercado de trabalho</w:t>
      </w:r>
      <w:r w:rsidRPr="00E3067E">
        <w:rPr>
          <w:rFonts w:ascii="Arial" w:hAnsi="Arial" w:cs="Arial"/>
          <w:b/>
          <w:bCs/>
          <w:sz w:val="24"/>
          <w:szCs w:val="24"/>
        </w:rPr>
        <w:t>”</w:t>
      </w:r>
      <w:r>
        <w:rPr>
          <w:rStyle w:val="Refdenotaderodap"/>
          <w:rFonts w:ascii="Arial" w:hAnsi="Arial" w:cs="Arial"/>
          <w:b/>
          <w:bCs/>
          <w:sz w:val="24"/>
          <w:szCs w:val="24"/>
        </w:rPr>
        <w:footnoteReference w:id="2"/>
      </w:r>
      <w:r>
        <w:rPr>
          <w:rFonts w:ascii="Arial" w:hAnsi="Arial" w:cs="Arial"/>
          <w:sz w:val="24"/>
          <w:szCs w:val="24"/>
        </w:rPr>
        <w:t xml:space="preserve">, </w:t>
      </w:r>
      <w:r w:rsidRPr="002C71EB">
        <w:rPr>
          <w:rFonts w:ascii="Arial" w:hAnsi="Arial" w:cs="Arial"/>
          <w:sz w:val="24"/>
          <w:szCs w:val="24"/>
        </w:rPr>
        <w:t>Yannoulas</w:t>
      </w:r>
      <w:r>
        <w:rPr>
          <w:rFonts w:ascii="Arial" w:hAnsi="Arial" w:cs="Arial"/>
          <w:sz w:val="24"/>
          <w:szCs w:val="24"/>
        </w:rPr>
        <w:t xml:space="preserve"> (2002).</w:t>
      </w:r>
    </w:p>
    <w:p w:rsidR="00BE301D" w:rsidRDefault="00BE301D" w:rsidP="007165FC">
      <w:pPr>
        <w:spacing w:before="480" w:line="360" w:lineRule="auto"/>
        <w:ind w:firstLine="851"/>
        <w:jc w:val="both"/>
        <w:rPr>
          <w:rFonts w:ascii="Arial" w:hAnsi="Arial" w:cs="Arial"/>
          <w:sz w:val="24"/>
          <w:szCs w:val="24"/>
        </w:rPr>
      </w:pPr>
      <w:r>
        <w:rPr>
          <w:rFonts w:ascii="Arial" w:hAnsi="Arial" w:cs="Arial"/>
          <w:sz w:val="24"/>
          <w:szCs w:val="24"/>
        </w:rPr>
        <w:t>Para ela a</w:t>
      </w:r>
      <w:r w:rsidR="00C11A7A" w:rsidRPr="009C5AD8">
        <w:rPr>
          <w:rFonts w:ascii="Arial" w:hAnsi="Arial" w:cs="Arial"/>
          <w:sz w:val="24"/>
          <w:szCs w:val="24"/>
        </w:rPr>
        <w:t xml:space="preserve">s ocupações destinadas </w:t>
      </w:r>
      <w:r w:rsidR="00C11A7A">
        <w:rPr>
          <w:rFonts w:ascii="Arial" w:hAnsi="Arial" w:cs="Arial"/>
          <w:sz w:val="24"/>
          <w:szCs w:val="24"/>
        </w:rPr>
        <w:t>à</w:t>
      </w:r>
      <w:r w:rsidR="00C11A7A" w:rsidRPr="009C5AD8">
        <w:rPr>
          <w:rFonts w:ascii="Arial" w:hAnsi="Arial" w:cs="Arial"/>
          <w:sz w:val="24"/>
          <w:szCs w:val="24"/>
        </w:rPr>
        <w:t>s mulheres</w:t>
      </w:r>
      <w:r w:rsidR="00C11A7A">
        <w:rPr>
          <w:rFonts w:ascii="Arial" w:hAnsi="Arial" w:cs="Arial"/>
          <w:sz w:val="24"/>
          <w:szCs w:val="24"/>
        </w:rPr>
        <w:t xml:space="preserve"> têm em comum o fato de ser</w:t>
      </w:r>
      <w:r w:rsidR="00C11A7A" w:rsidRPr="009C5AD8">
        <w:rPr>
          <w:rFonts w:ascii="Arial" w:hAnsi="Arial" w:cs="Arial"/>
          <w:sz w:val="24"/>
          <w:szCs w:val="24"/>
        </w:rPr>
        <w:t xml:space="preserve"> resultado de uma herança social e cultural, onde as funções  tradicionalmente desempenhadas por mulheres, permaneceriam sendo executadas por mulheres. Quando as mesmas não estão diretamente relacionadas ao ambiente domestico, demandam predicados instigados no processo educacional/social das meninas</w:t>
      </w:r>
      <w:r w:rsidR="00C11A7A">
        <w:rPr>
          <w:rFonts w:ascii="Arial" w:hAnsi="Arial" w:cs="Arial"/>
          <w:sz w:val="24"/>
          <w:szCs w:val="24"/>
        </w:rPr>
        <w:t>.</w:t>
      </w:r>
      <w:r w:rsidR="00C11A7A" w:rsidRPr="009C5AD8">
        <w:rPr>
          <w:rFonts w:ascii="Arial" w:hAnsi="Arial" w:cs="Arial"/>
          <w:sz w:val="24"/>
          <w:szCs w:val="24"/>
        </w:rPr>
        <w:t xml:space="preserve"> </w:t>
      </w:r>
      <w:r w:rsidR="00C11A7A">
        <w:rPr>
          <w:rFonts w:ascii="Arial" w:hAnsi="Arial" w:cs="Arial"/>
          <w:sz w:val="24"/>
          <w:szCs w:val="24"/>
        </w:rPr>
        <w:t>E</w:t>
      </w:r>
      <w:r w:rsidR="00C11A7A" w:rsidRPr="002C71EB">
        <w:rPr>
          <w:rFonts w:ascii="Arial" w:hAnsi="Arial" w:cs="Arial"/>
          <w:sz w:val="24"/>
          <w:szCs w:val="24"/>
        </w:rPr>
        <w:t xml:space="preserve">ssa entrada distinta entre homens e mulheres nos mercados de trabalho denomina–se </w:t>
      </w:r>
      <w:r w:rsidR="00C11A7A" w:rsidRPr="001C28CD">
        <w:rPr>
          <w:rFonts w:ascii="Arial" w:hAnsi="Arial" w:cs="Arial"/>
          <w:b/>
          <w:bCs/>
          <w:sz w:val="24"/>
          <w:szCs w:val="24"/>
        </w:rPr>
        <w:t>segmentação ou segregação dos mercados de trabalho baseada em gênero.</w:t>
      </w:r>
      <w:r w:rsidR="00C11A7A">
        <w:rPr>
          <w:rFonts w:ascii="Arial" w:hAnsi="Arial" w:cs="Arial"/>
          <w:b/>
          <w:bCs/>
          <w:sz w:val="24"/>
          <w:szCs w:val="24"/>
        </w:rPr>
        <w:t xml:space="preserve"> </w:t>
      </w:r>
      <w:r w:rsidR="00C11A7A">
        <w:rPr>
          <w:rFonts w:ascii="Arial" w:hAnsi="Arial" w:cs="Arial"/>
          <w:bCs/>
          <w:sz w:val="24"/>
          <w:szCs w:val="24"/>
        </w:rPr>
        <w:t>Ou seja, é o isolamento das mulheres em relação às ocupações, historicamente ocupadas por homens, e</w:t>
      </w:r>
      <w:r w:rsidR="00C11A7A" w:rsidRPr="002C71EB">
        <w:rPr>
          <w:rFonts w:ascii="Arial" w:hAnsi="Arial" w:cs="Arial"/>
          <w:sz w:val="24"/>
          <w:szCs w:val="24"/>
        </w:rPr>
        <w:t>sta segmentação faz com que as oportunidades de trabalho para as mulheres limitem-se a setores específicos e</w:t>
      </w:r>
      <w:r w:rsidR="00C11A7A">
        <w:rPr>
          <w:rFonts w:ascii="Arial" w:hAnsi="Arial" w:cs="Arial"/>
          <w:sz w:val="24"/>
          <w:szCs w:val="24"/>
        </w:rPr>
        <w:t>,</w:t>
      </w:r>
      <w:r w:rsidR="00C11A7A" w:rsidRPr="002C71EB">
        <w:rPr>
          <w:rFonts w:ascii="Arial" w:hAnsi="Arial" w:cs="Arial"/>
          <w:sz w:val="24"/>
          <w:szCs w:val="24"/>
        </w:rPr>
        <w:t xml:space="preserve"> num número limitado de ofícios dentro da composição da estrutura produtiva</w:t>
      </w:r>
      <w:r w:rsidR="00C11A7A">
        <w:rPr>
          <w:rFonts w:ascii="Arial" w:hAnsi="Arial" w:cs="Arial"/>
          <w:sz w:val="24"/>
          <w:szCs w:val="24"/>
        </w:rPr>
        <w:t xml:space="preserve">. </w:t>
      </w:r>
      <w:r w:rsidR="00C11A7A">
        <w:rPr>
          <w:rFonts w:ascii="Arial" w:hAnsi="Arial" w:cs="Arial"/>
          <w:bCs/>
          <w:sz w:val="24"/>
          <w:szCs w:val="24"/>
        </w:rPr>
        <w:t xml:space="preserve">Dessa form, as mulheres têm poucas opções de escolha, ou exercem alguma atividade </w:t>
      </w:r>
      <w:r w:rsidR="00C11A7A" w:rsidRPr="009C5AD8">
        <w:rPr>
          <w:rFonts w:ascii="Arial" w:hAnsi="Arial" w:cs="Arial"/>
          <w:sz w:val="24"/>
          <w:szCs w:val="24"/>
        </w:rPr>
        <w:t>relacionada ao ambiente domesti</w:t>
      </w:r>
      <w:r w:rsidR="00C11A7A">
        <w:rPr>
          <w:rFonts w:ascii="Arial" w:hAnsi="Arial" w:cs="Arial"/>
          <w:sz w:val="24"/>
          <w:szCs w:val="24"/>
        </w:rPr>
        <w:t xml:space="preserve">co, ou uma atividade no setor produtivo que </w:t>
      </w:r>
      <w:r w:rsidR="00C11A7A" w:rsidRPr="009D46E6">
        <w:rPr>
          <w:rFonts w:ascii="Arial" w:hAnsi="Arial" w:cs="Arial"/>
          <w:sz w:val="24"/>
          <w:szCs w:val="24"/>
        </w:rPr>
        <w:t>necessite estritamente</w:t>
      </w:r>
      <w:r w:rsidR="00C11A7A">
        <w:rPr>
          <w:rFonts w:ascii="Arial" w:hAnsi="Arial" w:cs="Arial"/>
          <w:sz w:val="24"/>
          <w:szCs w:val="24"/>
        </w:rPr>
        <w:t xml:space="preserve"> de atributos femininos</w:t>
      </w:r>
      <w:r>
        <w:rPr>
          <w:rFonts w:ascii="Arial" w:hAnsi="Arial" w:cs="Arial"/>
          <w:sz w:val="24"/>
          <w:szCs w:val="24"/>
        </w:rPr>
        <w:t>.</w:t>
      </w:r>
    </w:p>
    <w:p w:rsidR="00C11A7A" w:rsidRDefault="00C11A7A" w:rsidP="007165FC">
      <w:pPr>
        <w:spacing w:before="480" w:line="360" w:lineRule="auto"/>
        <w:ind w:firstLine="851"/>
        <w:jc w:val="both"/>
        <w:rPr>
          <w:rFonts w:ascii="Arial" w:hAnsi="Arial" w:cs="Arial"/>
          <w:sz w:val="24"/>
          <w:szCs w:val="24"/>
        </w:rPr>
      </w:pPr>
      <w:r>
        <w:rPr>
          <w:rFonts w:ascii="Arial" w:hAnsi="Arial" w:cs="Arial"/>
          <w:sz w:val="24"/>
          <w:szCs w:val="24"/>
        </w:rPr>
        <w:lastRenderedPageBreak/>
        <w:t>A</w:t>
      </w:r>
      <w:r w:rsidRPr="002C71EB">
        <w:rPr>
          <w:rFonts w:ascii="Arial" w:hAnsi="Arial" w:cs="Arial"/>
          <w:sz w:val="24"/>
          <w:szCs w:val="24"/>
        </w:rPr>
        <w:t>o se observar a estrutura do mercado de trabalho pode-se concluir que as mulheres estão em desvantagem em relação aos homens, isso em termos de salários, funções profissionais e condições de trabalho. Diversas pesquisas mostram que as mulheres que desejarem ocupar o mesmo posto de trabalho devem apresentar sempre um requisito a mais que seus colegas homens</w:t>
      </w:r>
      <w:r>
        <w:rPr>
          <w:rFonts w:ascii="Arial" w:hAnsi="Arial" w:cs="Arial"/>
          <w:sz w:val="24"/>
          <w:szCs w:val="24"/>
        </w:rPr>
        <w:t>, do contrario estarão em desvantagem</w:t>
      </w:r>
      <w:r w:rsidRPr="002C71EB">
        <w:rPr>
          <w:rFonts w:ascii="Arial" w:hAnsi="Arial" w:cs="Arial"/>
          <w:sz w:val="24"/>
          <w:szCs w:val="24"/>
        </w:rPr>
        <w:t xml:space="preserve">. Outra forte barreira é a forma seletiva para escolher </w:t>
      </w:r>
      <w:r w:rsidRPr="00D22BE8">
        <w:rPr>
          <w:rFonts w:ascii="Arial" w:hAnsi="Arial" w:cs="Arial"/>
          <w:sz w:val="24"/>
          <w:szCs w:val="24"/>
        </w:rPr>
        <w:t>o candidato a</w:t>
      </w:r>
      <w:r>
        <w:rPr>
          <w:rFonts w:ascii="Arial" w:hAnsi="Arial" w:cs="Arial"/>
          <w:sz w:val="24"/>
          <w:szCs w:val="24"/>
        </w:rPr>
        <w:t xml:space="preserve"> </w:t>
      </w:r>
      <w:r w:rsidRPr="002C71EB">
        <w:rPr>
          <w:rFonts w:ascii="Arial" w:hAnsi="Arial" w:cs="Arial"/>
          <w:sz w:val="24"/>
          <w:szCs w:val="24"/>
        </w:rPr>
        <w:t>ocupar este posto de trabalho,</w:t>
      </w:r>
      <w:r>
        <w:rPr>
          <w:rFonts w:ascii="Arial" w:hAnsi="Arial" w:cs="Arial"/>
          <w:sz w:val="24"/>
          <w:szCs w:val="24"/>
        </w:rPr>
        <w:t xml:space="preserve"> onde no momento da seleção é </w:t>
      </w:r>
      <w:r w:rsidRPr="002C71EB">
        <w:rPr>
          <w:rFonts w:ascii="Arial" w:hAnsi="Arial" w:cs="Arial"/>
          <w:sz w:val="24"/>
          <w:szCs w:val="24"/>
        </w:rPr>
        <w:t xml:space="preserve">dado preferência para as mais jovens, mais escolarizadas, as que não têm </w:t>
      </w:r>
      <w:r>
        <w:rPr>
          <w:rFonts w:ascii="Arial" w:hAnsi="Arial" w:cs="Arial"/>
          <w:sz w:val="24"/>
          <w:szCs w:val="24"/>
        </w:rPr>
        <w:t xml:space="preserve">filhos e </w:t>
      </w:r>
      <w:r w:rsidRPr="002C71EB">
        <w:rPr>
          <w:rFonts w:ascii="Arial" w:hAnsi="Arial" w:cs="Arial"/>
          <w:sz w:val="24"/>
          <w:szCs w:val="24"/>
        </w:rPr>
        <w:t>companheiro (solteiras, divorciadas, viúvas)</w:t>
      </w:r>
      <w:r>
        <w:rPr>
          <w:rFonts w:ascii="Arial" w:hAnsi="Arial" w:cs="Arial"/>
          <w:sz w:val="24"/>
          <w:szCs w:val="24"/>
        </w:rPr>
        <w:t xml:space="preserve">, essa diferenciação é considerada como uma </w:t>
      </w:r>
      <w:r w:rsidRPr="005D7620">
        <w:rPr>
          <w:rFonts w:ascii="Arial" w:hAnsi="Arial" w:cs="Arial"/>
          <w:sz w:val="24"/>
          <w:szCs w:val="24"/>
        </w:rPr>
        <w:t>“divisão sexual vertical do trabalho”</w:t>
      </w:r>
      <w:r w:rsidRPr="002C71EB">
        <w:rPr>
          <w:rFonts w:ascii="Arial" w:hAnsi="Arial" w:cs="Arial"/>
          <w:sz w:val="24"/>
          <w:szCs w:val="24"/>
        </w:rPr>
        <w:t>.Segundo Silvia Cristina Yannoulas</w:t>
      </w:r>
      <w:r>
        <w:rPr>
          <w:rFonts w:ascii="Arial" w:hAnsi="Arial" w:cs="Arial"/>
          <w:sz w:val="24"/>
          <w:szCs w:val="24"/>
        </w:rPr>
        <w:t xml:space="preserve"> (2002):</w:t>
      </w:r>
    </w:p>
    <w:p w:rsidR="00C11A7A" w:rsidRDefault="00C11A7A" w:rsidP="00D95641">
      <w:pPr>
        <w:spacing w:before="480"/>
        <w:ind w:left="2268"/>
        <w:jc w:val="both"/>
        <w:rPr>
          <w:rFonts w:ascii="Arial" w:hAnsi="Arial" w:cs="Arial"/>
          <w:szCs w:val="24"/>
        </w:rPr>
      </w:pPr>
      <w:r w:rsidRPr="004D3DDA">
        <w:rPr>
          <w:rFonts w:ascii="Arial" w:hAnsi="Arial" w:cs="Arial"/>
          <w:szCs w:val="24"/>
        </w:rPr>
        <w:t xml:space="preserve">“O conceito de </w:t>
      </w:r>
      <w:r w:rsidRPr="004D3DDA">
        <w:rPr>
          <w:rFonts w:ascii="Arial" w:hAnsi="Arial" w:cs="Arial"/>
          <w:b/>
          <w:bCs/>
          <w:szCs w:val="24"/>
        </w:rPr>
        <w:t xml:space="preserve">Pirâmide Ocupacional Baseada em Gênero, </w:t>
      </w:r>
      <w:r w:rsidRPr="004D3DDA">
        <w:rPr>
          <w:rFonts w:ascii="Arial" w:hAnsi="Arial" w:cs="Arial"/>
          <w:szCs w:val="24"/>
        </w:rPr>
        <w:t>diretamente vinculado à dita divisão sexual vertical do trabalho, indica que as mulheres contam com menos possibilidades de promoção a cargos mais altos que os homens. A combinação dos efeitos perversos da divisão vertical e horizontal do trabalho pode ser verificada nos setores de atividade nos quais a presença de mão–de–obra feminina é maior, porém os cargos hierarquicamente mais altos são ocupados preferencialmente por homens (ver, por exemplo, saúde e educação)”.</w:t>
      </w:r>
    </w:p>
    <w:p w:rsidR="00C11A7A" w:rsidRPr="00363E26" w:rsidRDefault="00C11A7A" w:rsidP="006A18CD">
      <w:pPr>
        <w:spacing w:before="480" w:line="360" w:lineRule="auto"/>
        <w:ind w:firstLine="851"/>
        <w:jc w:val="both"/>
        <w:rPr>
          <w:rFonts w:ascii="Arial" w:hAnsi="Arial" w:cs="Arial"/>
          <w:sz w:val="24"/>
          <w:szCs w:val="24"/>
        </w:rPr>
      </w:pPr>
      <w:r w:rsidRPr="00D22BE8">
        <w:rPr>
          <w:rFonts w:ascii="Arial" w:hAnsi="Arial" w:cs="Arial"/>
          <w:sz w:val="24"/>
          <w:szCs w:val="24"/>
          <w:lang w:eastAsia="pt-BR"/>
        </w:rPr>
        <w:t xml:space="preserve">Os Autores </w:t>
      </w:r>
      <w:r w:rsidRPr="002C71EB">
        <w:rPr>
          <w:rFonts w:ascii="Arial" w:hAnsi="Arial" w:cs="Arial"/>
          <w:sz w:val="24"/>
          <w:szCs w:val="24"/>
        </w:rPr>
        <w:t>Yannoulas</w:t>
      </w:r>
      <w:r>
        <w:rPr>
          <w:rFonts w:ascii="Arial" w:hAnsi="Arial" w:cs="Arial"/>
          <w:sz w:val="24"/>
          <w:szCs w:val="24"/>
        </w:rPr>
        <w:t xml:space="preserve"> (2002) e Guimarães (2002), discorrem sobre a existência de uma </w:t>
      </w:r>
      <w:r w:rsidRPr="00363E26">
        <w:rPr>
          <w:rFonts w:ascii="Arial" w:hAnsi="Arial" w:cs="Arial"/>
          <w:bCs/>
          <w:sz w:val="24"/>
          <w:szCs w:val="24"/>
          <w:lang w:eastAsia="pt-BR"/>
        </w:rPr>
        <w:t>discriminação encoberta</w:t>
      </w:r>
      <w:r>
        <w:rPr>
          <w:rFonts w:ascii="Arial" w:hAnsi="Arial" w:cs="Arial"/>
          <w:bCs/>
          <w:sz w:val="24"/>
          <w:szCs w:val="24"/>
          <w:lang w:eastAsia="pt-BR"/>
        </w:rPr>
        <w:t xml:space="preserve">, a mesma </w:t>
      </w:r>
      <w:r w:rsidRPr="00363E26">
        <w:rPr>
          <w:rFonts w:ascii="Arial" w:hAnsi="Arial" w:cs="Arial"/>
          <w:sz w:val="24"/>
          <w:szCs w:val="24"/>
          <w:lang w:eastAsia="pt-BR"/>
        </w:rPr>
        <w:t xml:space="preserve">consiste </w:t>
      </w:r>
      <w:r>
        <w:rPr>
          <w:rFonts w:ascii="Arial" w:hAnsi="Arial" w:cs="Arial"/>
          <w:sz w:val="24"/>
          <w:szCs w:val="24"/>
          <w:lang w:eastAsia="pt-BR"/>
        </w:rPr>
        <w:t xml:space="preserve">na propagação social de </w:t>
      </w:r>
      <w:r w:rsidRPr="00363E26">
        <w:rPr>
          <w:rFonts w:ascii="Arial" w:hAnsi="Arial" w:cs="Arial"/>
          <w:sz w:val="24"/>
          <w:szCs w:val="24"/>
          <w:lang w:eastAsia="pt-BR"/>
        </w:rPr>
        <w:t>id</w:t>
      </w:r>
      <w:r>
        <w:rPr>
          <w:rFonts w:ascii="Arial" w:hAnsi="Arial" w:cs="Arial"/>
          <w:sz w:val="24"/>
          <w:szCs w:val="24"/>
          <w:lang w:eastAsia="pt-BR"/>
        </w:rPr>
        <w:t>éia</w:t>
      </w:r>
      <w:r w:rsidRPr="00363E26">
        <w:rPr>
          <w:rFonts w:ascii="Arial" w:hAnsi="Arial" w:cs="Arial"/>
          <w:sz w:val="24"/>
          <w:szCs w:val="24"/>
          <w:lang w:eastAsia="pt-BR"/>
        </w:rPr>
        <w:t>s e práticas</w:t>
      </w:r>
      <w:r>
        <w:rPr>
          <w:rFonts w:ascii="Arial" w:hAnsi="Arial" w:cs="Arial"/>
          <w:sz w:val="24"/>
          <w:szCs w:val="24"/>
          <w:lang w:eastAsia="pt-BR"/>
        </w:rPr>
        <w:t xml:space="preserve"> que determinam o comportamento do individuo</w:t>
      </w:r>
      <w:r w:rsidRPr="00363E26">
        <w:rPr>
          <w:rFonts w:ascii="Arial" w:hAnsi="Arial" w:cs="Arial"/>
          <w:sz w:val="24"/>
          <w:szCs w:val="24"/>
          <w:lang w:eastAsia="pt-BR"/>
        </w:rPr>
        <w:t xml:space="preserve"> para cada grupo</w:t>
      </w:r>
      <w:r>
        <w:rPr>
          <w:rFonts w:ascii="Arial" w:hAnsi="Arial" w:cs="Arial"/>
          <w:sz w:val="24"/>
          <w:szCs w:val="24"/>
          <w:lang w:eastAsia="pt-BR"/>
        </w:rPr>
        <w:t xml:space="preserve"> em seu meio, constituindo dessa forma a cultura do trabalho dessa sociedade. </w:t>
      </w:r>
      <w:r>
        <w:rPr>
          <w:rFonts w:ascii="Arial" w:hAnsi="Arial" w:cs="Arial"/>
          <w:sz w:val="24"/>
          <w:szCs w:val="24"/>
        </w:rPr>
        <w:t xml:space="preserve">Em </w:t>
      </w:r>
      <w:r w:rsidRPr="00A14F6C">
        <w:rPr>
          <w:rFonts w:ascii="Arial" w:hAnsi="Arial" w:cs="Arial"/>
          <w:sz w:val="24"/>
          <w:szCs w:val="24"/>
        </w:rPr>
        <w:t>diversas culturas a entrada dos homens no mercado de trabalho</w:t>
      </w:r>
      <w:r>
        <w:rPr>
          <w:rFonts w:ascii="Arial" w:hAnsi="Arial" w:cs="Arial"/>
          <w:sz w:val="24"/>
          <w:szCs w:val="24"/>
        </w:rPr>
        <w:t>, b</w:t>
      </w:r>
      <w:r w:rsidRPr="00A14F6C">
        <w:rPr>
          <w:rFonts w:ascii="Arial" w:hAnsi="Arial" w:cs="Arial"/>
          <w:sz w:val="24"/>
          <w:szCs w:val="24"/>
        </w:rPr>
        <w:t>em como a sua permanência sem interrupção</w:t>
      </w:r>
      <w:r>
        <w:rPr>
          <w:rFonts w:ascii="Arial" w:hAnsi="Arial" w:cs="Arial"/>
          <w:sz w:val="24"/>
          <w:szCs w:val="24"/>
        </w:rPr>
        <w:t>,</w:t>
      </w:r>
      <w:r w:rsidRPr="00A14F6C">
        <w:rPr>
          <w:rFonts w:ascii="Arial" w:hAnsi="Arial" w:cs="Arial"/>
          <w:sz w:val="24"/>
          <w:szCs w:val="24"/>
        </w:rPr>
        <w:t xml:space="preserve"> durante todo o andamento de sua vida</w:t>
      </w:r>
      <w:r>
        <w:rPr>
          <w:rFonts w:ascii="Arial" w:hAnsi="Arial" w:cs="Arial"/>
          <w:sz w:val="24"/>
          <w:szCs w:val="24"/>
        </w:rPr>
        <w:t>,</w:t>
      </w:r>
      <w:r w:rsidRPr="00A14F6C">
        <w:rPr>
          <w:rFonts w:ascii="Arial" w:hAnsi="Arial" w:cs="Arial"/>
          <w:sz w:val="24"/>
          <w:szCs w:val="24"/>
        </w:rPr>
        <w:t xml:space="preserve"> es</w:t>
      </w:r>
      <w:r>
        <w:rPr>
          <w:rFonts w:ascii="Arial" w:hAnsi="Arial" w:cs="Arial"/>
          <w:sz w:val="24"/>
          <w:szCs w:val="24"/>
        </w:rPr>
        <w:t>tá assegurada devido ao</w:t>
      </w:r>
      <w:r w:rsidRPr="00A14F6C">
        <w:rPr>
          <w:rFonts w:ascii="Arial" w:hAnsi="Arial" w:cs="Arial"/>
          <w:sz w:val="24"/>
          <w:szCs w:val="24"/>
        </w:rPr>
        <w:t xml:space="preserve"> desenvolvimento do processo histórico dessas localidades, </w:t>
      </w:r>
      <w:r>
        <w:rPr>
          <w:rFonts w:ascii="Arial" w:hAnsi="Arial" w:cs="Arial"/>
          <w:sz w:val="24"/>
          <w:szCs w:val="24"/>
        </w:rPr>
        <w:t xml:space="preserve">onde a inserção do individuo em uma ocupação no mercado de trabalho faz parte do processo de legitimação do ser masculino. Isto é, a entrada do homem no mercado de trabalho faz parte do seu processo de amadurecimento. Já para as mulheres o mercado de trabalho sempre foi limitado, pois a idéia fortalecida na sociedade durante o processo histórico é que o papel da mulher era administrar a casa e tomar conta dos filhos. </w:t>
      </w:r>
      <w:r>
        <w:rPr>
          <w:rFonts w:ascii="Arial" w:hAnsi="Arial" w:cs="Arial"/>
          <w:sz w:val="24"/>
          <w:szCs w:val="24"/>
          <w:lang w:eastAsia="pt-BR"/>
        </w:rPr>
        <w:t xml:space="preserve">Essas </w:t>
      </w:r>
      <w:r w:rsidRPr="00363E26">
        <w:rPr>
          <w:rFonts w:ascii="Arial" w:hAnsi="Arial" w:cs="Arial"/>
          <w:sz w:val="24"/>
          <w:szCs w:val="24"/>
          <w:lang w:eastAsia="pt-BR"/>
        </w:rPr>
        <w:t>id</w:t>
      </w:r>
      <w:r>
        <w:rPr>
          <w:rFonts w:ascii="Arial" w:hAnsi="Arial" w:cs="Arial"/>
          <w:sz w:val="24"/>
          <w:szCs w:val="24"/>
          <w:lang w:eastAsia="pt-BR"/>
        </w:rPr>
        <w:t>éi</w:t>
      </w:r>
      <w:r w:rsidRPr="00363E26">
        <w:rPr>
          <w:rFonts w:ascii="Arial" w:hAnsi="Arial" w:cs="Arial"/>
          <w:sz w:val="24"/>
          <w:szCs w:val="24"/>
          <w:lang w:eastAsia="pt-BR"/>
        </w:rPr>
        <w:t xml:space="preserve">as </w:t>
      </w:r>
      <w:r w:rsidRPr="00363E26">
        <w:rPr>
          <w:rFonts w:ascii="Arial" w:hAnsi="Arial" w:cs="Arial"/>
          <w:sz w:val="24"/>
          <w:szCs w:val="24"/>
          <w:lang w:eastAsia="pt-BR"/>
        </w:rPr>
        <w:lastRenderedPageBreak/>
        <w:t>e práticas</w:t>
      </w:r>
      <w:r>
        <w:rPr>
          <w:rFonts w:ascii="Arial" w:hAnsi="Arial" w:cs="Arial"/>
          <w:sz w:val="24"/>
          <w:szCs w:val="24"/>
          <w:lang w:eastAsia="pt-BR"/>
        </w:rPr>
        <w:t>, aparentemente inofensivas</w:t>
      </w:r>
      <w:r w:rsidRPr="00363E26">
        <w:rPr>
          <w:rFonts w:ascii="Arial" w:hAnsi="Arial" w:cs="Arial"/>
          <w:sz w:val="24"/>
          <w:szCs w:val="24"/>
          <w:lang w:eastAsia="pt-BR"/>
        </w:rPr>
        <w:t xml:space="preserve">, </w:t>
      </w:r>
      <w:r>
        <w:rPr>
          <w:rFonts w:ascii="Arial" w:hAnsi="Arial" w:cs="Arial"/>
          <w:sz w:val="24"/>
          <w:szCs w:val="24"/>
          <w:lang w:eastAsia="pt-BR"/>
        </w:rPr>
        <w:t>“</w:t>
      </w:r>
      <w:r w:rsidRPr="00363E26">
        <w:rPr>
          <w:rFonts w:ascii="Arial" w:hAnsi="Arial" w:cs="Arial"/>
          <w:sz w:val="24"/>
          <w:szCs w:val="24"/>
          <w:lang w:eastAsia="pt-BR"/>
        </w:rPr>
        <w:t>criam desigualdades entre pessoas com condições idênticas por sua raça/etnia, sexo/gênero, idade, religião, nacionalidade, entre outros aspectos</w:t>
      </w:r>
      <w:r w:rsidR="00BE301D">
        <w:rPr>
          <w:rFonts w:ascii="Arial" w:hAnsi="Arial" w:cs="Arial"/>
          <w:sz w:val="24"/>
          <w:szCs w:val="24"/>
          <w:lang w:eastAsia="pt-BR"/>
        </w:rPr>
        <w:t>.</w:t>
      </w:r>
    </w:p>
    <w:p w:rsidR="00C11A7A" w:rsidRDefault="00C11A7A" w:rsidP="007028C9">
      <w:pPr>
        <w:spacing w:before="480" w:line="480" w:lineRule="auto"/>
        <w:ind w:firstLine="851"/>
        <w:jc w:val="both"/>
        <w:rPr>
          <w:rFonts w:ascii="Arial" w:hAnsi="Arial" w:cs="Arial"/>
          <w:b/>
          <w:sz w:val="24"/>
          <w:szCs w:val="24"/>
        </w:rPr>
      </w:pPr>
      <w:r w:rsidRPr="00D22BE8">
        <w:rPr>
          <w:rFonts w:ascii="Arial" w:hAnsi="Arial" w:cs="Arial"/>
          <w:b/>
          <w:sz w:val="24"/>
          <w:szCs w:val="24"/>
        </w:rPr>
        <w:t>Trabalho Feminino No Brasil</w:t>
      </w:r>
    </w:p>
    <w:p w:rsidR="00C11A7A" w:rsidRPr="007028C9" w:rsidRDefault="00C11A7A" w:rsidP="007028C9">
      <w:pPr>
        <w:autoSpaceDE w:val="0"/>
        <w:autoSpaceDN w:val="0"/>
        <w:adjustRightInd w:val="0"/>
        <w:spacing w:after="0" w:line="360" w:lineRule="auto"/>
        <w:ind w:firstLine="851"/>
        <w:jc w:val="both"/>
        <w:rPr>
          <w:rFonts w:ascii="Arial" w:hAnsi="Arial" w:cs="Arial"/>
          <w:b/>
          <w:sz w:val="24"/>
          <w:szCs w:val="24"/>
        </w:rPr>
      </w:pPr>
      <w:r w:rsidRPr="007028C9">
        <w:rPr>
          <w:rFonts w:ascii="Arial" w:hAnsi="Arial" w:cs="Arial"/>
          <w:sz w:val="24"/>
          <w:szCs w:val="24"/>
          <w:lang w:eastAsia="pt-BR"/>
        </w:rPr>
        <w:t xml:space="preserve">Com </w:t>
      </w:r>
      <w:r>
        <w:rPr>
          <w:rFonts w:ascii="Arial" w:hAnsi="Arial" w:cs="Arial"/>
          <w:sz w:val="24"/>
          <w:szCs w:val="24"/>
          <w:lang w:eastAsia="pt-BR"/>
        </w:rPr>
        <w:t xml:space="preserve">base nos dados expostos na </w:t>
      </w:r>
      <w:r w:rsidRPr="007028C9">
        <w:rPr>
          <w:rFonts w:ascii="Arial" w:hAnsi="Arial" w:cs="Arial"/>
          <w:sz w:val="24"/>
          <w:szCs w:val="24"/>
        </w:rPr>
        <w:t>Pesquisa Nacional por Amostra de Domicílios</w:t>
      </w:r>
      <w:r>
        <w:rPr>
          <w:rFonts w:ascii="Arial" w:hAnsi="Arial" w:cs="Arial"/>
          <w:sz w:val="24"/>
          <w:szCs w:val="24"/>
        </w:rPr>
        <w:t xml:space="preserve"> do ano</w:t>
      </w:r>
      <w:r w:rsidRPr="007028C9">
        <w:rPr>
          <w:rFonts w:ascii="Arial" w:hAnsi="Arial" w:cs="Arial"/>
          <w:sz w:val="24"/>
          <w:szCs w:val="24"/>
        </w:rPr>
        <w:t xml:space="preserve"> de</w:t>
      </w:r>
      <w:r>
        <w:rPr>
          <w:rFonts w:ascii="Arial" w:hAnsi="Arial" w:cs="Arial"/>
          <w:sz w:val="24"/>
          <w:szCs w:val="24"/>
        </w:rPr>
        <w:t xml:space="preserve"> 2008, </w:t>
      </w:r>
      <w:r>
        <w:rPr>
          <w:rFonts w:ascii="Arial" w:hAnsi="Arial" w:cs="Arial"/>
          <w:sz w:val="24"/>
          <w:szCs w:val="24"/>
          <w:lang w:eastAsia="pt-BR"/>
        </w:rPr>
        <w:t xml:space="preserve">desenvolvida no Brasil, pode-se considerar </w:t>
      </w:r>
      <w:r w:rsidRPr="007028C9">
        <w:rPr>
          <w:rFonts w:ascii="Arial" w:hAnsi="Arial" w:cs="Arial"/>
          <w:sz w:val="24"/>
          <w:szCs w:val="24"/>
          <w:lang w:eastAsia="pt-BR"/>
        </w:rPr>
        <w:t>alguns</w:t>
      </w:r>
      <w:r>
        <w:rPr>
          <w:rFonts w:ascii="Arial" w:hAnsi="Arial" w:cs="Arial"/>
          <w:sz w:val="24"/>
          <w:szCs w:val="24"/>
          <w:lang w:eastAsia="pt-BR"/>
        </w:rPr>
        <w:t xml:space="preserve"> </w:t>
      </w:r>
      <w:r w:rsidRPr="007028C9">
        <w:rPr>
          <w:rFonts w:ascii="Arial" w:hAnsi="Arial" w:cs="Arial"/>
          <w:sz w:val="24"/>
          <w:szCs w:val="24"/>
          <w:lang w:eastAsia="pt-BR"/>
        </w:rPr>
        <w:t>fatos</w:t>
      </w:r>
      <w:r>
        <w:rPr>
          <w:rFonts w:ascii="Arial" w:hAnsi="Arial" w:cs="Arial"/>
          <w:sz w:val="24"/>
          <w:szCs w:val="24"/>
          <w:lang w:eastAsia="pt-BR"/>
        </w:rPr>
        <w:t xml:space="preserve"> no que diz respeito ao mercado de trabalho feminino</w:t>
      </w:r>
      <w:r w:rsidRPr="007028C9">
        <w:rPr>
          <w:rFonts w:ascii="Arial" w:hAnsi="Arial" w:cs="Arial"/>
          <w:sz w:val="24"/>
          <w:szCs w:val="24"/>
          <w:lang w:eastAsia="pt-BR"/>
        </w:rPr>
        <w:t>: o elevado grau de informalidade nas ocupações femininas; permanência do processo de segregação e precarização</w:t>
      </w:r>
      <w:r>
        <w:rPr>
          <w:rFonts w:ascii="Arial" w:hAnsi="Arial" w:cs="Arial"/>
          <w:sz w:val="24"/>
          <w:szCs w:val="24"/>
          <w:lang w:eastAsia="pt-BR"/>
        </w:rPr>
        <w:t xml:space="preserve"> </w:t>
      </w:r>
      <w:r w:rsidRPr="007028C9">
        <w:rPr>
          <w:rFonts w:ascii="Arial" w:hAnsi="Arial" w:cs="Arial"/>
          <w:sz w:val="24"/>
          <w:szCs w:val="24"/>
          <w:lang w:eastAsia="pt-BR"/>
        </w:rPr>
        <w:t>do trabalho feminino; continuidade das desigualdades salariais entre homens e mulheres; influência da imagem social do masculino e feminino na ocupação de cargos no mercado de trabalho.</w:t>
      </w:r>
    </w:p>
    <w:p w:rsidR="00C11A7A" w:rsidRDefault="00C11A7A" w:rsidP="00F871B0">
      <w:pPr>
        <w:spacing w:before="480" w:line="360" w:lineRule="auto"/>
        <w:ind w:firstLine="851"/>
        <w:jc w:val="both"/>
        <w:rPr>
          <w:rFonts w:ascii="Arial" w:hAnsi="Arial" w:cs="Arial"/>
          <w:sz w:val="24"/>
          <w:szCs w:val="24"/>
        </w:rPr>
      </w:pPr>
      <w:r w:rsidRPr="001E09AB">
        <w:rPr>
          <w:rFonts w:ascii="Arial" w:hAnsi="Arial" w:cs="Arial"/>
          <w:sz w:val="24"/>
          <w:szCs w:val="24"/>
        </w:rPr>
        <w:t>Segundo os dados apresentados na tabela 1,</w:t>
      </w:r>
      <w:r>
        <w:rPr>
          <w:rFonts w:ascii="Arial" w:hAnsi="Arial" w:cs="Arial"/>
          <w:sz w:val="24"/>
          <w:szCs w:val="24"/>
        </w:rPr>
        <w:t xml:space="preserve"> </w:t>
      </w:r>
      <w:r w:rsidRPr="001E09AB">
        <w:rPr>
          <w:rFonts w:ascii="Arial" w:hAnsi="Arial" w:cs="Arial"/>
          <w:sz w:val="24"/>
          <w:szCs w:val="24"/>
        </w:rPr>
        <w:t>cerca de 53% das mulheres negras e pardas exercem alguma atividade de maneira informal</w:t>
      </w:r>
      <w:r>
        <w:rPr>
          <w:rFonts w:ascii="Arial" w:hAnsi="Arial" w:cs="Arial"/>
          <w:sz w:val="24"/>
          <w:szCs w:val="24"/>
        </w:rPr>
        <w:t xml:space="preserve">. </w:t>
      </w:r>
      <w:r w:rsidRPr="001E09AB">
        <w:rPr>
          <w:rFonts w:ascii="Arial" w:hAnsi="Arial" w:cs="Arial"/>
          <w:sz w:val="24"/>
          <w:szCs w:val="24"/>
        </w:rPr>
        <w:t>As ocupações que as mulheres conseguem ao ingressar no mercado de trabalho são instáveis, divido ao elevado nível de informalidade apresentada. Além disso, fatos como a presença ou ausência de companheiro e/ou filhos, a localização da residência, seja ela situada em zona urbana ou zona rural, escolaridade.</w:t>
      </w:r>
      <w:r>
        <w:rPr>
          <w:rFonts w:ascii="Arial" w:hAnsi="Arial" w:cs="Arial"/>
          <w:sz w:val="24"/>
          <w:szCs w:val="24"/>
        </w:rPr>
        <w:t xml:space="preserve"> </w:t>
      </w:r>
      <w:r w:rsidRPr="001E09AB">
        <w:rPr>
          <w:rFonts w:ascii="Arial" w:hAnsi="Arial" w:cs="Arial"/>
          <w:sz w:val="24"/>
          <w:szCs w:val="24"/>
        </w:rPr>
        <w:t>Exercem um efeito decisório sobre as possibilidades de inclusão das mulheres nos me</w:t>
      </w:r>
      <w:r w:rsidRPr="009C5AD8">
        <w:rPr>
          <w:rFonts w:ascii="Arial" w:hAnsi="Arial" w:cs="Arial"/>
          <w:sz w:val="24"/>
          <w:szCs w:val="24"/>
        </w:rPr>
        <w:t xml:space="preserve">rcados de trabalho. Desta maneira, os trabalhos em tempo parcial, ocasionais ou sazonais são mais freqüentes entre elas, </w:t>
      </w:r>
      <w:r>
        <w:rPr>
          <w:rFonts w:ascii="Arial" w:hAnsi="Arial" w:cs="Arial"/>
          <w:sz w:val="24"/>
          <w:szCs w:val="24"/>
        </w:rPr>
        <w:t>isso devid</w:t>
      </w:r>
      <w:r w:rsidRPr="009C5AD8">
        <w:rPr>
          <w:rFonts w:ascii="Arial" w:hAnsi="Arial" w:cs="Arial"/>
          <w:sz w:val="24"/>
          <w:szCs w:val="24"/>
        </w:rPr>
        <w:t xml:space="preserve">o à </w:t>
      </w:r>
      <w:r w:rsidRPr="009C5AD8">
        <w:rPr>
          <w:rFonts w:ascii="Arial" w:hAnsi="Arial" w:cs="Arial"/>
          <w:bCs/>
          <w:sz w:val="24"/>
          <w:szCs w:val="24"/>
        </w:rPr>
        <w:t>necessidade de harmonizar o trabalho no lar e sua ocupação profissional</w:t>
      </w:r>
      <w:r w:rsidRPr="009C5AD8">
        <w:rPr>
          <w:rFonts w:ascii="Arial" w:hAnsi="Arial" w:cs="Arial"/>
          <w:sz w:val="24"/>
          <w:szCs w:val="24"/>
        </w:rPr>
        <w:t>.</w:t>
      </w:r>
    </w:p>
    <w:p w:rsidR="00C11A7A" w:rsidRDefault="00C11A7A" w:rsidP="00CE59F7">
      <w:pPr>
        <w:autoSpaceDE w:val="0"/>
        <w:autoSpaceDN w:val="0"/>
        <w:adjustRightInd w:val="0"/>
        <w:spacing w:after="0" w:line="360" w:lineRule="auto"/>
        <w:ind w:firstLine="851"/>
        <w:jc w:val="center"/>
        <w:rPr>
          <w:rFonts w:ascii="Arial" w:hAnsi="Arial" w:cs="Arial"/>
          <w:sz w:val="24"/>
          <w:szCs w:val="20"/>
        </w:rPr>
      </w:pPr>
    </w:p>
    <w:p w:rsidR="00C11A7A" w:rsidRDefault="00C11A7A" w:rsidP="00CE59F7">
      <w:pPr>
        <w:autoSpaceDE w:val="0"/>
        <w:autoSpaceDN w:val="0"/>
        <w:adjustRightInd w:val="0"/>
        <w:spacing w:after="0" w:line="360" w:lineRule="auto"/>
        <w:ind w:firstLine="851"/>
        <w:jc w:val="center"/>
        <w:rPr>
          <w:rFonts w:ascii="Arial" w:hAnsi="Arial" w:cs="Arial"/>
          <w:sz w:val="24"/>
          <w:szCs w:val="20"/>
        </w:rPr>
      </w:pPr>
      <w:r>
        <w:rPr>
          <w:rFonts w:ascii="Arial" w:hAnsi="Arial" w:cs="Arial"/>
          <w:sz w:val="24"/>
          <w:szCs w:val="20"/>
        </w:rPr>
        <w:t>Tabela 1</w:t>
      </w:r>
    </w:p>
    <w:p w:rsidR="00C11A7A" w:rsidRDefault="00C11A7A" w:rsidP="00CE59F7">
      <w:pPr>
        <w:autoSpaceDE w:val="0"/>
        <w:autoSpaceDN w:val="0"/>
        <w:adjustRightInd w:val="0"/>
        <w:spacing w:after="0" w:line="360" w:lineRule="auto"/>
        <w:ind w:firstLine="851"/>
        <w:jc w:val="center"/>
        <w:rPr>
          <w:rFonts w:ascii="Arial" w:hAnsi="Arial" w:cs="Arial"/>
          <w:sz w:val="24"/>
          <w:szCs w:val="20"/>
        </w:rPr>
      </w:pPr>
      <w:r>
        <w:rPr>
          <w:rFonts w:ascii="Arial" w:hAnsi="Arial" w:cs="Arial"/>
          <w:sz w:val="24"/>
          <w:szCs w:val="20"/>
        </w:rPr>
        <w:t>População Feminina Ocupada na Semana de Referencia por Posição na Ocupação e Cor ou Raça em Percentual. Brasil – 2008</w:t>
      </w:r>
    </w:p>
    <w:tbl>
      <w:tblPr>
        <w:tblW w:w="9753" w:type="dxa"/>
        <w:tblInd w:w="-459" w:type="dxa"/>
        <w:tblBorders>
          <w:top w:val="single" w:sz="8" w:space="0" w:color="000000"/>
          <w:bottom w:val="single" w:sz="8" w:space="0" w:color="000000"/>
        </w:tblBorders>
        <w:tblLayout w:type="fixed"/>
        <w:tblLook w:val="00A0" w:firstRow="1" w:lastRow="0" w:firstColumn="1" w:lastColumn="0" w:noHBand="0" w:noVBand="0"/>
      </w:tblPr>
      <w:tblGrid>
        <w:gridCol w:w="6"/>
        <w:gridCol w:w="4987"/>
        <w:gridCol w:w="1190"/>
        <w:gridCol w:w="1190"/>
        <w:gridCol w:w="1190"/>
        <w:gridCol w:w="1190"/>
      </w:tblGrid>
      <w:tr w:rsidR="00C11A7A" w:rsidRPr="00E14479" w:rsidTr="001E09AB">
        <w:trPr>
          <w:trHeight w:val="340"/>
        </w:trPr>
        <w:tc>
          <w:tcPr>
            <w:tcW w:w="4989" w:type="dxa"/>
            <w:gridSpan w:val="2"/>
            <w:tcBorders>
              <w:top w:val="single" w:sz="8" w:space="0" w:color="000000"/>
              <w:left w:val="nil"/>
              <w:bottom w:val="single" w:sz="8" w:space="0" w:color="000000"/>
              <w:right w:val="nil"/>
            </w:tcBorders>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p>
        </w:tc>
        <w:tc>
          <w:tcPr>
            <w:tcW w:w="1191" w:type="dxa"/>
            <w:tcBorders>
              <w:top w:val="single" w:sz="8" w:space="0" w:color="000000"/>
              <w:left w:val="nil"/>
              <w:bottom w:val="single" w:sz="8" w:space="0" w:color="000000"/>
              <w:right w:val="nil"/>
            </w:tcBorders>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
                <w:bCs/>
                <w:color w:val="000000"/>
                <w:sz w:val="24"/>
                <w:szCs w:val="20"/>
              </w:rPr>
              <w:t>Brancas</w:t>
            </w:r>
          </w:p>
        </w:tc>
        <w:tc>
          <w:tcPr>
            <w:tcW w:w="1191" w:type="dxa"/>
            <w:tcBorders>
              <w:top w:val="single" w:sz="8" w:space="0" w:color="000000"/>
              <w:left w:val="nil"/>
              <w:bottom w:val="single" w:sz="8" w:space="0" w:color="000000"/>
              <w:right w:val="nil"/>
            </w:tcBorders>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
                <w:bCs/>
                <w:color w:val="000000"/>
                <w:sz w:val="24"/>
                <w:szCs w:val="20"/>
              </w:rPr>
              <w:t>Negras</w:t>
            </w:r>
          </w:p>
        </w:tc>
        <w:tc>
          <w:tcPr>
            <w:tcW w:w="1191" w:type="dxa"/>
            <w:tcBorders>
              <w:top w:val="single" w:sz="8" w:space="0" w:color="000000"/>
              <w:left w:val="nil"/>
              <w:bottom w:val="single" w:sz="8" w:space="0" w:color="000000"/>
              <w:right w:val="nil"/>
            </w:tcBorders>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
                <w:bCs/>
                <w:color w:val="000000"/>
                <w:sz w:val="24"/>
                <w:szCs w:val="20"/>
              </w:rPr>
              <w:t>Pardas</w:t>
            </w:r>
          </w:p>
        </w:tc>
        <w:tc>
          <w:tcPr>
            <w:tcW w:w="1191" w:type="dxa"/>
            <w:tcBorders>
              <w:top w:val="single" w:sz="8" w:space="0" w:color="000000"/>
              <w:left w:val="nil"/>
              <w:bottom w:val="single" w:sz="8" w:space="0" w:color="000000"/>
              <w:right w:val="nil"/>
            </w:tcBorders>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
                <w:bCs/>
                <w:color w:val="000000"/>
                <w:sz w:val="24"/>
                <w:szCs w:val="20"/>
              </w:rPr>
              <w:t>Total</w:t>
            </w:r>
          </w:p>
        </w:tc>
      </w:tr>
      <w:tr w:rsidR="00C11A7A" w:rsidTr="001E09AB">
        <w:trPr>
          <w:trHeight w:val="340"/>
        </w:trPr>
        <w:tc>
          <w:tcPr>
            <w:tcW w:w="4989" w:type="dxa"/>
            <w:gridSpan w:val="2"/>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Assalariados com carteira</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35,4</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27,5</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24,5</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30,4</w:t>
            </w:r>
          </w:p>
        </w:tc>
      </w:tr>
      <w:tr w:rsidR="00C11A7A" w:rsidTr="001E09AB">
        <w:trPr>
          <w:trHeight w:val="340"/>
        </w:trPr>
        <w:tc>
          <w:tcPr>
            <w:tcW w:w="4989" w:type="dxa"/>
            <w:gridSpan w:val="2"/>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Militares</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0,0</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0,0</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0,0</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0,0</w:t>
            </w:r>
          </w:p>
        </w:tc>
      </w:tr>
      <w:tr w:rsidR="00C11A7A" w:rsidTr="001E09AB">
        <w:trPr>
          <w:trHeight w:val="340"/>
        </w:trPr>
        <w:tc>
          <w:tcPr>
            <w:tcW w:w="4989" w:type="dxa"/>
            <w:gridSpan w:val="2"/>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Funcionários públicos</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10,6</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8,7</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8,2</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9,5</w:t>
            </w:r>
          </w:p>
        </w:tc>
      </w:tr>
      <w:tr w:rsidR="00C11A7A" w:rsidTr="001E09AB">
        <w:trPr>
          <w:trHeight w:val="340"/>
        </w:trPr>
        <w:tc>
          <w:tcPr>
            <w:tcW w:w="4989" w:type="dxa"/>
            <w:gridSpan w:val="2"/>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Assalariados sem carteira</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13,4</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14,2</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15,0</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14,1</w:t>
            </w:r>
          </w:p>
        </w:tc>
      </w:tr>
      <w:tr w:rsidR="00C11A7A" w:rsidTr="001E09AB">
        <w:trPr>
          <w:gridBefore w:val="1"/>
          <w:trHeight w:val="340"/>
        </w:trPr>
        <w:tc>
          <w:tcPr>
            <w:tcW w:w="4989"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lastRenderedPageBreak/>
              <w:t>Empregados domésticos com carteira</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3,5</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7,6</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4,6</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4,2</w:t>
            </w:r>
          </w:p>
        </w:tc>
      </w:tr>
      <w:tr w:rsidR="00C11A7A" w:rsidTr="001E09AB">
        <w:trPr>
          <w:gridBefore w:val="1"/>
          <w:trHeight w:val="340"/>
        </w:trPr>
        <w:tc>
          <w:tcPr>
            <w:tcW w:w="4989" w:type="dxa"/>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Empregados domésticos sem carteira</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8,6</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17,2</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15,4</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12,0</w:t>
            </w:r>
          </w:p>
        </w:tc>
      </w:tr>
      <w:tr w:rsidR="00C11A7A" w:rsidTr="001E09AB">
        <w:trPr>
          <w:gridBefore w:val="1"/>
          <w:trHeight w:val="340"/>
        </w:trPr>
        <w:tc>
          <w:tcPr>
            <w:tcW w:w="4989"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Conta própria</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14,4</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15,5</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16,6</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15,4</w:t>
            </w:r>
          </w:p>
        </w:tc>
      </w:tr>
      <w:tr w:rsidR="00C11A7A" w:rsidTr="001E09AB">
        <w:trPr>
          <w:gridBefore w:val="1"/>
          <w:trHeight w:val="340"/>
        </w:trPr>
        <w:tc>
          <w:tcPr>
            <w:tcW w:w="4989" w:type="dxa"/>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Empregador</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4,0</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0,9</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1,7</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2,9</w:t>
            </w:r>
          </w:p>
        </w:tc>
      </w:tr>
      <w:tr w:rsidR="00C11A7A" w:rsidTr="001E09AB">
        <w:trPr>
          <w:gridBefore w:val="1"/>
          <w:trHeight w:val="340"/>
        </w:trPr>
        <w:tc>
          <w:tcPr>
            <w:tcW w:w="4989"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Trab. Na Produção Para Consumo Próprio</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3,6</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4,6</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7,1</w:t>
            </w:r>
          </w:p>
        </w:tc>
        <w:tc>
          <w:tcPr>
            <w:tcW w:w="1191" w:type="dxa"/>
            <w:tcBorders>
              <w:left w:val="nil"/>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5,1</w:t>
            </w:r>
          </w:p>
        </w:tc>
      </w:tr>
      <w:tr w:rsidR="00C11A7A" w:rsidTr="001E09AB">
        <w:trPr>
          <w:gridBefore w:val="1"/>
          <w:trHeight w:val="340"/>
        </w:trPr>
        <w:tc>
          <w:tcPr>
            <w:tcW w:w="4989" w:type="dxa"/>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Trab. Na Construção Para O Próprio Consumo</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0,0</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0,0</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0,0</w:t>
            </w:r>
          </w:p>
        </w:tc>
        <w:tc>
          <w:tcPr>
            <w:tcW w:w="1191" w:type="dxa"/>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0,0</w:t>
            </w:r>
          </w:p>
        </w:tc>
      </w:tr>
      <w:tr w:rsidR="00C11A7A" w:rsidTr="001E09AB">
        <w:trPr>
          <w:gridBefore w:val="1"/>
          <w:trHeight w:val="340"/>
        </w:trPr>
        <w:tc>
          <w:tcPr>
            <w:tcW w:w="4989" w:type="dxa"/>
            <w:tcBorders>
              <w:left w:val="nil"/>
              <w:bottom w:val="single" w:sz="4" w:space="0" w:color="auto"/>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Trab. Não Remunerado</w:t>
            </w:r>
          </w:p>
        </w:tc>
        <w:tc>
          <w:tcPr>
            <w:tcW w:w="1191" w:type="dxa"/>
            <w:tcBorders>
              <w:left w:val="nil"/>
              <w:bottom w:val="single" w:sz="4" w:space="0" w:color="auto"/>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6,4</w:t>
            </w:r>
          </w:p>
        </w:tc>
        <w:tc>
          <w:tcPr>
            <w:tcW w:w="1191" w:type="dxa"/>
            <w:tcBorders>
              <w:left w:val="nil"/>
              <w:bottom w:val="single" w:sz="4" w:space="0" w:color="auto"/>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3,7</w:t>
            </w:r>
          </w:p>
        </w:tc>
        <w:tc>
          <w:tcPr>
            <w:tcW w:w="1191" w:type="dxa"/>
            <w:tcBorders>
              <w:left w:val="nil"/>
              <w:bottom w:val="single" w:sz="4" w:space="0" w:color="auto"/>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6,9</w:t>
            </w:r>
          </w:p>
        </w:tc>
        <w:tc>
          <w:tcPr>
            <w:tcW w:w="1191" w:type="dxa"/>
            <w:tcBorders>
              <w:left w:val="nil"/>
              <w:bottom w:val="single" w:sz="4" w:space="0" w:color="auto"/>
              <w:right w:val="nil"/>
            </w:tcBorders>
            <w:shd w:val="clear" w:color="auto" w:fill="C0C0C0"/>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6,4</w:t>
            </w:r>
          </w:p>
        </w:tc>
      </w:tr>
      <w:tr w:rsidR="00C11A7A" w:rsidTr="001E09AB">
        <w:trPr>
          <w:gridBefore w:val="1"/>
          <w:trHeight w:val="340"/>
        </w:trPr>
        <w:tc>
          <w:tcPr>
            <w:tcW w:w="4989" w:type="dxa"/>
            <w:tcBorders>
              <w:top w:val="single" w:sz="4" w:space="0" w:color="auto"/>
              <w:bottom w:val="single" w:sz="8" w:space="0" w:color="000000"/>
            </w:tcBorders>
            <w:vAlign w:val="center"/>
          </w:tcPr>
          <w:p w:rsidR="00C11A7A" w:rsidRPr="00173176" w:rsidRDefault="00C11A7A" w:rsidP="00312BDD">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TOTAL</w:t>
            </w:r>
          </w:p>
        </w:tc>
        <w:tc>
          <w:tcPr>
            <w:tcW w:w="1191" w:type="dxa"/>
            <w:tcBorders>
              <w:top w:val="single" w:sz="4" w:space="0" w:color="auto"/>
              <w:bottom w:val="single" w:sz="8" w:space="0" w:color="000000"/>
            </w:tcBorders>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100,0</w:t>
            </w:r>
          </w:p>
        </w:tc>
        <w:tc>
          <w:tcPr>
            <w:tcW w:w="1191" w:type="dxa"/>
            <w:tcBorders>
              <w:top w:val="single" w:sz="4" w:space="0" w:color="auto"/>
              <w:bottom w:val="single" w:sz="8" w:space="0" w:color="000000"/>
            </w:tcBorders>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100,0</w:t>
            </w:r>
          </w:p>
        </w:tc>
        <w:tc>
          <w:tcPr>
            <w:tcW w:w="1191" w:type="dxa"/>
            <w:tcBorders>
              <w:top w:val="single" w:sz="4" w:space="0" w:color="auto"/>
              <w:bottom w:val="single" w:sz="8" w:space="0" w:color="000000"/>
            </w:tcBorders>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100,0</w:t>
            </w:r>
          </w:p>
        </w:tc>
        <w:tc>
          <w:tcPr>
            <w:tcW w:w="1191" w:type="dxa"/>
            <w:tcBorders>
              <w:top w:val="single" w:sz="4" w:space="0" w:color="auto"/>
              <w:bottom w:val="single" w:sz="8" w:space="0" w:color="000000"/>
            </w:tcBorders>
            <w:vAlign w:val="center"/>
          </w:tcPr>
          <w:p w:rsidR="00C11A7A" w:rsidRPr="00173176" w:rsidRDefault="00C11A7A" w:rsidP="00312BDD">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100,0</w:t>
            </w:r>
          </w:p>
        </w:tc>
      </w:tr>
    </w:tbl>
    <w:p w:rsidR="00C11A7A" w:rsidRDefault="00C11A7A" w:rsidP="00CE59F7">
      <w:pPr>
        <w:autoSpaceDE w:val="0"/>
        <w:autoSpaceDN w:val="0"/>
        <w:adjustRightInd w:val="0"/>
        <w:spacing w:before="240" w:after="0" w:line="360" w:lineRule="auto"/>
        <w:ind w:firstLine="851"/>
        <w:jc w:val="right"/>
        <w:rPr>
          <w:rFonts w:ascii="Arial" w:hAnsi="Arial" w:cs="Arial"/>
          <w:sz w:val="24"/>
          <w:szCs w:val="20"/>
        </w:rPr>
      </w:pPr>
      <w:r>
        <w:rPr>
          <w:rFonts w:ascii="Arial" w:hAnsi="Arial" w:cs="Arial"/>
          <w:sz w:val="24"/>
          <w:szCs w:val="24"/>
        </w:rPr>
        <w:t xml:space="preserve">Fonte: </w:t>
      </w:r>
      <w:r w:rsidRPr="001D0895">
        <w:rPr>
          <w:rFonts w:ascii="Arial" w:hAnsi="Arial" w:cs="Arial"/>
          <w:sz w:val="24"/>
          <w:szCs w:val="24"/>
        </w:rPr>
        <w:t xml:space="preserve">Dados obtidos através </w:t>
      </w:r>
      <w:r>
        <w:rPr>
          <w:rFonts w:ascii="Arial" w:hAnsi="Arial" w:cs="Arial"/>
          <w:sz w:val="24"/>
          <w:szCs w:val="24"/>
        </w:rPr>
        <w:t>da PNAD 2008</w:t>
      </w:r>
    </w:p>
    <w:p w:rsidR="00C11A7A" w:rsidRDefault="00C11A7A" w:rsidP="00CE59F7">
      <w:pPr>
        <w:autoSpaceDE w:val="0"/>
        <w:autoSpaceDN w:val="0"/>
        <w:adjustRightInd w:val="0"/>
        <w:spacing w:before="240" w:after="0" w:line="240" w:lineRule="auto"/>
        <w:ind w:firstLine="851"/>
        <w:jc w:val="center"/>
        <w:rPr>
          <w:rFonts w:ascii="Arial" w:hAnsi="Arial" w:cs="Arial"/>
          <w:sz w:val="24"/>
          <w:szCs w:val="20"/>
        </w:rPr>
      </w:pPr>
    </w:p>
    <w:p w:rsidR="00C11A7A" w:rsidRDefault="00C11A7A" w:rsidP="00CE59F7">
      <w:pPr>
        <w:autoSpaceDE w:val="0"/>
        <w:autoSpaceDN w:val="0"/>
        <w:adjustRightInd w:val="0"/>
        <w:spacing w:before="240" w:after="0" w:line="240" w:lineRule="auto"/>
        <w:ind w:firstLine="851"/>
        <w:jc w:val="center"/>
        <w:rPr>
          <w:rFonts w:ascii="Arial" w:hAnsi="Arial" w:cs="Arial"/>
          <w:sz w:val="24"/>
          <w:szCs w:val="20"/>
        </w:rPr>
      </w:pPr>
      <w:r>
        <w:rPr>
          <w:rFonts w:ascii="Arial" w:hAnsi="Arial" w:cs="Arial"/>
          <w:sz w:val="24"/>
          <w:szCs w:val="20"/>
        </w:rPr>
        <w:t>Tabela 2</w:t>
      </w:r>
    </w:p>
    <w:p w:rsidR="00C11A7A" w:rsidRDefault="00C11A7A" w:rsidP="00CE59F7">
      <w:pPr>
        <w:autoSpaceDE w:val="0"/>
        <w:autoSpaceDN w:val="0"/>
        <w:adjustRightInd w:val="0"/>
        <w:spacing w:before="240" w:after="0" w:line="360" w:lineRule="auto"/>
        <w:ind w:firstLine="851"/>
        <w:jc w:val="center"/>
        <w:rPr>
          <w:rFonts w:ascii="Arial" w:hAnsi="Arial" w:cs="Arial"/>
          <w:sz w:val="24"/>
          <w:szCs w:val="20"/>
        </w:rPr>
      </w:pPr>
      <w:r>
        <w:rPr>
          <w:rFonts w:ascii="Arial" w:hAnsi="Arial" w:cs="Arial"/>
          <w:sz w:val="24"/>
          <w:szCs w:val="20"/>
        </w:rPr>
        <w:t>População Masculina Ocupada na Semana de Referencia por Posição na Ocupação e Cor ou Raça em Percentual. Brasil – 2008</w:t>
      </w:r>
    </w:p>
    <w:tbl>
      <w:tblPr>
        <w:tblW w:w="9753" w:type="dxa"/>
        <w:tblInd w:w="-459" w:type="dxa"/>
        <w:tblBorders>
          <w:top w:val="single" w:sz="8" w:space="0" w:color="000000"/>
          <w:bottom w:val="single" w:sz="8" w:space="0" w:color="000000"/>
        </w:tblBorders>
        <w:tblLayout w:type="fixed"/>
        <w:tblLook w:val="00A0" w:firstRow="1" w:lastRow="0" w:firstColumn="1" w:lastColumn="0" w:noHBand="0" w:noVBand="0"/>
      </w:tblPr>
      <w:tblGrid>
        <w:gridCol w:w="4989"/>
        <w:gridCol w:w="1191"/>
        <w:gridCol w:w="1191"/>
        <w:gridCol w:w="1191"/>
        <w:gridCol w:w="1191"/>
      </w:tblGrid>
      <w:tr w:rsidR="00C11A7A" w:rsidRPr="00E14479" w:rsidTr="001E09AB">
        <w:trPr>
          <w:trHeight w:val="397"/>
        </w:trPr>
        <w:tc>
          <w:tcPr>
            <w:tcW w:w="4989" w:type="dxa"/>
            <w:tcBorders>
              <w:top w:val="single" w:sz="8" w:space="0" w:color="000000"/>
              <w:left w:val="nil"/>
              <w:bottom w:val="single" w:sz="8" w:space="0" w:color="000000"/>
              <w:right w:val="nil"/>
            </w:tcBorders>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p>
        </w:tc>
        <w:tc>
          <w:tcPr>
            <w:tcW w:w="1191" w:type="dxa"/>
            <w:tcBorders>
              <w:top w:val="single" w:sz="8" w:space="0" w:color="000000"/>
              <w:left w:val="nil"/>
              <w:bottom w:val="single" w:sz="8" w:space="0" w:color="000000"/>
              <w:right w:val="nil"/>
            </w:tcBorders>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
                <w:bCs/>
                <w:color w:val="000000"/>
                <w:sz w:val="24"/>
                <w:szCs w:val="20"/>
              </w:rPr>
              <w:t>Brancas</w:t>
            </w:r>
          </w:p>
        </w:tc>
        <w:tc>
          <w:tcPr>
            <w:tcW w:w="1191" w:type="dxa"/>
            <w:tcBorders>
              <w:top w:val="single" w:sz="8" w:space="0" w:color="000000"/>
              <w:left w:val="nil"/>
              <w:bottom w:val="single" w:sz="8" w:space="0" w:color="000000"/>
              <w:right w:val="nil"/>
            </w:tcBorders>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
                <w:bCs/>
                <w:color w:val="000000"/>
                <w:sz w:val="24"/>
                <w:szCs w:val="20"/>
              </w:rPr>
              <w:t>Negras</w:t>
            </w:r>
          </w:p>
        </w:tc>
        <w:tc>
          <w:tcPr>
            <w:tcW w:w="1191" w:type="dxa"/>
            <w:tcBorders>
              <w:top w:val="single" w:sz="8" w:space="0" w:color="000000"/>
              <w:left w:val="nil"/>
              <w:bottom w:val="single" w:sz="8" w:space="0" w:color="000000"/>
              <w:right w:val="nil"/>
            </w:tcBorders>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
                <w:bCs/>
                <w:color w:val="000000"/>
                <w:sz w:val="24"/>
                <w:szCs w:val="20"/>
              </w:rPr>
              <w:t>Pardas</w:t>
            </w:r>
          </w:p>
        </w:tc>
        <w:tc>
          <w:tcPr>
            <w:tcW w:w="1191" w:type="dxa"/>
            <w:tcBorders>
              <w:top w:val="single" w:sz="8" w:space="0" w:color="000000"/>
              <w:left w:val="nil"/>
              <w:bottom w:val="single" w:sz="8" w:space="0" w:color="000000"/>
              <w:right w:val="nil"/>
            </w:tcBorders>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
                <w:bCs/>
                <w:color w:val="000000"/>
                <w:sz w:val="24"/>
                <w:szCs w:val="20"/>
              </w:rPr>
              <w:t>Total</w:t>
            </w:r>
          </w:p>
        </w:tc>
      </w:tr>
      <w:tr w:rsidR="00C11A7A" w:rsidTr="001E09AB">
        <w:trPr>
          <w:trHeight w:val="397"/>
        </w:trPr>
        <w:tc>
          <w:tcPr>
            <w:tcW w:w="4989"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Assalariados com carteira</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43,0</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44,8</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36,6</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40,3</w:t>
            </w:r>
          </w:p>
        </w:tc>
      </w:tr>
      <w:tr w:rsidR="00C11A7A" w:rsidTr="001E09AB">
        <w:trPr>
          <w:trHeight w:val="397"/>
        </w:trPr>
        <w:tc>
          <w:tcPr>
            <w:tcW w:w="4989" w:type="dxa"/>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Militares</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0,5</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0,8</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0,4</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0,5</w:t>
            </w:r>
          </w:p>
        </w:tc>
      </w:tr>
      <w:tr w:rsidR="00C11A7A" w:rsidTr="001E09AB">
        <w:trPr>
          <w:trHeight w:val="397"/>
        </w:trPr>
        <w:tc>
          <w:tcPr>
            <w:tcW w:w="4989"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Funcionários públicos</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5,4</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4,8</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4,4</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4,9</w:t>
            </w:r>
          </w:p>
        </w:tc>
      </w:tr>
      <w:tr w:rsidR="00C11A7A" w:rsidTr="001E09AB">
        <w:trPr>
          <w:trHeight w:val="397"/>
        </w:trPr>
        <w:tc>
          <w:tcPr>
            <w:tcW w:w="4989" w:type="dxa"/>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Assalariados sem carteira</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16,4</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21,9</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23,9</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20,1</w:t>
            </w:r>
          </w:p>
        </w:tc>
      </w:tr>
      <w:tr w:rsidR="00C11A7A" w:rsidTr="001E09AB">
        <w:trPr>
          <w:trHeight w:val="397"/>
        </w:trPr>
        <w:tc>
          <w:tcPr>
            <w:tcW w:w="4989"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Empregados domésticos com carteira</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0,3</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0,3</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0,4</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0,3</w:t>
            </w:r>
          </w:p>
        </w:tc>
      </w:tr>
      <w:tr w:rsidR="00C11A7A" w:rsidTr="001E09AB">
        <w:trPr>
          <w:trHeight w:val="397"/>
        </w:trPr>
        <w:tc>
          <w:tcPr>
            <w:tcW w:w="4989" w:type="dxa"/>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Empregados domésticos sem carteira</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0,3</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0,6</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0,5</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0,4</w:t>
            </w:r>
          </w:p>
        </w:tc>
      </w:tr>
      <w:tr w:rsidR="00C11A7A" w:rsidTr="001E09AB">
        <w:trPr>
          <w:trHeight w:val="397"/>
        </w:trPr>
        <w:tc>
          <w:tcPr>
            <w:tcW w:w="4989"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Conta própria</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21,8</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20,2</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23,0</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22,2</w:t>
            </w:r>
          </w:p>
        </w:tc>
      </w:tr>
      <w:tr w:rsidR="00C11A7A" w:rsidTr="001E09AB">
        <w:trPr>
          <w:trHeight w:val="397"/>
        </w:trPr>
        <w:tc>
          <w:tcPr>
            <w:tcW w:w="4989" w:type="dxa"/>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Empregador</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7,6</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2,3</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3,5</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5,5</w:t>
            </w:r>
          </w:p>
        </w:tc>
      </w:tr>
      <w:tr w:rsidR="00C11A7A" w:rsidTr="001E09AB">
        <w:trPr>
          <w:trHeight w:val="397"/>
        </w:trPr>
        <w:tc>
          <w:tcPr>
            <w:tcW w:w="4989"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Trab. Na Produção Para Consumo Próprio</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1,5</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2,0</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2,9</w:t>
            </w:r>
          </w:p>
        </w:tc>
        <w:tc>
          <w:tcPr>
            <w:tcW w:w="1191" w:type="dxa"/>
            <w:tcBorders>
              <w:left w:val="nil"/>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2,2</w:t>
            </w:r>
          </w:p>
        </w:tc>
      </w:tr>
      <w:tr w:rsidR="00C11A7A" w:rsidTr="001E09AB">
        <w:trPr>
          <w:trHeight w:val="397"/>
        </w:trPr>
        <w:tc>
          <w:tcPr>
            <w:tcW w:w="4989" w:type="dxa"/>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Trab. Na Construção Para O Próprio Consumo</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0,1</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0,3</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0,2</w:t>
            </w:r>
          </w:p>
        </w:tc>
        <w:tc>
          <w:tcPr>
            <w:tcW w:w="1191" w:type="dxa"/>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0,2</w:t>
            </w:r>
          </w:p>
        </w:tc>
      </w:tr>
      <w:tr w:rsidR="00C11A7A" w:rsidTr="001E09AB">
        <w:trPr>
          <w:trHeight w:val="397"/>
        </w:trPr>
        <w:tc>
          <w:tcPr>
            <w:tcW w:w="4989" w:type="dxa"/>
            <w:tcBorders>
              <w:left w:val="nil"/>
              <w:bottom w:val="single" w:sz="4" w:space="0" w:color="auto"/>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Trab. Não Remunerado</w:t>
            </w:r>
          </w:p>
        </w:tc>
        <w:tc>
          <w:tcPr>
            <w:tcW w:w="1191" w:type="dxa"/>
            <w:tcBorders>
              <w:left w:val="nil"/>
              <w:bottom w:val="single" w:sz="4" w:space="0" w:color="auto"/>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3,0</w:t>
            </w:r>
          </w:p>
        </w:tc>
        <w:tc>
          <w:tcPr>
            <w:tcW w:w="1191" w:type="dxa"/>
            <w:tcBorders>
              <w:left w:val="nil"/>
              <w:bottom w:val="single" w:sz="4" w:space="0" w:color="auto"/>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1,9</w:t>
            </w:r>
          </w:p>
        </w:tc>
        <w:tc>
          <w:tcPr>
            <w:tcW w:w="1191" w:type="dxa"/>
            <w:tcBorders>
              <w:left w:val="nil"/>
              <w:bottom w:val="single" w:sz="4" w:space="0" w:color="auto"/>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4,2</w:t>
            </w:r>
          </w:p>
        </w:tc>
        <w:tc>
          <w:tcPr>
            <w:tcW w:w="1191" w:type="dxa"/>
            <w:tcBorders>
              <w:left w:val="nil"/>
              <w:bottom w:val="single" w:sz="4" w:space="0" w:color="auto"/>
              <w:right w:val="nil"/>
            </w:tcBorders>
            <w:shd w:val="clear" w:color="auto" w:fill="C0C0C0"/>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3,4</w:t>
            </w:r>
          </w:p>
        </w:tc>
      </w:tr>
      <w:tr w:rsidR="00C11A7A" w:rsidTr="001E09AB">
        <w:trPr>
          <w:trHeight w:val="397"/>
        </w:trPr>
        <w:tc>
          <w:tcPr>
            <w:tcW w:w="4989" w:type="dxa"/>
            <w:tcBorders>
              <w:top w:val="single" w:sz="4" w:space="0" w:color="auto"/>
              <w:bottom w:val="single" w:sz="8" w:space="0" w:color="000000"/>
            </w:tcBorders>
            <w:vAlign w:val="center"/>
          </w:tcPr>
          <w:p w:rsidR="00C11A7A" w:rsidRPr="00173176" w:rsidRDefault="00C11A7A" w:rsidP="001E09AB">
            <w:pPr>
              <w:autoSpaceDE w:val="0"/>
              <w:autoSpaceDN w:val="0"/>
              <w:adjustRightInd w:val="0"/>
              <w:spacing w:after="0" w:line="240" w:lineRule="auto"/>
              <w:jc w:val="center"/>
              <w:rPr>
                <w:rFonts w:ascii="Arial" w:hAnsi="Arial" w:cs="Arial"/>
                <w:b/>
                <w:bCs/>
                <w:color w:val="000000"/>
                <w:sz w:val="24"/>
                <w:szCs w:val="20"/>
              </w:rPr>
            </w:pPr>
            <w:r w:rsidRPr="00173176">
              <w:rPr>
                <w:rFonts w:ascii="Arial" w:hAnsi="Arial" w:cs="Arial"/>
                <w:bCs/>
                <w:color w:val="000000"/>
                <w:sz w:val="24"/>
                <w:szCs w:val="20"/>
              </w:rPr>
              <w:t>TOTAL</w:t>
            </w:r>
          </w:p>
        </w:tc>
        <w:tc>
          <w:tcPr>
            <w:tcW w:w="1191" w:type="dxa"/>
            <w:tcBorders>
              <w:top w:val="single" w:sz="4" w:space="0" w:color="auto"/>
              <w:bottom w:val="single" w:sz="8" w:space="0" w:color="000000"/>
            </w:tcBorders>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100,0</w:t>
            </w:r>
          </w:p>
        </w:tc>
        <w:tc>
          <w:tcPr>
            <w:tcW w:w="1191" w:type="dxa"/>
            <w:tcBorders>
              <w:top w:val="single" w:sz="4" w:space="0" w:color="auto"/>
              <w:bottom w:val="single" w:sz="8" w:space="0" w:color="000000"/>
            </w:tcBorders>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100,0</w:t>
            </w:r>
          </w:p>
        </w:tc>
        <w:tc>
          <w:tcPr>
            <w:tcW w:w="1191" w:type="dxa"/>
            <w:tcBorders>
              <w:top w:val="single" w:sz="4" w:space="0" w:color="auto"/>
              <w:bottom w:val="single" w:sz="8" w:space="0" w:color="000000"/>
            </w:tcBorders>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100,0</w:t>
            </w:r>
          </w:p>
        </w:tc>
        <w:tc>
          <w:tcPr>
            <w:tcW w:w="1191" w:type="dxa"/>
            <w:tcBorders>
              <w:top w:val="single" w:sz="4" w:space="0" w:color="auto"/>
              <w:bottom w:val="single" w:sz="8" w:space="0" w:color="000000"/>
            </w:tcBorders>
            <w:vAlign w:val="center"/>
          </w:tcPr>
          <w:p w:rsidR="00C11A7A" w:rsidRPr="00173176" w:rsidRDefault="00C11A7A" w:rsidP="001E09AB">
            <w:pPr>
              <w:autoSpaceDE w:val="0"/>
              <w:autoSpaceDN w:val="0"/>
              <w:adjustRightInd w:val="0"/>
              <w:spacing w:after="0" w:line="240" w:lineRule="auto"/>
              <w:jc w:val="center"/>
              <w:rPr>
                <w:rFonts w:ascii="Arial" w:hAnsi="Arial" w:cs="Arial"/>
                <w:color w:val="000000"/>
                <w:sz w:val="24"/>
                <w:szCs w:val="20"/>
              </w:rPr>
            </w:pPr>
            <w:r w:rsidRPr="00173176">
              <w:rPr>
                <w:rFonts w:ascii="Arial" w:hAnsi="Arial" w:cs="Arial"/>
                <w:color w:val="000000"/>
                <w:sz w:val="24"/>
                <w:szCs w:val="20"/>
              </w:rPr>
              <w:t>100,0</w:t>
            </w:r>
          </w:p>
        </w:tc>
      </w:tr>
    </w:tbl>
    <w:p w:rsidR="00C11A7A" w:rsidRDefault="00C11A7A" w:rsidP="00CE59F7">
      <w:pPr>
        <w:autoSpaceDE w:val="0"/>
        <w:autoSpaceDN w:val="0"/>
        <w:adjustRightInd w:val="0"/>
        <w:spacing w:before="240" w:after="0" w:line="360" w:lineRule="auto"/>
        <w:ind w:firstLine="851"/>
        <w:jc w:val="right"/>
        <w:rPr>
          <w:rFonts w:ascii="Arial" w:hAnsi="Arial" w:cs="Arial"/>
          <w:sz w:val="24"/>
          <w:szCs w:val="20"/>
        </w:rPr>
      </w:pPr>
      <w:r>
        <w:rPr>
          <w:rFonts w:ascii="Arial" w:hAnsi="Arial" w:cs="Arial"/>
          <w:sz w:val="24"/>
          <w:szCs w:val="24"/>
        </w:rPr>
        <w:t xml:space="preserve">Fonte: </w:t>
      </w:r>
      <w:r w:rsidRPr="001D0895">
        <w:rPr>
          <w:rFonts w:ascii="Arial" w:hAnsi="Arial" w:cs="Arial"/>
          <w:sz w:val="24"/>
          <w:szCs w:val="24"/>
        </w:rPr>
        <w:t xml:space="preserve">Dados obtidos através </w:t>
      </w:r>
      <w:r>
        <w:rPr>
          <w:rFonts w:ascii="Arial" w:hAnsi="Arial" w:cs="Arial"/>
          <w:sz w:val="24"/>
          <w:szCs w:val="24"/>
        </w:rPr>
        <w:t>da PNAD 2008</w:t>
      </w:r>
    </w:p>
    <w:p w:rsidR="00C11A7A" w:rsidRDefault="00C11A7A" w:rsidP="00F871B0">
      <w:pPr>
        <w:spacing w:before="480" w:line="360" w:lineRule="auto"/>
        <w:ind w:firstLine="851"/>
        <w:jc w:val="both"/>
        <w:rPr>
          <w:rFonts w:ascii="Arial" w:hAnsi="Arial" w:cs="Arial"/>
          <w:sz w:val="24"/>
          <w:szCs w:val="24"/>
        </w:rPr>
      </w:pPr>
      <w:r w:rsidRPr="00D95641">
        <w:rPr>
          <w:rFonts w:ascii="Arial" w:hAnsi="Arial" w:cs="Arial"/>
          <w:sz w:val="24"/>
          <w:szCs w:val="24"/>
        </w:rPr>
        <w:t xml:space="preserve">Os </w:t>
      </w:r>
      <w:r>
        <w:rPr>
          <w:rFonts w:ascii="Arial" w:hAnsi="Arial" w:cs="Arial"/>
          <w:sz w:val="24"/>
          <w:szCs w:val="24"/>
        </w:rPr>
        <w:t>dados apresentados nas tabelas 1 e 2</w:t>
      </w:r>
      <w:r w:rsidRPr="00D95641">
        <w:rPr>
          <w:rFonts w:ascii="Arial" w:hAnsi="Arial" w:cs="Arial"/>
          <w:sz w:val="24"/>
          <w:szCs w:val="24"/>
        </w:rPr>
        <w:t xml:space="preserve"> nos permitem observar que as mulheres concentram um percentual mais elevado de seu grupo em trabalhadoras não remuneradas, trabalhadoras domesticas e funcio</w:t>
      </w:r>
      <w:r>
        <w:rPr>
          <w:rFonts w:ascii="Arial" w:hAnsi="Arial" w:cs="Arial"/>
          <w:sz w:val="24"/>
          <w:szCs w:val="24"/>
        </w:rPr>
        <w:t>ná</w:t>
      </w:r>
      <w:r w:rsidRPr="00D95641">
        <w:rPr>
          <w:rFonts w:ascii="Arial" w:hAnsi="Arial" w:cs="Arial"/>
          <w:sz w:val="24"/>
          <w:szCs w:val="24"/>
        </w:rPr>
        <w:t xml:space="preserve">rias </w:t>
      </w:r>
      <w:r w:rsidRPr="00D95641">
        <w:rPr>
          <w:rFonts w:ascii="Arial" w:hAnsi="Arial" w:cs="Arial"/>
          <w:sz w:val="24"/>
          <w:szCs w:val="24"/>
        </w:rPr>
        <w:lastRenderedPageBreak/>
        <w:t xml:space="preserve">públicas do que </w:t>
      </w:r>
      <w:r>
        <w:rPr>
          <w:rFonts w:ascii="Arial" w:hAnsi="Arial" w:cs="Arial"/>
          <w:sz w:val="24"/>
          <w:szCs w:val="24"/>
        </w:rPr>
        <w:t xml:space="preserve">os </w:t>
      </w:r>
      <w:r w:rsidRPr="00D95641">
        <w:rPr>
          <w:rFonts w:ascii="Arial" w:hAnsi="Arial" w:cs="Arial"/>
          <w:sz w:val="24"/>
          <w:szCs w:val="24"/>
        </w:rPr>
        <w:t xml:space="preserve">homens, estes tem uma concentração mais elevada do que as mulheres em assalariados com e sem carteira, trabalhadores por conta própria e empregadores. </w:t>
      </w:r>
    </w:p>
    <w:p w:rsidR="00C11A7A" w:rsidRPr="00DF5D4A" w:rsidRDefault="00C11A7A" w:rsidP="00F871B0">
      <w:pPr>
        <w:spacing w:before="480" w:line="360" w:lineRule="auto"/>
        <w:ind w:firstLine="851"/>
        <w:jc w:val="both"/>
        <w:rPr>
          <w:rFonts w:ascii="Arial" w:hAnsi="Arial" w:cs="Arial"/>
          <w:color w:val="FF0000"/>
          <w:sz w:val="24"/>
          <w:szCs w:val="24"/>
        </w:rPr>
      </w:pPr>
      <w:r w:rsidRPr="001E09AB">
        <w:rPr>
          <w:rFonts w:ascii="Arial" w:hAnsi="Arial" w:cs="Arial"/>
          <w:sz w:val="24"/>
          <w:szCs w:val="24"/>
        </w:rPr>
        <w:t>Também se pode inferir que as mulheres negras concentram um percentual mais elevado de seu grupo em trabalhadoras por conta própria, trabalhadoras domesticas e assalariada</w:t>
      </w:r>
      <w:r>
        <w:rPr>
          <w:rFonts w:ascii="Arial" w:hAnsi="Arial" w:cs="Arial"/>
          <w:sz w:val="24"/>
          <w:szCs w:val="24"/>
        </w:rPr>
        <w:t>s</w:t>
      </w:r>
      <w:r w:rsidRPr="001E09AB">
        <w:rPr>
          <w:rFonts w:ascii="Arial" w:hAnsi="Arial" w:cs="Arial"/>
          <w:sz w:val="24"/>
          <w:szCs w:val="24"/>
        </w:rPr>
        <w:t xml:space="preserve"> sem carteira, já as mulheres brancas e pardas concentram-se nos grupos de assalariadas com carteira, </w:t>
      </w:r>
      <w:r>
        <w:rPr>
          <w:rFonts w:ascii="Arial" w:hAnsi="Arial" w:cs="Arial"/>
          <w:sz w:val="24"/>
          <w:szCs w:val="24"/>
        </w:rPr>
        <w:t>f</w:t>
      </w:r>
      <w:r w:rsidRPr="001E09AB">
        <w:rPr>
          <w:rFonts w:ascii="Arial" w:hAnsi="Arial" w:cs="Arial"/>
          <w:sz w:val="24"/>
          <w:szCs w:val="24"/>
        </w:rPr>
        <w:t xml:space="preserve">uncionarias </w:t>
      </w:r>
      <w:r>
        <w:rPr>
          <w:rFonts w:ascii="Arial" w:hAnsi="Arial" w:cs="Arial"/>
          <w:sz w:val="24"/>
          <w:szCs w:val="24"/>
        </w:rPr>
        <w:t>p</w:t>
      </w:r>
      <w:r w:rsidRPr="001E09AB">
        <w:rPr>
          <w:rFonts w:ascii="Arial" w:hAnsi="Arial" w:cs="Arial"/>
          <w:sz w:val="24"/>
          <w:szCs w:val="24"/>
        </w:rPr>
        <w:t xml:space="preserve">úblicas e </w:t>
      </w:r>
      <w:r>
        <w:rPr>
          <w:rFonts w:ascii="Arial" w:hAnsi="Arial" w:cs="Arial"/>
          <w:sz w:val="24"/>
          <w:szCs w:val="24"/>
        </w:rPr>
        <w:t xml:space="preserve">trabalhadoras por </w:t>
      </w:r>
      <w:r w:rsidRPr="001E09AB">
        <w:rPr>
          <w:rFonts w:ascii="Arial" w:hAnsi="Arial" w:cs="Arial"/>
          <w:sz w:val="24"/>
          <w:szCs w:val="24"/>
        </w:rPr>
        <w:t>conta própria. Observa-se um forte contingente de mulheres negras e pardas no serviço domestico, esta é uma categoria ocupacional com forte presença feminina e majoritariamente negra, marcada pelos baixos rendimentos,</w:t>
      </w:r>
      <w:r>
        <w:rPr>
          <w:rFonts w:ascii="Arial" w:hAnsi="Arial" w:cs="Arial"/>
          <w:sz w:val="24"/>
          <w:szCs w:val="24"/>
        </w:rPr>
        <w:t xml:space="preserve"> </w:t>
      </w:r>
      <w:r w:rsidRPr="001E09AB">
        <w:rPr>
          <w:rFonts w:ascii="Arial" w:hAnsi="Arial" w:cs="Arial"/>
          <w:sz w:val="24"/>
          <w:szCs w:val="24"/>
        </w:rPr>
        <w:t>o elevado nível de informalidade</w:t>
      </w:r>
      <w:r>
        <w:rPr>
          <w:rFonts w:ascii="Arial" w:hAnsi="Arial" w:cs="Arial"/>
          <w:sz w:val="24"/>
          <w:szCs w:val="24"/>
        </w:rPr>
        <w:t xml:space="preserve"> </w:t>
      </w:r>
      <w:r w:rsidRPr="001E09AB">
        <w:rPr>
          <w:rFonts w:ascii="Arial" w:hAnsi="Arial" w:cs="Arial"/>
          <w:sz w:val="24"/>
          <w:szCs w:val="24"/>
        </w:rPr>
        <w:t xml:space="preserve">e pela ausência de escolaridade, </w:t>
      </w:r>
      <w:r w:rsidRPr="00BE301D">
        <w:rPr>
          <w:rFonts w:ascii="Arial" w:hAnsi="Arial" w:cs="Arial"/>
          <w:sz w:val="24"/>
          <w:szCs w:val="24"/>
        </w:rPr>
        <w:t>muitas vezes de origem regional.</w:t>
      </w:r>
      <w:r>
        <w:rPr>
          <w:rFonts w:ascii="Arial" w:hAnsi="Arial" w:cs="Arial"/>
          <w:sz w:val="24"/>
          <w:szCs w:val="24"/>
        </w:rPr>
        <w:t xml:space="preserve"> </w:t>
      </w:r>
    </w:p>
    <w:p w:rsidR="00C11A7A" w:rsidRDefault="00C11A7A" w:rsidP="00692AD4">
      <w:pPr>
        <w:autoSpaceDE w:val="0"/>
        <w:autoSpaceDN w:val="0"/>
        <w:adjustRightInd w:val="0"/>
        <w:spacing w:after="0" w:line="240" w:lineRule="auto"/>
        <w:rPr>
          <w:rFonts w:ascii="Arial" w:hAnsi="Arial" w:cs="Arial"/>
          <w:color w:val="FF6600"/>
          <w:sz w:val="24"/>
          <w:szCs w:val="24"/>
        </w:rPr>
      </w:pPr>
    </w:p>
    <w:p w:rsidR="00C11A7A" w:rsidRDefault="00C11A7A" w:rsidP="00CE59F7">
      <w:pPr>
        <w:autoSpaceDE w:val="0"/>
        <w:autoSpaceDN w:val="0"/>
        <w:adjustRightInd w:val="0"/>
        <w:spacing w:before="240" w:after="0"/>
        <w:ind w:firstLine="851"/>
        <w:jc w:val="center"/>
        <w:rPr>
          <w:rFonts w:ascii="Arial" w:hAnsi="Arial" w:cs="Arial"/>
          <w:sz w:val="24"/>
          <w:szCs w:val="20"/>
        </w:rPr>
      </w:pPr>
      <w:r>
        <w:rPr>
          <w:rFonts w:ascii="Arial" w:hAnsi="Arial" w:cs="Arial"/>
          <w:sz w:val="24"/>
          <w:szCs w:val="20"/>
        </w:rPr>
        <w:t>Tabela 3</w:t>
      </w:r>
    </w:p>
    <w:p w:rsidR="00C11A7A" w:rsidRDefault="00C11A7A" w:rsidP="00CE59F7">
      <w:pPr>
        <w:autoSpaceDE w:val="0"/>
        <w:autoSpaceDN w:val="0"/>
        <w:adjustRightInd w:val="0"/>
        <w:spacing w:before="240" w:after="0" w:line="360" w:lineRule="auto"/>
        <w:ind w:firstLine="851"/>
        <w:jc w:val="center"/>
        <w:rPr>
          <w:rFonts w:ascii="Arial" w:hAnsi="Arial" w:cs="Arial"/>
          <w:sz w:val="24"/>
          <w:szCs w:val="20"/>
        </w:rPr>
      </w:pPr>
      <w:r>
        <w:rPr>
          <w:rFonts w:ascii="Arial" w:hAnsi="Arial" w:cs="Arial"/>
          <w:sz w:val="24"/>
          <w:szCs w:val="20"/>
        </w:rPr>
        <w:t>Renda Media em Reais do Trabalho Principal Por Sexo, Segundo Grupo De Raça, Brasil – 2008</w:t>
      </w:r>
    </w:p>
    <w:tbl>
      <w:tblPr>
        <w:tblW w:w="0" w:type="auto"/>
        <w:tblInd w:w="847" w:type="dxa"/>
        <w:tblBorders>
          <w:top w:val="single" w:sz="8" w:space="0" w:color="000000"/>
          <w:bottom w:val="single" w:sz="8" w:space="0" w:color="000000"/>
        </w:tblBorders>
        <w:tblLook w:val="00A0" w:firstRow="1" w:lastRow="0" w:firstColumn="1" w:lastColumn="0" w:noHBand="0" w:noVBand="0"/>
      </w:tblPr>
      <w:tblGrid>
        <w:gridCol w:w="1361"/>
        <w:gridCol w:w="1361"/>
        <w:gridCol w:w="1361"/>
        <w:gridCol w:w="1361"/>
        <w:gridCol w:w="1361"/>
      </w:tblGrid>
      <w:tr w:rsidR="00C11A7A" w:rsidTr="00312BDD">
        <w:trPr>
          <w:trHeight w:val="397"/>
        </w:trPr>
        <w:tc>
          <w:tcPr>
            <w:tcW w:w="1361" w:type="dxa"/>
            <w:tcBorders>
              <w:top w:val="single" w:sz="8" w:space="0" w:color="000000"/>
              <w:left w:val="nil"/>
              <w:bottom w:val="single" w:sz="8" w:space="0" w:color="000000"/>
              <w:right w:val="nil"/>
            </w:tcBorders>
            <w:vAlign w:val="center"/>
          </w:tcPr>
          <w:p w:rsidR="00C11A7A" w:rsidRPr="00173176" w:rsidRDefault="00C11A7A" w:rsidP="00312BDD">
            <w:pPr>
              <w:autoSpaceDE w:val="0"/>
              <w:autoSpaceDN w:val="0"/>
              <w:adjustRightInd w:val="0"/>
              <w:spacing w:before="240" w:after="0" w:line="360" w:lineRule="auto"/>
              <w:jc w:val="center"/>
              <w:rPr>
                <w:rFonts w:ascii="Arial" w:hAnsi="Arial" w:cs="Arial"/>
                <w:b/>
                <w:bCs/>
                <w:color w:val="000000"/>
                <w:sz w:val="24"/>
                <w:szCs w:val="20"/>
              </w:rPr>
            </w:pPr>
          </w:p>
        </w:tc>
        <w:tc>
          <w:tcPr>
            <w:tcW w:w="1361" w:type="dxa"/>
            <w:tcBorders>
              <w:top w:val="single" w:sz="8" w:space="0" w:color="000000"/>
              <w:left w:val="nil"/>
              <w:bottom w:val="single" w:sz="8" w:space="0" w:color="000000"/>
              <w:right w:val="nil"/>
            </w:tcBorders>
            <w:vAlign w:val="center"/>
          </w:tcPr>
          <w:p w:rsidR="00C11A7A" w:rsidRPr="00173176" w:rsidRDefault="00C11A7A" w:rsidP="00312BDD">
            <w:pPr>
              <w:autoSpaceDE w:val="0"/>
              <w:autoSpaceDN w:val="0"/>
              <w:adjustRightInd w:val="0"/>
              <w:spacing w:before="240" w:after="0" w:line="360" w:lineRule="auto"/>
              <w:jc w:val="center"/>
              <w:rPr>
                <w:rFonts w:ascii="Arial" w:hAnsi="Arial" w:cs="Arial"/>
                <w:b/>
                <w:bCs/>
                <w:color w:val="000000"/>
                <w:sz w:val="24"/>
                <w:szCs w:val="20"/>
              </w:rPr>
            </w:pPr>
            <w:r w:rsidRPr="00173176">
              <w:rPr>
                <w:rFonts w:ascii="Arial" w:hAnsi="Arial" w:cs="Arial"/>
                <w:b/>
                <w:bCs/>
                <w:color w:val="000000"/>
                <w:sz w:val="24"/>
                <w:szCs w:val="20"/>
              </w:rPr>
              <w:t>Brancos</w:t>
            </w:r>
          </w:p>
        </w:tc>
        <w:tc>
          <w:tcPr>
            <w:tcW w:w="1361" w:type="dxa"/>
            <w:tcBorders>
              <w:top w:val="single" w:sz="8" w:space="0" w:color="000000"/>
              <w:left w:val="nil"/>
              <w:bottom w:val="single" w:sz="8" w:space="0" w:color="000000"/>
              <w:right w:val="nil"/>
            </w:tcBorders>
            <w:vAlign w:val="center"/>
          </w:tcPr>
          <w:p w:rsidR="00C11A7A" w:rsidRPr="00173176" w:rsidRDefault="00C11A7A" w:rsidP="00312BDD">
            <w:pPr>
              <w:autoSpaceDE w:val="0"/>
              <w:autoSpaceDN w:val="0"/>
              <w:adjustRightInd w:val="0"/>
              <w:spacing w:before="240" w:after="0" w:line="360" w:lineRule="auto"/>
              <w:jc w:val="center"/>
              <w:rPr>
                <w:rFonts w:ascii="Arial" w:hAnsi="Arial" w:cs="Arial"/>
                <w:b/>
                <w:bCs/>
                <w:color w:val="000000"/>
                <w:sz w:val="24"/>
                <w:szCs w:val="20"/>
              </w:rPr>
            </w:pPr>
            <w:r w:rsidRPr="00173176">
              <w:rPr>
                <w:rFonts w:ascii="Arial" w:hAnsi="Arial" w:cs="Arial"/>
                <w:b/>
                <w:bCs/>
                <w:color w:val="000000"/>
                <w:sz w:val="24"/>
                <w:szCs w:val="20"/>
              </w:rPr>
              <w:t>Negros</w:t>
            </w:r>
          </w:p>
        </w:tc>
        <w:tc>
          <w:tcPr>
            <w:tcW w:w="1361" w:type="dxa"/>
            <w:tcBorders>
              <w:top w:val="single" w:sz="8" w:space="0" w:color="000000"/>
              <w:left w:val="nil"/>
              <w:bottom w:val="single" w:sz="8" w:space="0" w:color="000000"/>
              <w:right w:val="nil"/>
            </w:tcBorders>
            <w:vAlign w:val="center"/>
          </w:tcPr>
          <w:p w:rsidR="00C11A7A" w:rsidRPr="00173176" w:rsidRDefault="00C11A7A" w:rsidP="00312BDD">
            <w:pPr>
              <w:autoSpaceDE w:val="0"/>
              <w:autoSpaceDN w:val="0"/>
              <w:adjustRightInd w:val="0"/>
              <w:spacing w:before="240" w:after="0" w:line="360" w:lineRule="auto"/>
              <w:jc w:val="center"/>
              <w:rPr>
                <w:rFonts w:ascii="Arial" w:hAnsi="Arial" w:cs="Arial"/>
                <w:b/>
                <w:bCs/>
                <w:color w:val="000000"/>
                <w:sz w:val="24"/>
                <w:szCs w:val="20"/>
              </w:rPr>
            </w:pPr>
            <w:r w:rsidRPr="00173176">
              <w:rPr>
                <w:rFonts w:ascii="Arial" w:hAnsi="Arial" w:cs="Arial"/>
                <w:b/>
                <w:bCs/>
                <w:color w:val="000000"/>
                <w:sz w:val="24"/>
                <w:szCs w:val="20"/>
              </w:rPr>
              <w:t>Pardos</w:t>
            </w:r>
          </w:p>
        </w:tc>
        <w:tc>
          <w:tcPr>
            <w:tcW w:w="1361" w:type="dxa"/>
            <w:tcBorders>
              <w:top w:val="single" w:sz="8" w:space="0" w:color="000000"/>
              <w:left w:val="nil"/>
              <w:bottom w:val="single" w:sz="8" w:space="0" w:color="000000"/>
              <w:right w:val="nil"/>
            </w:tcBorders>
            <w:vAlign w:val="center"/>
          </w:tcPr>
          <w:p w:rsidR="00C11A7A" w:rsidRPr="00173176" w:rsidRDefault="00C11A7A" w:rsidP="00312BDD">
            <w:pPr>
              <w:autoSpaceDE w:val="0"/>
              <w:autoSpaceDN w:val="0"/>
              <w:adjustRightInd w:val="0"/>
              <w:spacing w:before="240" w:after="0" w:line="360" w:lineRule="auto"/>
              <w:jc w:val="center"/>
              <w:rPr>
                <w:rFonts w:ascii="Arial" w:hAnsi="Arial" w:cs="Arial"/>
                <w:b/>
                <w:bCs/>
                <w:color w:val="000000"/>
                <w:sz w:val="24"/>
                <w:szCs w:val="20"/>
              </w:rPr>
            </w:pPr>
            <w:r w:rsidRPr="00173176">
              <w:rPr>
                <w:rFonts w:ascii="Arial" w:hAnsi="Arial" w:cs="Arial"/>
                <w:b/>
                <w:bCs/>
                <w:color w:val="000000"/>
                <w:sz w:val="24"/>
                <w:szCs w:val="20"/>
              </w:rPr>
              <w:t>Total</w:t>
            </w:r>
          </w:p>
        </w:tc>
      </w:tr>
      <w:tr w:rsidR="00C11A7A" w:rsidTr="00312BDD">
        <w:trPr>
          <w:trHeight w:val="397"/>
        </w:trPr>
        <w:tc>
          <w:tcPr>
            <w:tcW w:w="1361" w:type="dxa"/>
            <w:tcBorders>
              <w:left w:val="nil"/>
              <w:right w:val="nil"/>
            </w:tcBorders>
            <w:shd w:val="clear" w:color="auto" w:fill="C0C0C0"/>
            <w:vAlign w:val="center"/>
          </w:tcPr>
          <w:p w:rsidR="00C11A7A" w:rsidRPr="00173176" w:rsidRDefault="00C11A7A" w:rsidP="00312BDD">
            <w:pPr>
              <w:autoSpaceDE w:val="0"/>
              <w:autoSpaceDN w:val="0"/>
              <w:adjustRightInd w:val="0"/>
              <w:spacing w:before="240" w:after="0" w:line="360" w:lineRule="auto"/>
              <w:jc w:val="center"/>
              <w:rPr>
                <w:rFonts w:ascii="Arial" w:hAnsi="Arial" w:cs="Arial"/>
                <w:b/>
                <w:bCs/>
                <w:color w:val="000000"/>
                <w:sz w:val="24"/>
                <w:szCs w:val="20"/>
              </w:rPr>
            </w:pPr>
            <w:r w:rsidRPr="00173176">
              <w:rPr>
                <w:rFonts w:ascii="Arial" w:hAnsi="Arial" w:cs="Arial"/>
                <w:b/>
                <w:bCs/>
                <w:color w:val="000000"/>
                <w:sz w:val="24"/>
                <w:szCs w:val="20"/>
              </w:rPr>
              <w:t>Homens</w:t>
            </w:r>
          </w:p>
        </w:tc>
        <w:tc>
          <w:tcPr>
            <w:tcW w:w="1361" w:type="dxa"/>
            <w:tcBorders>
              <w:left w:val="nil"/>
              <w:right w:val="nil"/>
            </w:tcBorders>
            <w:shd w:val="clear" w:color="auto" w:fill="C0C0C0"/>
            <w:vAlign w:val="center"/>
          </w:tcPr>
          <w:p w:rsidR="00C11A7A" w:rsidRPr="00173176" w:rsidRDefault="00C11A7A" w:rsidP="00312BDD">
            <w:pPr>
              <w:autoSpaceDE w:val="0"/>
              <w:autoSpaceDN w:val="0"/>
              <w:adjustRightInd w:val="0"/>
              <w:spacing w:before="240" w:after="0" w:line="360" w:lineRule="auto"/>
              <w:jc w:val="center"/>
              <w:rPr>
                <w:rFonts w:ascii="Arial" w:hAnsi="Arial" w:cs="Arial"/>
                <w:color w:val="000000"/>
                <w:sz w:val="24"/>
                <w:szCs w:val="20"/>
              </w:rPr>
            </w:pPr>
            <w:r w:rsidRPr="00173176">
              <w:rPr>
                <w:rFonts w:ascii="Arial" w:hAnsi="Arial" w:cs="Arial"/>
                <w:color w:val="000000"/>
                <w:sz w:val="24"/>
                <w:szCs w:val="20"/>
              </w:rPr>
              <w:t>1394,5</w:t>
            </w:r>
          </w:p>
        </w:tc>
        <w:tc>
          <w:tcPr>
            <w:tcW w:w="1361" w:type="dxa"/>
            <w:tcBorders>
              <w:left w:val="nil"/>
              <w:right w:val="nil"/>
            </w:tcBorders>
            <w:shd w:val="clear" w:color="auto" w:fill="C0C0C0"/>
            <w:vAlign w:val="center"/>
          </w:tcPr>
          <w:p w:rsidR="00C11A7A" w:rsidRPr="00173176" w:rsidRDefault="00C11A7A" w:rsidP="00312BDD">
            <w:pPr>
              <w:autoSpaceDE w:val="0"/>
              <w:autoSpaceDN w:val="0"/>
              <w:adjustRightInd w:val="0"/>
              <w:spacing w:before="240" w:after="0" w:line="360" w:lineRule="auto"/>
              <w:jc w:val="center"/>
              <w:rPr>
                <w:rFonts w:ascii="Arial" w:hAnsi="Arial" w:cs="Arial"/>
                <w:color w:val="000000"/>
                <w:sz w:val="24"/>
                <w:szCs w:val="20"/>
              </w:rPr>
            </w:pPr>
            <w:r w:rsidRPr="00173176">
              <w:rPr>
                <w:rFonts w:ascii="Arial" w:hAnsi="Arial" w:cs="Arial"/>
                <w:color w:val="000000"/>
                <w:sz w:val="24"/>
                <w:szCs w:val="20"/>
              </w:rPr>
              <w:t>819,7</w:t>
            </w:r>
          </w:p>
        </w:tc>
        <w:tc>
          <w:tcPr>
            <w:tcW w:w="1361" w:type="dxa"/>
            <w:tcBorders>
              <w:left w:val="nil"/>
              <w:right w:val="nil"/>
            </w:tcBorders>
            <w:shd w:val="clear" w:color="auto" w:fill="C0C0C0"/>
            <w:vAlign w:val="center"/>
          </w:tcPr>
          <w:p w:rsidR="00C11A7A" w:rsidRPr="00173176" w:rsidRDefault="00C11A7A" w:rsidP="00312BDD">
            <w:pPr>
              <w:autoSpaceDE w:val="0"/>
              <w:autoSpaceDN w:val="0"/>
              <w:adjustRightInd w:val="0"/>
              <w:spacing w:before="240" w:after="0" w:line="360" w:lineRule="auto"/>
              <w:jc w:val="center"/>
              <w:rPr>
                <w:rFonts w:ascii="Arial" w:hAnsi="Arial" w:cs="Arial"/>
                <w:color w:val="000000"/>
                <w:sz w:val="24"/>
                <w:szCs w:val="20"/>
              </w:rPr>
            </w:pPr>
            <w:r w:rsidRPr="00173176">
              <w:rPr>
                <w:rFonts w:ascii="Arial" w:hAnsi="Arial" w:cs="Arial"/>
                <w:color w:val="000000"/>
                <w:sz w:val="24"/>
                <w:szCs w:val="20"/>
              </w:rPr>
              <w:t>742,9</w:t>
            </w:r>
          </w:p>
        </w:tc>
        <w:tc>
          <w:tcPr>
            <w:tcW w:w="1361" w:type="dxa"/>
            <w:tcBorders>
              <w:left w:val="nil"/>
              <w:right w:val="nil"/>
            </w:tcBorders>
            <w:shd w:val="clear" w:color="auto" w:fill="C0C0C0"/>
            <w:vAlign w:val="center"/>
          </w:tcPr>
          <w:p w:rsidR="00C11A7A" w:rsidRPr="00173176" w:rsidRDefault="00C11A7A" w:rsidP="00312BDD">
            <w:pPr>
              <w:autoSpaceDE w:val="0"/>
              <w:autoSpaceDN w:val="0"/>
              <w:adjustRightInd w:val="0"/>
              <w:spacing w:before="240" w:after="0" w:line="360" w:lineRule="auto"/>
              <w:jc w:val="center"/>
              <w:rPr>
                <w:rFonts w:ascii="Arial" w:hAnsi="Arial" w:cs="Arial"/>
                <w:color w:val="000000"/>
                <w:sz w:val="24"/>
                <w:szCs w:val="20"/>
              </w:rPr>
            </w:pPr>
            <w:r w:rsidRPr="00173176">
              <w:rPr>
                <w:rFonts w:ascii="Arial" w:hAnsi="Arial" w:cs="Arial"/>
                <w:color w:val="000000"/>
                <w:sz w:val="24"/>
                <w:szCs w:val="20"/>
              </w:rPr>
              <w:t>1065,5</w:t>
            </w:r>
          </w:p>
        </w:tc>
      </w:tr>
      <w:tr w:rsidR="00C11A7A" w:rsidTr="00312BDD">
        <w:trPr>
          <w:trHeight w:val="397"/>
        </w:trPr>
        <w:tc>
          <w:tcPr>
            <w:tcW w:w="1361" w:type="dxa"/>
            <w:tcBorders>
              <w:bottom w:val="single" w:sz="8" w:space="0" w:color="000000"/>
            </w:tcBorders>
            <w:vAlign w:val="center"/>
          </w:tcPr>
          <w:p w:rsidR="00C11A7A" w:rsidRPr="00173176" w:rsidRDefault="00C11A7A" w:rsidP="00312BDD">
            <w:pPr>
              <w:autoSpaceDE w:val="0"/>
              <w:autoSpaceDN w:val="0"/>
              <w:adjustRightInd w:val="0"/>
              <w:spacing w:before="240" w:after="0" w:line="360" w:lineRule="auto"/>
              <w:jc w:val="center"/>
              <w:rPr>
                <w:rFonts w:ascii="Arial" w:hAnsi="Arial" w:cs="Arial"/>
                <w:b/>
                <w:bCs/>
                <w:color w:val="000000"/>
                <w:sz w:val="24"/>
                <w:szCs w:val="20"/>
              </w:rPr>
            </w:pPr>
            <w:r w:rsidRPr="00173176">
              <w:rPr>
                <w:rFonts w:ascii="Arial" w:hAnsi="Arial" w:cs="Arial"/>
                <w:b/>
                <w:bCs/>
                <w:color w:val="000000"/>
                <w:sz w:val="24"/>
                <w:szCs w:val="20"/>
              </w:rPr>
              <w:t>Mulheres</w:t>
            </w:r>
          </w:p>
        </w:tc>
        <w:tc>
          <w:tcPr>
            <w:tcW w:w="1361" w:type="dxa"/>
            <w:tcBorders>
              <w:bottom w:val="single" w:sz="8" w:space="0" w:color="000000"/>
            </w:tcBorders>
            <w:vAlign w:val="center"/>
          </w:tcPr>
          <w:p w:rsidR="00C11A7A" w:rsidRPr="00173176" w:rsidRDefault="00C11A7A" w:rsidP="00312BDD">
            <w:pPr>
              <w:autoSpaceDE w:val="0"/>
              <w:autoSpaceDN w:val="0"/>
              <w:adjustRightInd w:val="0"/>
              <w:spacing w:before="240" w:after="0" w:line="360" w:lineRule="auto"/>
              <w:jc w:val="center"/>
              <w:rPr>
                <w:rFonts w:ascii="Arial" w:hAnsi="Arial" w:cs="Arial"/>
                <w:color w:val="000000"/>
                <w:sz w:val="24"/>
                <w:szCs w:val="20"/>
              </w:rPr>
            </w:pPr>
            <w:r w:rsidRPr="00173176">
              <w:rPr>
                <w:rFonts w:ascii="Arial" w:hAnsi="Arial" w:cs="Arial"/>
                <w:color w:val="000000"/>
                <w:sz w:val="24"/>
                <w:szCs w:val="20"/>
              </w:rPr>
              <w:t>896,5</w:t>
            </w:r>
          </w:p>
        </w:tc>
        <w:tc>
          <w:tcPr>
            <w:tcW w:w="1361" w:type="dxa"/>
            <w:tcBorders>
              <w:bottom w:val="single" w:sz="8" w:space="0" w:color="000000"/>
            </w:tcBorders>
            <w:vAlign w:val="center"/>
          </w:tcPr>
          <w:p w:rsidR="00C11A7A" w:rsidRPr="00173176" w:rsidRDefault="00C11A7A" w:rsidP="00312BDD">
            <w:pPr>
              <w:autoSpaceDE w:val="0"/>
              <w:autoSpaceDN w:val="0"/>
              <w:adjustRightInd w:val="0"/>
              <w:spacing w:before="240" w:after="0" w:line="360" w:lineRule="auto"/>
              <w:jc w:val="center"/>
              <w:rPr>
                <w:rFonts w:ascii="Arial" w:hAnsi="Arial" w:cs="Arial"/>
                <w:color w:val="000000"/>
                <w:sz w:val="24"/>
                <w:szCs w:val="20"/>
              </w:rPr>
            </w:pPr>
            <w:r w:rsidRPr="00173176">
              <w:rPr>
                <w:rFonts w:ascii="Arial" w:hAnsi="Arial" w:cs="Arial"/>
                <w:color w:val="000000"/>
                <w:sz w:val="24"/>
                <w:szCs w:val="20"/>
              </w:rPr>
              <w:t>529,3</w:t>
            </w:r>
          </w:p>
        </w:tc>
        <w:tc>
          <w:tcPr>
            <w:tcW w:w="1361" w:type="dxa"/>
            <w:tcBorders>
              <w:bottom w:val="single" w:sz="8" w:space="0" w:color="000000"/>
            </w:tcBorders>
            <w:vAlign w:val="center"/>
          </w:tcPr>
          <w:p w:rsidR="00C11A7A" w:rsidRPr="00173176" w:rsidRDefault="00C11A7A" w:rsidP="00312BDD">
            <w:pPr>
              <w:autoSpaceDE w:val="0"/>
              <w:autoSpaceDN w:val="0"/>
              <w:adjustRightInd w:val="0"/>
              <w:spacing w:before="240" w:after="0" w:line="360" w:lineRule="auto"/>
              <w:jc w:val="center"/>
              <w:rPr>
                <w:rFonts w:ascii="Arial" w:hAnsi="Arial" w:cs="Arial"/>
                <w:color w:val="000000"/>
                <w:sz w:val="24"/>
                <w:szCs w:val="20"/>
              </w:rPr>
            </w:pPr>
            <w:r w:rsidRPr="00173176">
              <w:rPr>
                <w:rFonts w:ascii="Arial" w:hAnsi="Arial" w:cs="Arial"/>
                <w:color w:val="000000"/>
                <w:sz w:val="24"/>
                <w:szCs w:val="20"/>
              </w:rPr>
              <w:t>501,2</w:t>
            </w:r>
          </w:p>
        </w:tc>
        <w:tc>
          <w:tcPr>
            <w:tcW w:w="1361" w:type="dxa"/>
            <w:tcBorders>
              <w:bottom w:val="single" w:sz="8" w:space="0" w:color="000000"/>
            </w:tcBorders>
            <w:vAlign w:val="center"/>
          </w:tcPr>
          <w:p w:rsidR="00C11A7A" w:rsidRPr="00173176" w:rsidRDefault="00C11A7A" w:rsidP="00312BDD">
            <w:pPr>
              <w:autoSpaceDE w:val="0"/>
              <w:autoSpaceDN w:val="0"/>
              <w:adjustRightInd w:val="0"/>
              <w:spacing w:before="240" w:after="0" w:line="360" w:lineRule="auto"/>
              <w:jc w:val="center"/>
              <w:rPr>
                <w:rFonts w:ascii="Arial" w:hAnsi="Arial" w:cs="Arial"/>
                <w:color w:val="000000"/>
                <w:sz w:val="24"/>
                <w:szCs w:val="20"/>
              </w:rPr>
            </w:pPr>
            <w:r w:rsidRPr="00173176">
              <w:rPr>
                <w:rFonts w:ascii="Arial" w:hAnsi="Arial" w:cs="Arial"/>
                <w:color w:val="000000"/>
                <w:sz w:val="24"/>
                <w:szCs w:val="20"/>
              </w:rPr>
              <w:t>707,9</w:t>
            </w:r>
          </w:p>
        </w:tc>
      </w:tr>
    </w:tbl>
    <w:p w:rsidR="00C11A7A" w:rsidRDefault="00C11A7A" w:rsidP="00CE59F7">
      <w:pPr>
        <w:autoSpaceDE w:val="0"/>
        <w:autoSpaceDN w:val="0"/>
        <w:adjustRightInd w:val="0"/>
        <w:spacing w:before="240" w:after="0" w:line="360" w:lineRule="auto"/>
        <w:ind w:firstLine="851"/>
        <w:jc w:val="center"/>
        <w:rPr>
          <w:rFonts w:ascii="Arial" w:hAnsi="Arial" w:cs="Arial"/>
          <w:sz w:val="24"/>
          <w:szCs w:val="20"/>
        </w:rPr>
      </w:pPr>
      <w:r>
        <w:rPr>
          <w:rFonts w:ascii="Arial" w:hAnsi="Arial" w:cs="Arial"/>
          <w:sz w:val="24"/>
          <w:szCs w:val="24"/>
        </w:rPr>
        <w:t xml:space="preserve">Fonte: </w:t>
      </w:r>
      <w:r w:rsidRPr="001D0895">
        <w:rPr>
          <w:rFonts w:ascii="Arial" w:hAnsi="Arial" w:cs="Arial"/>
          <w:sz w:val="24"/>
          <w:szCs w:val="24"/>
        </w:rPr>
        <w:t xml:space="preserve">Dados obtidos através </w:t>
      </w:r>
      <w:r>
        <w:rPr>
          <w:rFonts w:ascii="Arial" w:hAnsi="Arial" w:cs="Arial"/>
          <w:sz w:val="24"/>
          <w:szCs w:val="24"/>
        </w:rPr>
        <w:t>da PNAD 2008</w:t>
      </w:r>
    </w:p>
    <w:p w:rsidR="00C11A7A" w:rsidRDefault="00C11A7A" w:rsidP="00692AD4">
      <w:pPr>
        <w:autoSpaceDE w:val="0"/>
        <w:autoSpaceDN w:val="0"/>
        <w:adjustRightInd w:val="0"/>
        <w:spacing w:after="0" w:line="360" w:lineRule="auto"/>
        <w:jc w:val="both"/>
        <w:rPr>
          <w:rFonts w:ascii="Arial" w:hAnsi="Arial" w:cs="Arial"/>
          <w:sz w:val="24"/>
          <w:szCs w:val="24"/>
          <w:lang w:eastAsia="pt-BR"/>
        </w:rPr>
      </w:pPr>
    </w:p>
    <w:p w:rsidR="00C11A7A" w:rsidRDefault="00C11A7A" w:rsidP="00692AD4">
      <w:pPr>
        <w:autoSpaceDE w:val="0"/>
        <w:autoSpaceDN w:val="0"/>
        <w:adjustRightInd w:val="0"/>
        <w:spacing w:after="0" w:line="360" w:lineRule="auto"/>
        <w:jc w:val="both"/>
        <w:rPr>
          <w:rFonts w:ascii="Arial" w:hAnsi="Arial" w:cs="Arial"/>
          <w:sz w:val="24"/>
          <w:szCs w:val="24"/>
          <w:lang w:eastAsia="pt-BR"/>
        </w:rPr>
      </w:pPr>
    </w:p>
    <w:p w:rsidR="00C11A7A" w:rsidRDefault="00C11A7A" w:rsidP="001E09AB">
      <w:pPr>
        <w:autoSpaceDE w:val="0"/>
        <w:autoSpaceDN w:val="0"/>
        <w:adjustRightInd w:val="0"/>
        <w:spacing w:after="0" w:line="360" w:lineRule="auto"/>
        <w:ind w:firstLine="851"/>
        <w:jc w:val="both"/>
        <w:rPr>
          <w:rFonts w:ascii="Arial" w:hAnsi="Arial" w:cs="Arial"/>
          <w:sz w:val="24"/>
          <w:szCs w:val="24"/>
        </w:rPr>
      </w:pPr>
      <w:r w:rsidRPr="00692AD4">
        <w:rPr>
          <w:rFonts w:ascii="Arial" w:hAnsi="Arial" w:cs="Arial"/>
          <w:sz w:val="24"/>
          <w:szCs w:val="24"/>
          <w:lang w:eastAsia="pt-BR"/>
        </w:rPr>
        <w:t xml:space="preserve">O mercado de trabalho tem apresentado um elemento praticamente constante: </w:t>
      </w:r>
      <w:r>
        <w:rPr>
          <w:rFonts w:ascii="Arial" w:hAnsi="Arial" w:cs="Arial"/>
          <w:sz w:val="24"/>
          <w:szCs w:val="24"/>
          <w:lang w:eastAsia="pt-BR"/>
        </w:rPr>
        <w:t>a permanência da</w:t>
      </w:r>
      <w:r w:rsidRPr="00692AD4">
        <w:rPr>
          <w:rFonts w:ascii="Arial" w:hAnsi="Arial" w:cs="Arial"/>
          <w:sz w:val="24"/>
          <w:szCs w:val="24"/>
          <w:lang w:eastAsia="pt-BR"/>
        </w:rPr>
        <w:t xml:space="preserve"> desigualdade de gênero no que se refere aos rendimentos. Qualquer que seja a ocupação, as mulheres recebem menores salários do que os homens</w:t>
      </w:r>
      <w:r>
        <w:rPr>
          <w:rFonts w:ascii="Arial" w:hAnsi="Arial" w:cs="Arial"/>
          <w:sz w:val="24"/>
          <w:szCs w:val="24"/>
          <w:lang w:eastAsia="pt-BR"/>
        </w:rPr>
        <w:t>,</w:t>
      </w:r>
      <w:r w:rsidRPr="00692AD4">
        <w:rPr>
          <w:rFonts w:ascii="Arial" w:hAnsi="Arial" w:cs="Arial"/>
          <w:sz w:val="24"/>
          <w:szCs w:val="24"/>
          <w:lang w:eastAsia="pt-BR"/>
        </w:rPr>
        <w:t xml:space="preserve"> sendo que os rendimentos femininos são aproximadamente 70% dos salários masculinos, conforme </w:t>
      </w:r>
      <w:r>
        <w:rPr>
          <w:rFonts w:ascii="Arial" w:hAnsi="Arial" w:cs="Arial"/>
          <w:sz w:val="24"/>
          <w:szCs w:val="24"/>
          <w:lang w:eastAsia="pt-BR"/>
        </w:rPr>
        <w:t>é possível ver n</w:t>
      </w:r>
      <w:r w:rsidRPr="00692AD4">
        <w:rPr>
          <w:rFonts w:ascii="Arial" w:hAnsi="Arial" w:cs="Arial"/>
          <w:sz w:val="24"/>
          <w:szCs w:val="24"/>
          <w:lang w:eastAsia="pt-BR"/>
        </w:rPr>
        <w:t xml:space="preserve">a tabela 3. Assim, a “feminização” de uma atividade profissional pode vir </w:t>
      </w:r>
      <w:r w:rsidRPr="00692AD4">
        <w:rPr>
          <w:rFonts w:ascii="Arial" w:hAnsi="Arial" w:cs="Arial"/>
          <w:sz w:val="24"/>
          <w:szCs w:val="24"/>
          <w:lang w:eastAsia="pt-BR"/>
        </w:rPr>
        <w:lastRenderedPageBreak/>
        <w:t xml:space="preserve">acompanhada por um processo de rebaixamento salarial e de desvalorização da atividade. </w:t>
      </w:r>
      <w:r>
        <w:rPr>
          <w:rFonts w:ascii="Arial" w:hAnsi="Arial" w:cs="Arial"/>
          <w:sz w:val="24"/>
          <w:szCs w:val="24"/>
          <w:lang w:eastAsia="pt-BR"/>
        </w:rPr>
        <w:t>S</w:t>
      </w:r>
      <w:r>
        <w:rPr>
          <w:rFonts w:ascii="Arial" w:hAnsi="Arial" w:cs="Arial"/>
          <w:sz w:val="24"/>
          <w:szCs w:val="24"/>
        </w:rPr>
        <w:t>egundo os dados apresentados na tabela 3, também infere-se que há uma discrepância entre os salários das mulheres brancas e das mulheres negras e pardas. As mulheres brancas agrupam um valor que equivale a aproximadamente 174% do rendimento das mulheres negras e pardas. Dessa forma, além de existir uma segregação dos mercados de trabalho baseada na diferenciação por gênero, apresenta-se também uma segmentação baseada nas questões raciais. As mulheres negras e pardas, além de sofrerem discriminação por ser mulher, também sofrem por sua condição racial.</w:t>
      </w:r>
    </w:p>
    <w:p w:rsidR="00C11A7A" w:rsidRDefault="00C11A7A" w:rsidP="00692AD4">
      <w:pPr>
        <w:autoSpaceDE w:val="0"/>
        <w:autoSpaceDN w:val="0"/>
        <w:adjustRightInd w:val="0"/>
        <w:spacing w:after="0" w:line="360" w:lineRule="auto"/>
        <w:jc w:val="both"/>
        <w:rPr>
          <w:rFonts w:ascii="Arial" w:hAnsi="Arial" w:cs="Arial"/>
          <w:sz w:val="24"/>
          <w:szCs w:val="24"/>
        </w:rPr>
      </w:pPr>
    </w:p>
    <w:p w:rsidR="00C11A7A" w:rsidRDefault="00C11A7A" w:rsidP="00CE59F7">
      <w:pPr>
        <w:autoSpaceDE w:val="0"/>
        <w:autoSpaceDN w:val="0"/>
        <w:adjustRightInd w:val="0"/>
        <w:spacing w:before="240" w:after="0"/>
        <w:ind w:firstLine="851"/>
        <w:jc w:val="center"/>
        <w:rPr>
          <w:rFonts w:ascii="Arial" w:hAnsi="Arial" w:cs="Arial"/>
          <w:sz w:val="24"/>
          <w:szCs w:val="20"/>
        </w:rPr>
      </w:pPr>
      <w:r>
        <w:rPr>
          <w:rFonts w:ascii="Arial" w:hAnsi="Arial" w:cs="Arial"/>
          <w:sz w:val="24"/>
          <w:szCs w:val="20"/>
        </w:rPr>
        <w:t>Tabela 4</w:t>
      </w:r>
    </w:p>
    <w:p w:rsidR="00C11A7A" w:rsidRDefault="00C11A7A" w:rsidP="00CE59F7">
      <w:pPr>
        <w:autoSpaceDE w:val="0"/>
        <w:autoSpaceDN w:val="0"/>
        <w:adjustRightInd w:val="0"/>
        <w:spacing w:before="240" w:after="0"/>
        <w:ind w:firstLine="851"/>
        <w:jc w:val="center"/>
        <w:rPr>
          <w:rFonts w:ascii="Arial" w:hAnsi="Arial" w:cs="Arial"/>
          <w:sz w:val="24"/>
          <w:szCs w:val="20"/>
        </w:rPr>
      </w:pPr>
      <w:r>
        <w:rPr>
          <w:rFonts w:ascii="Arial" w:hAnsi="Arial" w:cs="Arial"/>
          <w:sz w:val="24"/>
          <w:szCs w:val="20"/>
        </w:rPr>
        <w:t>Taxa de analfabetismo por cor ou raça e sexo. Brasil,- 1999, 2003 e 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1757"/>
        <w:gridCol w:w="1757"/>
        <w:gridCol w:w="1758"/>
        <w:gridCol w:w="1758"/>
      </w:tblGrid>
      <w:tr w:rsidR="00C11A7A" w:rsidTr="00312BDD">
        <w:trPr>
          <w:trHeight w:val="454"/>
        </w:trPr>
        <w:tc>
          <w:tcPr>
            <w:tcW w:w="1757" w:type="dxa"/>
            <w:tcBorders>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p>
        </w:tc>
        <w:tc>
          <w:tcPr>
            <w:tcW w:w="1757" w:type="dxa"/>
            <w:tcBorders>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p>
        </w:tc>
        <w:tc>
          <w:tcPr>
            <w:tcW w:w="1757" w:type="dxa"/>
            <w:tcBorders>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1999</w:t>
            </w:r>
          </w:p>
        </w:tc>
        <w:tc>
          <w:tcPr>
            <w:tcW w:w="1758" w:type="dxa"/>
            <w:tcBorders>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2003</w:t>
            </w:r>
          </w:p>
        </w:tc>
        <w:tc>
          <w:tcPr>
            <w:tcW w:w="1758" w:type="dxa"/>
            <w:tcBorders>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2008</w:t>
            </w:r>
          </w:p>
        </w:tc>
      </w:tr>
      <w:tr w:rsidR="00C11A7A" w:rsidTr="00312BDD">
        <w:trPr>
          <w:trHeight w:val="454"/>
        </w:trPr>
        <w:tc>
          <w:tcPr>
            <w:tcW w:w="1757" w:type="dxa"/>
            <w:vMerge w:val="restart"/>
            <w:tcBorders>
              <w:left w:val="nil"/>
              <w:right w:val="nil"/>
            </w:tcBorders>
            <w:vAlign w:val="center"/>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Masculino</w:t>
            </w:r>
          </w:p>
        </w:tc>
        <w:tc>
          <w:tcPr>
            <w:tcW w:w="1757" w:type="dxa"/>
            <w:tcBorders>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 xml:space="preserve">Branca </w:t>
            </w:r>
          </w:p>
        </w:tc>
        <w:tc>
          <w:tcPr>
            <w:tcW w:w="1757" w:type="dxa"/>
            <w:tcBorders>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7,9</w:t>
            </w:r>
          </w:p>
        </w:tc>
        <w:tc>
          <w:tcPr>
            <w:tcW w:w="1758" w:type="dxa"/>
            <w:tcBorders>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6,7</w:t>
            </w:r>
          </w:p>
        </w:tc>
        <w:tc>
          <w:tcPr>
            <w:tcW w:w="1758" w:type="dxa"/>
            <w:tcBorders>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6,0</w:t>
            </w:r>
          </w:p>
        </w:tc>
      </w:tr>
      <w:tr w:rsidR="00C11A7A" w:rsidTr="00312BDD">
        <w:trPr>
          <w:trHeight w:val="454"/>
        </w:trPr>
        <w:tc>
          <w:tcPr>
            <w:tcW w:w="1757" w:type="dxa"/>
            <w:vMerge/>
            <w:tcBorders>
              <w:left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p>
        </w:tc>
        <w:tc>
          <w:tcPr>
            <w:tcW w:w="1757" w:type="dxa"/>
            <w:tcBorders>
              <w:top w:val="nil"/>
              <w:left w:val="nil"/>
              <w:bottom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Negra</w:t>
            </w:r>
          </w:p>
        </w:tc>
        <w:tc>
          <w:tcPr>
            <w:tcW w:w="1757" w:type="dxa"/>
            <w:tcBorders>
              <w:top w:val="nil"/>
              <w:left w:val="nil"/>
              <w:bottom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20,1</w:t>
            </w:r>
          </w:p>
        </w:tc>
        <w:tc>
          <w:tcPr>
            <w:tcW w:w="1758" w:type="dxa"/>
            <w:tcBorders>
              <w:top w:val="nil"/>
              <w:left w:val="nil"/>
              <w:bottom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16,6</w:t>
            </w:r>
          </w:p>
        </w:tc>
        <w:tc>
          <w:tcPr>
            <w:tcW w:w="1758" w:type="dxa"/>
            <w:tcBorders>
              <w:top w:val="nil"/>
              <w:left w:val="nil"/>
              <w:bottom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12,5</w:t>
            </w:r>
          </w:p>
        </w:tc>
      </w:tr>
      <w:tr w:rsidR="00C11A7A" w:rsidTr="00312BDD">
        <w:trPr>
          <w:trHeight w:val="454"/>
        </w:trPr>
        <w:tc>
          <w:tcPr>
            <w:tcW w:w="1757" w:type="dxa"/>
            <w:vMerge/>
            <w:tcBorders>
              <w:left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p>
        </w:tc>
        <w:tc>
          <w:tcPr>
            <w:tcW w:w="1757" w:type="dxa"/>
            <w:tcBorders>
              <w:top w:val="nil"/>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Parda</w:t>
            </w:r>
          </w:p>
        </w:tc>
        <w:tc>
          <w:tcPr>
            <w:tcW w:w="1757" w:type="dxa"/>
            <w:tcBorders>
              <w:top w:val="nil"/>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19,9</w:t>
            </w:r>
          </w:p>
        </w:tc>
        <w:tc>
          <w:tcPr>
            <w:tcW w:w="1758" w:type="dxa"/>
            <w:tcBorders>
              <w:top w:val="nil"/>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17,4</w:t>
            </w:r>
          </w:p>
        </w:tc>
        <w:tc>
          <w:tcPr>
            <w:tcW w:w="1758" w:type="dxa"/>
            <w:tcBorders>
              <w:top w:val="nil"/>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14,0</w:t>
            </w:r>
          </w:p>
        </w:tc>
      </w:tr>
      <w:tr w:rsidR="00C11A7A" w:rsidTr="00312BDD">
        <w:trPr>
          <w:trHeight w:val="454"/>
        </w:trPr>
        <w:tc>
          <w:tcPr>
            <w:tcW w:w="1757" w:type="dxa"/>
            <w:vMerge/>
            <w:tcBorders>
              <w:left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p>
        </w:tc>
        <w:tc>
          <w:tcPr>
            <w:tcW w:w="1757" w:type="dxa"/>
            <w:tcBorders>
              <w:top w:val="nil"/>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Total</w:t>
            </w:r>
          </w:p>
        </w:tc>
        <w:tc>
          <w:tcPr>
            <w:tcW w:w="1757" w:type="dxa"/>
            <w:tcBorders>
              <w:top w:val="nil"/>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13,3</w:t>
            </w:r>
          </w:p>
        </w:tc>
        <w:tc>
          <w:tcPr>
            <w:tcW w:w="1758" w:type="dxa"/>
            <w:tcBorders>
              <w:top w:val="nil"/>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11,8</w:t>
            </w:r>
          </w:p>
        </w:tc>
        <w:tc>
          <w:tcPr>
            <w:tcW w:w="1758" w:type="dxa"/>
            <w:tcBorders>
              <w:top w:val="nil"/>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9,9</w:t>
            </w:r>
          </w:p>
        </w:tc>
      </w:tr>
      <w:tr w:rsidR="00C11A7A" w:rsidTr="00312BDD">
        <w:trPr>
          <w:trHeight w:val="454"/>
        </w:trPr>
        <w:tc>
          <w:tcPr>
            <w:tcW w:w="1757" w:type="dxa"/>
            <w:vMerge w:val="restart"/>
            <w:tcBorders>
              <w:left w:val="nil"/>
              <w:right w:val="nil"/>
            </w:tcBorders>
            <w:vAlign w:val="center"/>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Feminino</w:t>
            </w:r>
          </w:p>
        </w:tc>
        <w:tc>
          <w:tcPr>
            <w:tcW w:w="1757" w:type="dxa"/>
            <w:tcBorders>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 xml:space="preserve">Branca </w:t>
            </w:r>
          </w:p>
        </w:tc>
        <w:tc>
          <w:tcPr>
            <w:tcW w:w="1757" w:type="dxa"/>
            <w:tcBorders>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8,6</w:t>
            </w:r>
          </w:p>
        </w:tc>
        <w:tc>
          <w:tcPr>
            <w:tcW w:w="1758" w:type="dxa"/>
            <w:tcBorders>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7,4</w:t>
            </w:r>
          </w:p>
        </w:tc>
        <w:tc>
          <w:tcPr>
            <w:tcW w:w="1758" w:type="dxa"/>
            <w:tcBorders>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6,4</w:t>
            </w:r>
          </w:p>
        </w:tc>
      </w:tr>
      <w:tr w:rsidR="00C11A7A" w:rsidTr="00312BDD">
        <w:trPr>
          <w:trHeight w:val="454"/>
        </w:trPr>
        <w:tc>
          <w:tcPr>
            <w:tcW w:w="1757" w:type="dxa"/>
            <w:vMerge/>
            <w:tcBorders>
              <w:left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p>
        </w:tc>
        <w:tc>
          <w:tcPr>
            <w:tcW w:w="1757" w:type="dxa"/>
            <w:tcBorders>
              <w:top w:val="nil"/>
              <w:left w:val="nil"/>
              <w:bottom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Negra</w:t>
            </w:r>
          </w:p>
        </w:tc>
        <w:tc>
          <w:tcPr>
            <w:tcW w:w="1757" w:type="dxa"/>
            <w:tcBorders>
              <w:top w:val="nil"/>
              <w:left w:val="nil"/>
              <w:bottom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21,8</w:t>
            </w:r>
          </w:p>
        </w:tc>
        <w:tc>
          <w:tcPr>
            <w:tcW w:w="1758" w:type="dxa"/>
            <w:tcBorders>
              <w:top w:val="nil"/>
              <w:left w:val="nil"/>
              <w:bottom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17,2</w:t>
            </w:r>
          </w:p>
        </w:tc>
        <w:tc>
          <w:tcPr>
            <w:tcW w:w="1758" w:type="dxa"/>
            <w:tcBorders>
              <w:top w:val="nil"/>
              <w:left w:val="nil"/>
              <w:bottom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13,8</w:t>
            </w:r>
          </w:p>
        </w:tc>
      </w:tr>
      <w:tr w:rsidR="00C11A7A" w:rsidTr="00312BDD">
        <w:trPr>
          <w:trHeight w:val="454"/>
        </w:trPr>
        <w:tc>
          <w:tcPr>
            <w:tcW w:w="1757" w:type="dxa"/>
            <w:vMerge/>
            <w:tcBorders>
              <w:left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p>
        </w:tc>
        <w:tc>
          <w:tcPr>
            <w:tcW w:w="1757" w:type="dxa"/>
            <w:tcBorders>
              <w:top w:val="nil"/>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Parda</w:t>
            </w:r>
          </w:p>
        </w:tc>
        <w:tc>
          <w:tcPr>
            <w:tcW w:w="1757" w:type="dxa"/>
            <w:tcBorders>
              <w:top w:val="nil"/>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19,3</w:t>
            </w:r>
          </w:p>
        </w:tc>
        <w:tc>
          <w:tcPr>
            <w:tcW w:w="1758" w:type="dxa"/>
            <w:tcBorders>
              <w:top w:val="nil"/>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16,4</w:t>
            </w:r>
          </w:p>
        </w:tc>
        <w:tc>
          <w:tcPr>
            <w:tcW w:w="1758" w:type="dxa"/>
            <w:tcBorders>
              <w:top w:val="nil"/>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13,0</w:t>
            </w:r>
          </w:p>
        </w:tc>
      </w:tr>
      <w:tr w:rsidR="00C11A7A" w:rsidTr="00312BDD">
        <w:trPr>
          <w:trHeight w:val="454"/>
        </w:trPr>
        <w:tc>
          <w:tcPr>
            <w:tcW w:w="1757" w:type="dxa"/>
            <w:vMerge/>
            <w:tcBorders>
              <w:left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p>
        </w:tc>
        <w:tc>
          <w:tcPr>
            <w:tcW w:w="1757" w:type="dxa"/>
            <w:tcBorders>
              <w:top w:val="nil"/>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Total</w:t>
            </w:r>
          </w:p>
        </w:tc>
        <w:tc>
          <w:tcPr>
            <w:tcW w:w="1757" w:type="dxa"/>
            <w:tcBorders>
              <w:top w:val="nil"/>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13,3</w:t>
            </w:r>
          </w:p>
        </w:tc>
        <w:tc>
          <w:tcPr>
            <w:tcW w:w="1758" w:type="dxa"/>
            <w:tcBorders>
              <w:top w:val="nil"/>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11,5</w:t>
            </w:r>
          </w:p>
        </w:tc>
        <w:tc>
          <w:tcPr>
            <w:tcW w:w="1758" w:type="dxa"/>
            <w:tcBorders>
              <w:top w:val="nil"/>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9,7</w:t>
            </w:r>
          </w:p>
        </w:tc>
      </w:tr>
      <w:tr w:rsidR="00C11A7A" w:rsidTr="00312BDD">
        <w:trPr>
          <w:trHeight w:val="454"/>
        </w:trPr>
        <w:tc>
          <w:tcPr>
            <w:tcW w:w="1757" w:type="dxa"/>
            <w:vMerge w:val="restart"/>
            <w:tcBorders>
              <w:left w:val="nil"/>
              <w:right w:val="nil"/>
            </w:tcBorders>
            <w:vAlign w:val="center"/>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Total</w:t>
            </w:r>
          </w:p>
        </w:tc>
        <w:tc>
          <w:tcPr>
            <w:tcW w:w="1757" w:type="dxa"/>
            <w:tcBorders>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 xml:space="preserve">Branca </w:t>
            </w:r>
          </w:p>
        </w:tc>
        <w:tc>
          <w:tcPr>
            <w:tcW w:w="1757" w:type="dxa"/>
            <w:tcBorders>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8,3</w:t>
            </w:r>
          </w:p>
        </w:tc>
        <w:tc>
          <w:tcPr>
            <w:tcW w:w="1758" w:type="dxa"/>
            <w:tcBorders>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7,1</w:t>
            </w:r>
          </w:p>
        </w:tc>
        <w:tc>
          <w:tcPr>
            <w:tcW w:w="1758" w:type="dxa"/>
            <w:tcBorders>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6,2</w:t>
            </w:r>
          </w:p>
        </w:tc>
      </w:tr>
      <w:tr w:rsidR="00C11A7A" w:rsidTr="00312BDD">
        <w:trPr>
          <w:trHeight w:val="454"/>
        </w:trPr>
        <w:tc>
          <w:tcPr>
            <w:tcW w:w="1757" w:type="dxa"/>
            <w:vMerge/>
            <w:tcBorders>
              <w:left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p>
        </w:tc>
        <w:tc>
          <w:tcPr>
            <w:tcW w:w="1757" w:type="dxa"/>
            <w:tcBorders>
              <w:top w:val="nil"/>
              <w:left w:val="nil"/>
              <w:bottom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Negra</w:t>
            </w:r>
          </w:p>
        </w:tc>
        <w:tc>
          <w:tcPr>
            <w:tcW w:w="1757" w:type="dxa"/>
            <w:tcBorders>
              <w:top w:val="nil"/>
              <w:left w:val="nil"/>
              <w:bottom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20,9</w:t>
            </w:r>
          </w:p>
        </w:tc>
        <w:tc>
          <w:tcPr>
            <w:tcW w:w="1758" w:type="dxa"/>
            <w:tcBorders>
              <w:top w:val="nil"/>
              <w:left w:val="nil"/>
              <w:bottom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16,9</w:t>
            </w:r>
          </w:p>
        </w:tc>
        <w:tc>
          <w:tcPr>
            <w:tcW w:w="1758" w:type="dxa"/>
            <w:tcBorders>
              <w:top w:val="nil"/>
              <w:left w:val="nil"/>
              <w:bottom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13,2</w:t>
            </w:r>
          </w:p>
        </w:tc>
      </w:tr>
      <w:tr w:rsidR="00C11A7A" w:rsidTr="00312BDD">
        <w:trPr>
          <w:trHeight w:val="454"/>
        </w:trPr>
        <w:tc>
          <w:tcPr>
            <w:tcW w:w="1757" w:type="dxa"/>
            <w:vMerge/>
            <w:tcBorders>
              <w:left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p>
        </w:tc>
        <w:tc>
          <w:tcPr>
            <w:tcW w:w="1757" w:type="dxa"/>
            <w:tcBorders>
              <w:top w:val="nil"/>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Parda</w:t>
            </w:r>
          </w:p>
        </w:tc>
        <w:tc>
          <w:tcPr>
            <w:tcW w:w="1757" w:type="dxa"/>
            <w:tcBorders>
              <w:top w:val="nil"/>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19,6</w:t>
            </w:r>
          </w:p>
        </w:tc>
        <w:tc>
          <w:tcPr>
            <w:tcW w:w="1758" w:type="dxa"/>
            <w:tcBorders>
              <w:top w:val="nil"/>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16,9</w:t>
            </w:r>
          </w:p>
        </w:tc>
        <w:tc>
          <w:tcPr>
            <w:tcW w:w="1758" w:type="dxa"/>
            <w:tcBorders>
              <w:top w:val="nil"/>
              <w:left w:val="nil"/>
              <w:bottom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13,5</w:t>
            </w:r>
          </w:p>
        </w:tc>
      </w:tr>
      <w:tr w:rsidR="00C11A7A" w:rsidTr="00312BDD">
        <w:trPr>
          <w:trHeight w:val="454"/>
        </w:trPr>
        <w:tc>
          <w:tcPr>
            <w:tcW w:w="1757" w:type="dxa"/>
            <w:vMerge/>
            <w:tcBorders>
              <w:left w:val="nil"/>
              <w:right w:val="nil"/>
            </w:tcBorders>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p>
        </w:tc>
        <w:tc>
          <w:tcPr>
            <w:tcW w:w="1757" w:type="dxa"/>
            <w:tcBorders>
              <w:top w:val="nil"/>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Total</w:t>
            </w:r>
          </w:p>
        </w:tc>
        <w:tc>
          <w:tcPr>
            <w:tcW w:w="1757" w:type="dxa"/>
            <w:tcBorders>
              <w:top w:val="nil"/>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13,3</w:t>
            </w:r>
          </w:p>
        </w:tc>
        <w:tc>
          <w:tcPr>
            <w:tcW w:w="1758" w:type="dxa"/>
            <w:tcBorders>
              <w:top w:val="nil"/>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11,6</w:t>
            </w:r>
          </w:p>
        </w:tc>
        <w:tc>
          <w:tcPr>
            <w:tcW w:w="1758" w:type="dxa"/>
            <w:tcBorders>
              <w:top w:val="nil"/>
              <w:left w:val="nil"/>
              <w:right w:val="nil"/>
            </w:tcBorders>
            <w:shd w:val="clear" w:color="auto" w:fill="BFBFBF"/>
          </w:tcPr>
          <w:p w:rsidR="00C11A7A" w:rsidRPr="00173176" w:rsidRDefault="00C11A7A" w:rsidP="00312BDD">
            <w:pPr>
              <w:autoSpaceDE w:val="0"/>
              <w:autoSpaceDN w:val="0"/>
              <w:adjustRightInd w:val="0"/>
              <w:spacing w:before="240" w:after="0" w:line="240" w:lineRule="auto"/>
              <w:jc w:val="center"/>
              <w:rPr>
                <w:rFonts w:ascii="Arial" w:hAnsi="Arial" w:cs="Arial"/>
                <w:sz w:val="24"/>
                <w:szCs w:val="20"/>
              </w:rPr>
            </w:pPr>
            <w:r w:rsidRPr="00173176">
              <w:rPr>
                <w:rFonts w:ascii="Arial" w:hAnsi="Arial" w:cs="Arial"/>
                <w:sz w:val="24"/>
                <w:szCs w:val="20"/>
              </w:rPr>
              <w:t>9,8</w:t>
            </w:r>
          </w:p>
        </w:tc>
      </w:tr>
    </w:tbl>
    <w:p w:rsidR="00C11A7A" w:rsidRDefault="00C11A7A" w:rsidP="00CE59F7">
      <w:pPr>
        <w:autoSpaceDE w:val="0"/>
        <w:autoSpaceDN w:val="0"/>
        <w:adjustRightInd w:val="0"/>
        <w:spacing w:before="240" w:after="0" w:line="360" w:lineRule="auto"/>
        <w:ind w:firstLine="851"/>
        <w:jc w:val="right"/>
        <w:rPr>
          <w:rFonts w:ascii="Arial" w:hAnsi="Arial" w:cs="Arial"/>
          <w:sz w:val="24"/>
          <w:szCs w:val="20"/>
        </w:rPr>
      </w:pPr>
      <w:r>
        <w:rPr>
          <w:rFonts w:ascii="Arial" w:hAnsi="Arial" w:cs="Arial"/>
          <w:sz w:val="24"/>
          <w:szCs w:val="24"/>
        </w:rPr>
        <w:t xml:space="preserve">Fonte: </w:t>
      </w:r>
      <w:r w:rsidRPr="001D0895">
        <w:rPr>
          <w:rFonts w:ascii="Arial" w:hAnsi="Arial" w:cs="Arial"/>
          <w:sz w:val="24"/>
          <w:szCs w:val="24"/>
        </w:rPr>
        <w:t xml:space="preserve">Dados obtidos através </w:t>
      </w:r>
      <w:r>
        <w:rPr>
          <w:rFonts w:ascii="Arial" w:hAnsi="Arial" w:cs="Arial"/>
          <w:sz w:val="24"/>
          <w:szCs w:val="24"/>
        </w:rPr>
        <w:t>da PNAD 2008</w:t>
      </w:r>
    </w:p>
    <w:p w:rsidR="00C11A7A" w:rsidRDefault="00C11A7A" w:rsidP="00F871B0">
      <w:pPr>
        <w:spacing w:before="480" w:line="360" w:lineRule="auto"/>
        <w:ind w:firstLine="851"/>
        <w:jc w:val="both"/>
        <w:rPr>
          <w:rFonts w:ascii="Arial" w:hAnsi="Arial" w:cs="Arial"/>
          <w:sz w:val="24"/>
          <w:szCs w:val="24"/>
        </w:rPr>
      </w:pPr>
    </w:p>
    <w:p w:rsidR="00C11A7A" w:rsidRDefault="00C11A7A" w:rsidP="00F871B0">
      <w:pPr>
        <w:spacing w:before="480" w:line="360" w:lineRule="auto"/>
        <w:ind w:firstLine="851"/>
        <w:jc w:val="both"/>
        <w:rPr>
          <w:rFonts w:ascii="Arial" w:hAnsi="Arial" w:cs="Arial"/>
          <w:sz w:val="24"/>
          <w:szCs w:val="24"/>
        </w:rPr>
      </w:pPr>
      <w:r>
        <w:rPr>
          <w:rFonts w:ascii="Arial" w:hAnsi="Arial" w:cs="Arial"/>
          <w:sz w:val="24"/>
          <w:szCs w:val="24"/>
        </w:rPr>
        <w:t>Conforme os números expostos na tabela 4 deste trabalho, pode-se concluir que o grau de analfabetismo entre as mulheres é superior ao dos homens, entretanto quando se analisa apenas a população distinguindo por raça, percebe-se o abismo educacional entre a população branca e a população negra/parda. Ao analisar apenas as mulheres pode-se inferir que, em 1999 as mulheres negras e pardas obtinham uma taxa quase três vezes maior em relação a taxa apresentada nas mulheres brancas no mesmo ano, já em 2008 a diferença entre essas taxas se reduz, esse comportamento também é  apresentado entre as taxas referentes aos homens brancos, negros e pardos. Os dados analisados demonstram que as políticas públicas aplicadas para redução do analfabetismo no Brasil, foram mais benéficas para a população negra e parda.</w:t>
      </w:r>
    </w:p>
    <w:p w:rsidR="00C11A7A" w:rsidRDefault="00C11A7A" w:rsidP="00F871B0">
      <w:pPr>
        <w:spacing w:before="480" w:line="360" w:lineRule="auto"/>
        <w:ind w:firstLine="851"/>
        <w:jc w:val="both"/>
        <w:rPr>
          <w:rFonts w:ascii="Arial" w:hAnsi="Arial" w:cs="Arial"/>
          <w:b/>
          <w:sz w:val="24"/>
          <w:szCs w:val="24"/>
        </w:rPr>
      </w:pPr>
      <w:r w:rsidRPr="003D76D7">
        <w:rPr>
          <w:rFonts w:ascii="Arial" w:hAnsi="Arial" w:cs="Arial"/>
          <w:b/>
          <w:sz w:val="24"/>
          <w:szCs w:val="24"/>
        </w:rPr>
        <w:t>Conclusão</w:t>
      </w:r>
    </w:p>
    <w:p w:rsidR="00C11A7A" w:rsidRPr="007F6191" w:rsidRDefault="00C11A7A" w:rsidP="007F6191">
      <w:pPr>
        <w:spacing w:before="480" w:line="360" w:lineRule="auto"/>
        <w:ind w:firstLine="851"/>
        <w:jc w:val="both"/>
        <w:rPr>
          <w:rFonts w:ascii="Arial" w:hAnsi="Arial" w:cs="Arial"/>
          <w:b/>
          <w:sz w:val="24"/>
          <w:szCs w:val="24"/>
        </w:rPr>
      </w:pPr>
      <w:r w:rsidRPr="007F6191">
        <w:rPr>
          <w:rFonts w:ascii="Arial" w:hAnsi="Arial" w:cs="Arial"/>
          <w:sz w:val="24"/>
          <w:szCs w:val="24"/>
          <w:lang w:eastAsia="pt-BR"/>
        </w:rPr>
        <w:t>Os resulta</w:t>
      </w:r>
      <w:r>
        <w:rPr>
          <w:rFonts w:ascii="Arial" w:hAnsi="Arial" w:cs="Arial"/>
          <w:sz w:val="24"/>
          <w:szCs w:val="24"/>
          <w:lang w:eastAsia="pt-BR"/>
        </w:rPr>
        <w:t>dos desta pesquisa destacam que</w:t>
      </w:r>
      <w:r w:rsidRPr="007F6191">
        <w:rPr>
          <w:rFonts w:ascii="Arial" w:hAnsi="Arial" w:cs="Arial"/>
          <w:sz w:val="24"/>
          <w:szCs w:val="24"/>
          <w:lang w:eastAsia="pt-BR"/>
        </w:rPr>
        <w:t xml:space="preserve"> </w:t>
      </w:r>
      <w:r>
        <w:rPr>
          <w:rFonts w:ascii="Arial" w:hAnsi="Arial" w:cs="Arial"/>
          <w:sz w:val="24"/>
          <w:szCs w:val="24"/>
          <w:lang w:eastAsia="pt-BR"/>
        </w:rPr>
        <w:t>para uma compreensão</w:t>
      </w:r>
      <w:r w:rsidRPr="007F6191">
        <w:rPr>
          <w:rFonts w:ascii="Arial" w:hAnsi="Arial" w:cs="Arial"/>
          <w:sz w:val="24"/>
          <w:szCs w:val="24"/>
          <w:lang w:eastAsia="pt-BR"/>
        </w:rPr>
        <w:t xml:space="preserve"> da complexidade das experiências sociais feminina</w:t>
      </w:r>
      <w:r>
        <w:rPr>
          <w:rFonts w:ascii="Arial" w:hAnsi="Arial" w:cs="Arial"/>
          <w:sz w:val="24"/>
          <w:szCs w:val="24"/>
          <w:lang w:eastAsia="pt-BR"/>
        </w:rPr>
        <w:t>s,</w:t>
      </w:r>
      <w:r w:rsidRPr="007F6191">
        <w:rPr>
          <w:rFonts w:ascii="Arial" w:hAnsi="Arial" w:cs="Arial"/>
          <w:sz w:val="24"/>
          <w:szCs w:val="24"/>
          <w:lang w:eastAsia="pt-BR"/>
        </w:rPr>
        <w:t xml:space="preserve"> não basta entender as diferenciações de gênero, é imprescindível ir </w:t>
      </w:r>
      <w:r>
        <w:rPr>
          <w:rFonts w:ascii="Arial" w:hAnsi="Arial" w:cs="Arial"/>
          <w:sz w:val="24"/>
          <w:szCs w:val="24"/>
          <w:lang w:eastAsia="pt-BR"/>
        </w:rPr>
        <w:t xml:space="preserve">além e agregar </w:t>
      </w:r>
      <w:r w:rsidRPr="007F6191">
        <w:rPr>
          <w:rFonts w:ascii="Arial" w:hAnsi="Arial" w:cs="Arial"/>
          <w:sz w:val="24"/>
          <w:szCs w:val="24"/>
          <w:lang w:eastAsia="pt-BR"/>
        </w:rPr>
        <w:t>outros aspectos do viver social, entre eles os de identificação racial. Os resultados d</w:t>
      </w:r>
      <w:r>
        <w:rPr>
          <w:rFonts w:ascii="Arial" w:hAnsi="Arial" w:cs="Arial"/>
          <w:sz w:val="24"/>
          <w:szCs w:val="24"/>
          <w:lang w:eastAsia="pt-BR"/>
        </w:rPr>
        <w:t>esiguais entre brancas, pardas</w:t>
      </w:r>
      <w:r w:rsidRPr="007F6191">
        <w:rPr>
          <w:rFonts w:ascii="Arial" w:hAnsi="Arial" w:cs="Arial"/>
          <w:sz w:val="24"/>
          <w:szCs w:val="24"/>
          <w:lang w:eastAsia="pt-BR"/>
        </w:rPr>
        <w:t xml:space="preserve"> e negras </w:t>
      </w:r>
      <w:r>
        <w:rPr>
          <w:rFonts w:ascii="Arial" w:hAnsi="Arial" w:cs="Arial"/>
          <w:sz w:val="24"/>
          <w:szCs w:val="24"/>
          <w:lang w:eastAsia="pt-BR"/>
        </w:rPr>
        <w:t>apresentadas n</w:t>
      </w:r>
      <w:r w:rsidRPr="007F6191">
        <w:rPr>
          <w:rFonts w:ascii="Arial" w:hAnsi="Arial" w:cs="Arial"/>
          <w:sz w:val="24"/>
          <w:szCs w:val="24"/>
          <w:lang w:eastAsia="pt-BR"/>
        </w:rPr>
        <w:t>esta pesquisa demonstram que as relações raciais são uma problemática que deve permear a discussão sobre cidadania no Brasil. A compreensão da exclusão social, não pode ser limitada por generalizações que trabalhem apenas com categorias regionais ou de gênero que silenciam as diferenças na diferença. Somente um olhar que perceba as imbricadas clivagens que permeiam estes espaços pode construir respostas pertinentes.</w:t>
      </w:r>
    </w:p>
    <w:p w:rsidR="00C11A7A" w:rsidRDefault="00C11A7A" w:rsidP="007F6191">
      <w:pPr>
        <w:spacing w:before="480" w:line="360" w:lineRule="auto"/>
        <w:ind w:firstLine="851"/>
        <w:jc w:val="both"/>
        <w:rPr>
          <w:rFonts w:ascii="Arial" w:hAnsi="Arial" w:cs="Arial"/>
          <w:sz w:val="24"/>
          <w:szCs w:val="24"/>
        </w:rPr>
      </w:pPr>
      <w:bookmarkStart w:id="0" w:name="_GoBack"/>
      <w:bookmarkEnd w:id="0"/>
      <w:r w:rsidRPr="00BE301D">
        <w:rPr>
          <w:rFonts w:ascii="Arial" w:hAnsi="Arial" w:cs="Arial"/>
          <w:sz w:val="24"/>
          <w:szCs w:val="24"/>
        </w:rPr>
        <w:t xml:space="preserve">No decorrer do processo histórico da </w:t>
      </w:r>
      <w:r w:rsidR="00BE301D" w:rsidRPr="00BE301D">
        <w:rPr>
          <w:rFonts w:ascii="Arial" w:hAnsi="Arial" w:cs="Arial"/>
          <w:sz w:val="24"/>
          <w:szCs w:val="24"/>
        </w:rPr>
        <w:t>Brasileiro</w:t>
      </w:r>
      <w:r w:rsidRPr="00BE301D">
        <w:rPr>
          <w:rFonts w:ascii="Arial" w:hAnsi="Arial" w:cs="Arial"/>
          <w:sz w:val="24"/>
          <w:szCs w:val="24"/>
        </w:rPr>
        <w:t xml:space="preserve"> a mulher sempre foi discriminada pela sociedade.</w:t>
      </w:r>
      <w:r>
        <w:rPr>
          <w:rFonts w:ascii="Arial" w:hAnsi="Arial" w:cs="Arial"/>
          <w:sz w:val="24"/>
          <w:szCs w:val="24"/>
        </w:rPr>
        <w:t xml:space="preserve"> Embora seja dito que vivemos numa sociedade justa e igualitária, através deste trabalho e de outros como os de </w:t>
      </w:r>
      <w:r w:rsidRPr="002C71EB">
        <w:rPr>
          <w:rFonts w:ascii="Arial" w:hAnsi="Arial" w:cs="Arial"/>
          <w:sz w:val="24"/>
          <w:szCs w:val="24"/>
        </w:rPr>
        <w:t>Yannoulas</w:t>
      </w:r>
      <w:r>
        <w:rPr>
          <w:rFonts w:ascii="Arial" w:hAnsi="Arial" w:cs="Arial"/>
          <w:sz w:val="24"/>
          <w:szCs w:val="24"/>
        </w:rPr>
        <w:t xml:space="preserve"> </w:t>
      </w:r>
      <w:r>
        <w:rPr>
          <w:rFonts w:ascii="Arial" w:hAnsi="Arial" w:cs="Arial"/>
          <w:sz w:val="24"/>
          <w:szCs w:val="24"/>
        </w:rPr>
        <w:lastRenderedPageBreak/>
        <w:t>(2002), Guimarães (2002), entre outros, podemos perceber que ainda não chegamos a este ponto, mas parece que estamos indo no caminho certo. Ainda hoje muitas mulheres negras e pardas sofrem preconceito no mercado de trabalho, e isso é fruto de um desenvolvimento cultural discriminatório que não se pode alterar em um curto espaço de tempo. Mas, a manutenção de políticas públicas, que visam proteger e subsidiar a redução dessa desigualdade, e o fortalecimento dos movimentos negro, de mulheres e de mulheres negras, bem como com a atuação da Secretaria de Políticas para as Mulheres</w:t>
      </w:r>
      <w:r>
        <w:rPr>
          <w:rStyle w:val="Refdenotaderodap"/>
          <w:rFonts w:ascii="Arial" w:hAnsi="Arial" w:cs="Arial"/>
          <w:sz w:val="24"/>
          <w:szCs w:val="24"/>
        </w:rPr>
        <w:footnoteReference w:id="3"/>
      </w:r>
      <w:r>
        <w:rPr>
          <w:rFonts w:ascii="Arial" w:hAnsi="Arial" w:cs="Arial"/>
          <w:sz w:val="24"/>
          <w:szCs w:val="24"/>
        </w:rPr>
        <w:t>, tende a modificar essa herança.</w:t>
      </w:r>
    </w:p>
    <w:p w:rsidR="00C11A7A" w:rsidRDefault="00C11A7A" w:rsidP="00CE59F7">
      <w:pPr>
        <w:spacing w:after="0" w:line="240" w:lineRule="auto"/>
        <w:rPr>
          <w:rFonts w:ascii="Arial" w:hAnsi="Arial" w:cs="Arial"/>
          <w:b/>
          <w:sz w:val="24"/>
          <w:szCs w:val="24"/>
        </w:rPr>
      </w:pPr>
    </w:p>
    <w:p w:rsidR="00C11A7A" w:rsidRDefault="00C11A7A" w:rsidP="00CE59F7">
      <w:pPr>
        <w:spacing w:after="0" w:line="240" w:lineRule="auto"/>
        <w:rPr>
          <w:rFonts w:ascii="Arial" w:hAnsi="Arial" w:cs="Arial"/>
          <w:b/>
          <w:sz w:val="24"/>
          <w:szCs w:val="24"/>
        </w:rPr>
      </w:pPr>
    </w:p>
    <w:p w:rsidR="00C11A7A" w:rsidRDefault="00C11A7A" w:rsidP="00CE59F7">
      <w:pPr>
        <w:spacing w:after="0" w:line="240" w:lineRule="auto"/>
        <w:rPr>
          <w:rFonts w:ascii="Arial" w:hAnsi="Arial" w:cs="Arial"/>
          <w:b/>
          <w:sz w:val="24"/>
          <w:szCs w:val="24"/>
        </w:rPr>
      </w:pPr>
      <w:r>
        <w:rPr>
          <w:rFonts w:ascii="Arial" w:hAnsi="Arial" w:cs="Arial"/>
          <w:b/>
          <w:sz w:val="24"/>
          <w:szCs w:val="24"/>
        </w:rPr>
        <w:t>Referencias Bibliográficas</w:t>
      </w:r>
    </w:p>
    <w:p w:rsidR="00C11A7A" w:rsidRDefault="00C11A7A" w:rsidP="00AE0043">
      <w:pPr>
        <w:autoSpaceDE w:val="0"/>
        <w:autoSpaceDN w:val="0"/>
        <w:adjustRightInd w:val="0"/>
        <w:spacing w:before="480" w:after="0" w:line="360" w:lineRule="auto"/>
        <w:ind w:firstLine="851"/>
        <w:jc w:val="both"/>
        <w:rPr>
          <w:rFonts w:ascii="Arial" w:hAnsi="Arial" w:cs="Arial"/>
          <w:sz w:val="24"/>
          <w:szCs w:val="24"/>
        </w:rPr>
      </w:pPr>
      <w:r>
        <w:rPr>
          <w:rFonts w:ascii="Arial" w:hAnsi="Arial" w:cs="Arial"/>
          <w:sz w:val="24"/>
          <w:szCs w:val="24"/>
        </w:rPr>
        <w:t xml:space="preserve">Carneiro, Sueli. </w:t>
      </w:r>
      <w:r w:rsidRPr="00D95641">
        <w:rPr>
          <w:rFonts w:ascii="Arial" w:hAnsi="Arial" w:cs="Arial"/>
          <w:b/>
          <w:sz w:val="24"/>
          <w:szCs w:val="24"/>
        </w:rPr>
        <w:t>Mulheres em Movimento</w:t>
      </w:r>
      <w:r>
        <w:rPr>
          <w:rFonts w:ascii="Arial" w:hAnsi="Arial" w:cs="Arial"/>
          <w:sz w:val="24"/>
          <w:szCs w:val="24"/>
        </w:rPr>
        <w:t>. Estudos Avançados 17 (49). São Paulo – SP.  2003.</w:t>
      </w:r>
    </w:p>
    <w:p w:rsidR="00C11A7A" w:rsidRDefault="00C11A7A" w:rsidP="00AE0043">
      <w:pPr>
        <w:autoSpaceDE w:val="0"/>
        <w:autoSpaceDN w:val="0"/>
        <w:adjustRightInd w:val="0"/>
        <w:spacing w:before="480" w:after="0" w:line="360" w:lineRule="auto"/>
        <w:ind w:firstLine="851"/>
        <w:jc w:val="both"/>
        <w:rPr>
          <w:rFonts w:ascii="Arial" w:hAnsi="Arial" w:cs="Arial"/>
          <w:sz w:val="24"/>
          <w:szCs w:val="24"/>
        </w:rPr>
      </w:pPr>
      <w:r w:rsidRPr="00AE0043">
        <w:rPr>
          <w:rFonts w:ascii="Arial" w:hAnsi="Arial" w:cs="Arial"/>
          <w:sz w:val="24"/>
          <w:szCs w:val="24"/>
        </w:rPr>
        <w:t xml:space="preserve">Yannoulas, Silvia Cristina. Dossiê: </w:t>
      </w:r>
      <w:r w:rsidRPr="00D95641">
        <w:rPr>
          <w:rFonts w:ascii="Arial" w:hAnsi="Arial" w:cs="Arial"/>
          <w:b/>
          <w:sz w:val="24"/>
          <w:szCs w:val="24"/>
        </w:rPr>
        <w:t>Políticas públicas e relações de gênero no mercado de trabalho.</w:t>
      </w:r>
      <w:r w:rsidRPr="00AE0043">
        <w:rPr>
          <w:rFonts w:ascii="Arial" w:hAnsi="Arial" w:cs="Arial"/>
          <w:sz w:val="24"/>
          <w:szCs w:val="24"/>
        </w:rPr>
        <w:t xml:space="preserve"> Brasília - DF CFEMEA; FIG/CIDA, 2002.</w:t>
      </w:r>
    </w:p>
    <w:p w:rsidR="00C11A7A" w:rsidRDefault="00C11A7A" w:rsidP="00434258">
      <w:pPr>
        <w:autoSpaceDE w:val="0"/>
        <w:autoSpaceDN w:val="0"/>
        <w:adjustRightInd w:val="0"/>
        <w:spacing w:before="480" w:after="0" w:line="360" w:lineRule="auto"/>
        <w:ind w:firstLine="851"/>
        <w:jc w:val="both"/>
        <w:rPr>
          <w:rFonts w:ascii="Arial" w:hAnsi="Arial" w:cs="Arial"/>
          <w:sz w:val="24"/>
          <w:szCs w:val="24"/>
        </w:rPr>
      </w:pPr>
      <w:r>
        <w:rPr>
          <w:rFonts w:ascii="Arial" w:hAnsi="Arial" w:cs="Arial"/>
          <w:bCs/>
          <w:iCs/>
          <w:sz w:val="24"/>
          <w:szCs w:val="24"/>
        </w:rPr>
        <w:t>Q</w:t>
      </w:r>
      <w:r>
        <w:rPr>
          <w:rFonts w:ascii="Arial" w:hAnsi="Arial" w:cs="Arial"/>
          <w:iCs/>
          <w:sz w:val="24"/>
          <w:szCs w:val="24"/>
        </w:rPr>
        <w:t xml:space="preserve">uadros, </w:t>
      </w:r>
      <w:r>
        <w:rPr>
          <w:rFonts w:ascii="Arial" w:hAnsi="Arial" w:cs="Arial"/>
          <w:bCs/>
          <w:iCs/>
          <w:sz w:val="24"/>
          <w:szCs w:val="24"/>
        </w:rPr>
        <w:t>W</w:t>
      </w:r>
      <w:r>
        <w:rPr>
          <w:rFonts w:ascii="Arial" w:hAnsi="Arial" w:cs="Arial"/>
          <w:iCs/>
          <w:sz w:val="24"/>
          <w:szCs w:val="24"/>
        </w:rPr>
        <w:t xml:space="preserve">aldir, </w:t>
      </w:r>
      <w:r w:rsidRPr="00D95641">
        <w:rPr>
          <w:rFonts w:ascii="Arial" w:hAnsi="Arial" w:cs="Arial"/>
          <w:b/>
          <w:bCs/>
          <w:sz w:val="24"/>
          <w:szCs w:val="24"/>
        </w:rPr>
        <w:t>G</w:t>
      </w:r>
      <w:r w:rsidRPr="00D95641">
        <w:rPr>
          <w:rFonts w:ascii="Arial" w:hAnsi="Arial" w:cs="Arial"/>
          <w:b/>
          <w:sz w:val="24"/>
          <w:szCs w:val="24"/>
        </w:rPr>
        <w:t xml:space="preserve">ênero e </w:t>
      </w:r>
      <w:r w:rsidRPr="00D95641">
        <w:rPr>
          <w:rFonts w:ascii="Arial" w:hAnsi="Arial" w:cs="Arial"/>
          <w:b/>
          <w:bCs/>
          <w:sz w:val="24"/>
          <w:szCs w:val="24"/>
        </w:rPr>
        <w:t>R</w:t>
      </w:r>
      <w:r w:rsidRPr="00D95641">
        <w:rPr>
          <w:rFonts w:ascii="Arial" w:hAnsi="Arial" w:cs="Arial"/>
          <w:b/>
          <w:sz w:val="24"/>
          <w:szCs w:val="24"/>
        </w:rPr>
        <w:t xml:space="preserve">aça na </w:t>
      </w:r>
      <w:r w:rsidRPr="00D95641">
        <w:rPr>
          <w:rFonts w:ascii="Arial" w:hAnsi="Arial" w:cs="Arial"/>
          <w:b/>
          <w:bCs/>
          <w:sz w:val="24"/>
          <w:szCs w:val="24"/>
        </w:rPr>
        <w:t>D</w:t>
      </w:r>
      <w:r w:rsidRPr="00D95641">
        <w:rPr>
          <w:rFonts w:ascii="Arial" w:hAnsi="Arial" w:cs="Arial"/>
          <w:b/>
          <w:sz w:val="24"/>
          <w:szCs w:val="24"/>
        </w:rPr>
        <w:t xml:space="preserve">esigualdade </w:t>
      </w:r>
      <w:r w:rsidRPr="00D95641">
        <w:rPr>
          <w:rFonts w:ascii="Arial" w:hAnsi="Arial" w:cs="Arial"/>
          <w:b/>
          <w:bCs/>
          <w:sz w:val="24"/>
          <w:szCs w:val="24"/>
        </w:rPr>
        <w:t>S</w:t>
      </w:r>
      <w:r w:rsidRPr="00D95641">
        <w:rPr>
          <w:rFonts w:ascii="Arial" w:hAnsi="Arial" w:cs="Arial"/>
          <w:b/>
          <w:sz w:val="24"/>
          <w:szCs w:val="24"/>
        </w:rPr>
        <w:t xml:space="preserve">ocial </w:t>
      </w:r>
      <w:r w:rsidRPr="00D95641">
        <w:rPr>
          <w:rFonts w:ascii="Arial" w:hAnsi="Arial" w:cs="Arial"/>
          <w:b/>
          <w:bCs/>
          <w:sz w:val="24"/>
          <w:szCs w:val="24"/>
        </w:rPr>
        <w:t>B</w:t>
      </w:r>
      <w:r w:rsidRPr="00D95641">
        <w:rPr>
          <w:rFonts w:ascii="Arial" w:hAnsi="Arial" w:cs="Arial"/>
          <w:b/>
          <w:sz w:val="24"/>
          <w:szCs w:val="24"/>
        </w:rPr>
        <w:t xml:space="preserve">rasileira </w:t>
      </w:r>
      <w:r w:rsidRPr="00D95641">
        <w:rPr>
          <w:rFonts w:ascii="Arial" w:hAnsi="Arial" w:cs="Arial"/>
          <w:b/>
          <w:bCs/>
          <w:sz w:val="24"/>
          <w:szCs w:val="24"/>
        </w:rPr>
        <w:t>R</w:t>
      </w:r>
      <w:r w:rsidRPr="00D95641">
        <w:rPr>
          <w:rFonts w:ascii="Arial" w:hAnsi="Arial" w:cs="Arial"/>
          <w:b/>
          <w:sz w:val="24"/>
          <w:szCs w:val="24"/>
        </w:rPr>
        <w:t>ecente</w:t>
      </w:r>
      <w:r>
        <w:rPr>
          <w:rFonts w:ascii="Arial" w:hAnsi="Arial" w:cs="Arial"/>
          <w:sz w:val="24"/>
          <w:szCs w:val="24"/>
        </w:rPr>
        <w:t>. Estudos Avançados 18 (50), São Paulo – SP. 2004.</w:t>
      </w:r>
    </w:p>
    <w:p w:rsidR="00C11A7A" w:rsidRDefault="00C11A7A" w:rsidP="00434258">
      <w:pPr>
        <w:autoSpaceDE w:val="0"/>
        <w:autoSpaceDN w:val="0"/>
        <w:adjustRightInd w:val="0"/>
        <w:spacing w:before="480" w:after="0" w:line="360" w:lineRule="auto"/>
        <w:ind w:firstLine="851"/>
        <w:jc w:val="both"/>
        <w:rPr>
          <w:rFonts w:ascii="Arial" w:hAnsi="Arial" w:cs="Arial"/>
          <w:sz w:val="24"/>
          <w:szCs w:val="24"/>
        </w:rPr>
      </w:pPr>
      <w:r>
        <w:rPr>
          <w:rFonts w:ascii="Arial" w:hAnsi="Arial" w:cs="Arial"/>
          <w:sz w:val="24"/>
          <w:szCs w:val="24"/>
        </w:rPr>
        <w:t xml:space="preserve">Ribeiro, Matilde. </w:t>
      </w:r>
      <w:r w:rsidRPr="00D95641">
        <w:rPr>
          <w:rFonts w:ascii="Arial" w:hAnsi="Arial" w:cs="Arial"/>
          <w:b/>
          <w:sz w:val="24"/>
          <w:szCs w:val="24"/>
        </w:rPr>
        <w:t>Mulheres Negras Brasileiras: de Bertioga a Beijing</w:t>
      </w:r>
      <w:r>
        <w:rPr>
          <w:rFonts w:ascii="Arial" w:hAnsi="Arial" w:cs="Arial"/>
          <w:sz w:val="24"/>
          <w:szCs w:val="24"/>
        </w:rPr>
        <w:t>. Estudos Feministas. Ano 03. São Paulo - SP . 2º semestre de 95.</w:t>
      </w:r>
    </w:p>
    <w:p w:rsidR="00C11A7A" w:rsidRDefault="00C11A7A" w:rsidP="00306BA0">
      <w:pPr>
        <w:autoSpaceDE w:val="0"/>
        <w:autoSpaceDN w:val="0"/>
        <w:adjustRightInd w:val="0"/>
        <w:spacing w:before="480" w:after="0" w:line="360" w:lineRule="auto"/>
        <w:ind w:firstLine="851"/>
        <w:jc w:val="both"/>
        <w:rPr>
          <w:rFonts w:ascii="Arial" w:hAnsi="Arial" w:cs="Arial"/>
          <w:sz w:val="24"/>
          <w:szCs w:val="24"/>
        </w:rPr>
      </w:pPr>
      <w:r>
        <w:rPr>
          <w:rFonts w:ascii="Arial" w:hAnsi="Arial" w:cs="Arial"/>
          <w:sz w:val="24"/>
          <w:szCs w:val="24"/>
        </w:rPr>
        <w:t xml:space="preserve">Secretaria de Educação continuada, Alfabetização e diversidade – SECAD. </w:t>
      </w:r>
      <w:r w:rsidRPr="00D95641">
        <w:rPr>
          <w:rFonts w:ascii="Arial" w:hAnsi="Arial" w:cs="Arial"/>
          <w:b/>
          <w:sz w:val="24"/>
          <w:szCs w:val="24"/>
        </w:rPr>
        <w:t>Orientações e ações para educação das relações étnico-Raciais</w:t>
      </w:r>
      <w:r>
        <w:rPr>
          <w:rFonts w:ascii="Arial" w:hAnsi="Arial" w:cs="Arial"/>
          <w:sz w:val="24"/>
          <w:szCs w:val="24"/>
        </w:rPr>
        <w:t>. Brasília - DF. 2006.</w:t>
      </w:r>
    </w:p>
    <w:p w:rsidR="00C11A7A" w:rsidRDefault="00C11A7A" w:rsidP="00306BA0">
      <w:pPr>
        <w:autoSpaceDE w:val="0"/>
        <w:autoSpaceDN w:val="0"/>
        <w:adjustRightInd w:val="0"/>
        <w:spacing w:before="480" w:after="0" w:line="360" w:lineRule="auto"/>
        <w:ind w:firstLine="851"/>
        <w:jc w:val="both"/>
        <w:rPr>
          <w:rFonts w:ascii="Arial" w:hAnsi="Arial" w:cs="Arial"/>
          <w:sz w:val="24"/>
          <w:szCs w:val="24"/>
        </w:rPr>
      </w:pPr>
      <w:r w:rsidRPr="00306BA0">
        <w:rPr>
          <w:rFonts w:ascii="Arial" w:hAnsi="Arial" w:cs="Arial"/>
          <w:iCs/>
          <w:sz w:val="24"/>
          <w:szCs w:val="24"/>
        </w:rPr>
        <w:lastRenderedPageBreak/>
        <w:t>Olinto, Maria Teresa Anselmo. Olinto, Beatriz Anselmo</w:t>
      </w:r>
      <w:r w:rsidRPr="00306BA0">
        <w:rPr>
          <w:rFonts w:ascii="Arial" w:hAnsi="Arial" w:cs="Arial"/>
          <w:i/>
          <w:iCs/>
          <w:sz w:val="24"/>
          <w:szCs w:val="24"/>
        </w:rPr>
        <w:t>.</w:t>
      </w:r>
      <w:r w:rsidRPr="00D95641">
        <w:rPr>
          <w:rFonts w:ascii="Arial" w:hAnsi="Arial" w:cs="Arial"/>
          <w:b/>
          <w:sz w:val="24"/>
          <w:szCs w:val="24"/>
        </w:rPr>
        <w:t>Raça e desigualdade entre as mulheres: um exemplo no sul do Brasil</w:t>
      </w:r>
      <w:r w:rsidRPr="00306BA0">
        <w:rPr>
          <w:rFonts w:ascii="Arial" w:hAnsi="Arial" w:cs="Arial"/>
          <w:sz w:val="24"/>
          <w:szCs w:val="24"/>
        </w:rPr>
        <w:t>. Cad. Saúde Pública, Rio de Janeiro, 16(4):1137-1142, out-dez, 2000</w:t>
      </w:r>
      <w:r>
        <w:rPr>
          <w:rFonts w:ascii="Arial" w:hAnsi="Arial" w:cs="Arial"/>
          <w:sz w:val="24"/>
          <w:szCs w:val="24"/>
        </w:rPr>
        <w:t>.</w:t>
      </w:r>
    </w:p>
    <w:p w:rsidR="00C11A7A" w:rsidRDefault="00C11A7A" w:rsidP="009C54A6">
      <w:pPr>
        <w:autoSpaceDE w:val="0"/>
        <w:autoSpaceDN w:val="0"/>
        <w:adjustRightInd w:val="0"/>
        <w:spacing w:before="480" w:after="0" w:line="360" w:lineRule="auto"/>
        <w:ind w:firstLine="851"/>
        <w:jc w:val="both"/>
        <w:rPr>
          <w:rFonts w:ascii="Arial" w:hAnsi="Arial" w:cs="Arial"/>
          <w:sz w:val="24"/>
          <w:szCs w:val="24"/>
        </w:rPr>
      </w:pPr>
      <w:r w:rsidRPr="00306BA0">
        <w:rPr>
          <w:rFonts w:ascii="Arial" w:hAnsi="Arial" w:cs="Arial"/>
          <w:bCs/>
          <w:sz w:val="24"/>
          <w:szCs w:val="24"/>
        </w:rPr>
        <w:t>Lima, Márcia,.</w:t>
      </w:r>
      <w:r w:rsidRPr="00D95641">
        <w:rPr>
          <w:rFonts w:ascii="Arial" w:hAnsi="Arial" w:cs="Arial"/>
          <w:b/>
          <w:sz w:val="24"/>
          <w:szCs w:val="24"/>
        </w:rPr>
        <w:t>Trajetória Educacional e Realização Socioeconômica das Mulheres Negras</w:t>
      </w:r>
      <w:r>
        <w:rPr>
          <w:rFonts w:ascii="Arial" w:hAnsi="Arial" w:cs="Arial"/>
          <w:sz w:val="24"/>
          <w:szCs w:val="24"/>
        </w:rPr>
        <w:t>. Estudos Feministas, 3º Ano.</w:t>
      </w:r>
      <w:r w:rsidRPr="00306BA0">
        <w:rPr>
          <w:rFonts w:ascii="Arial" w:hAnsi="Arial" w:cs="Arial"/>
          <w:sz w:val="24"/>
          <w:szCs w:val="24"/>
        </w:rPr>
        <w:t xml:space="preserve"> Paginas 489-495.  </w:t>
      </w:r>
      <w:r>
        <w:rPr>
          <w:rFonts w:ascii="Arial" w:hAnsi="Arial" w:cs="Arial"/>
          <w:sz w:val="24"/>
          <w:szCs w:val="24"/>
        </w:rPr>
        <w:t xml:space="preserve">2º </w:t>
      </w:r>
      <w:r w:rsidRPr="00306BA0">
        <w:rPr>
          <w:rFonts w:ascii="Arial" w:hAnsi="Arial" w:cs="Arial"/>
          <w:sz w:val="24"/>
          <w:szCs w:val="24"/>
        </w:rPr>
        <w:t xml:space="preserve">Semestre </w:t>
      </w:r>
      <w:r>
        <w:rPr>
          <w:rFonts w:ascii="Arial" w:hAnsi="Arial" w:cs="Arial"/>
          <w:sz w:val="24"/>
          <w:szCs w:val="24"/>
        </w:rPr>
        <w:t>19</w:t>
      </w:r>
      <w:r w:rsidRPr="00306BA0">
        <w:rPr>
          <w:rFonts w:ascii="Arial" w:hAnsi="Arial" w:cs="Arial"/>
          <w:sz w:val="24"/>
          <w:szCs w:val="24"/>
        </w:rPr>
        <w:t>95</w:t>
      </w:r>
      <w:r>
        <w:rPr>
          <w:rFonts w:ascii="Arial" w:hAnsi="Arial" w:cs="Arial"/>
          <w:sz w:val="24"/>
          <w:szCs w:val="24"/>
        </w:rPr>
        <w:t>.</w:t>
      </w:r>
    </w:p>
    <w:p w:rsidR="00C11A7A" w:rsidRDefault="00C11A7A" w:rsidP="00DF77B0">
      <w:pPr>
        <w:autoSpaceDE w:val="0"/>
        <w:autoSpaceDN w:val="0"/>
        <w:adjustRightInd w:val="0"/>
        <w:spacing w:before="480" w:after="0" w:line="360" w:lineRule="auto"/>
        <w:ind w:firstLine="851"/>
        <w:jc w:val="both"/>
        <w:rPr>
          <w:rFonts w:ascii="Arial" w:hAnsi="Arial" w:cs="Arial"/>
          <w:sz w:val="24"/>
          <w:szCs w:val="24"/>
        </w:rPr>
      </w:pPr>
      <w:r w:rsidRPr="009C54A6">
        <w:rPr>
          <w:rFonts w:ascii="Arial" w:hAnsi="Arial" w:cs="Arial"/>
          <w:sz w:val="24"/>
          <w:szCs w:val="24"/>
        </w:rPr>
        <w:t xml:space="preserve">Moehlecke, Sabrina. </w:t>
      </w:r>
      <w:r w:rsidRPr="00D95641">
        <w:rPr>
          <w:rFonts w:ascii="Arial" w:hAnsi="Arial" w:cs="Arial"/>
          <w:b/>
          <w:sz w:val="24"/>
          <w:szCs w:val="24"/>
        </w:rPr>
        <w:t>Ação Afirmativa: História e Debates No Brasil</w:t>
      </w:r>
      <w:r w:rsidRPr="009C54A6">
        <w:rPr>
          <w:rFonts w:ascii="Arial" w:hAnsi="Arial" w:cs="Arial"/>
          <w:sz w:val="24"/>
          <w:szCs w:val="24"/>
        </w:rPr>
        <w:t>. Cadernos de Pesquisa, n. 117, pag. 197-217/, Novembro/ 2002</w:t>
      </w:r>
      <w:r>
        <w:rPr>
          <w:rFonts w:ascii="Arial" w:hAnsi="Arial" w:cs="Arial"/>
          <w:sz w:val="24"/>
          <w:szCs w:val="24"/>
        </w:rPr>
        <w:t>.</w:t>
      </w:r>
    </w:p>
    <w:p w:rsidR="00C11A7A" w:rsidRDefault="00C11A7A" w:rsidP="00DF77B0">
      <w:pPr>
        <w:autoSpaceDE w:val="0"/>
        <w:autoSpaceDN w:val="0"/>
        <w:adjustRightInd w:val="0"/>
        <w:spacing w:before="480" w:after="0" w:line="360" w:lineRule="auto"/>
        <w:ind w:firstLine="851"/>
        <w:jc w:val="both"/>
        <w:rPr>
          <w:rFonts w:ascii="Arial" w:eastAsia="Univers" w:hAnsi="Arial" w:cs="Arial"/>
          <w:sz w:val="24"/>
          <w:szCs w:val="24"/>
        </w:rPr>
      </w:pPr>
      <w:r w:rsidRPr="009C54A6">
        <w:rPr>
          <w:rFonts w:ascii="Arial" w:eastAsia="Univers" w:hAnsi="Arial" w:cs="Arial"/>
          <w:bCs/>
          <w:sz w:val="24"/>
          <w:szCs w:val="24"/>
        </w:rPr>
        <w:t>Instituto Brasileiro de Geografia e Estatística – IBGE.</w:t>
      </w:r>
      <w:r w:rsidRPr="009C54A6">
        <w:rPr>
          <w:rFonts w:ascii="Arial" w:eastAsia="Univers" w:hAnsi="Arial" w:cs="Arial"/>
          <w:sz w:val="24"/>
          <w:szCs w:val="24"/>
        </w:rPr>
        <w:t xml:space="preserve"> Ministério do Planejamento, Orçamento e Gestão. </w:t>
      </w:r>
      <w:r w:rsidRPr="00D95641">
        <w:rPr>
          <w:rFonts w:ascii="Arial" w:eastAsia="Univers" w:hAnsi="Arial" w:cs="Arial"/>
          <w:b/>
          <w:bCs/>
          <w:sz w:val="24"/>
          <w:szCs w:val="24"/>
        </w:rPr>
        <w:t>Pesquisa Nacional por Amostra de Domicílios – PNAD 2011</w:t>
      </w:r>
      <w:r>
        <w:rPr>
          <w:rFonts w:ascii="Arial" w:eastAsia="Univers" w:hAnsi="Arial" w:cs="Arial"/>
          <w:bCs/>
          <w:sz w:val="24"/>
          <w:szCs w:val="24"/>
        </w:rPr>
        <w:t>.V</w:t>
      </w:r>
      <w:r w:rsidRPr="009C54A6">
        <w:rPr>
          <w:rFonts w:ascii="Arial" w:eastAsia="Univers" w:hAnsi="Arial" w:cs="Arial"/>
          <w:sz w:val="24"/>
          <w:szCs w:val="24"/>
        </w:rPr>
        <w:t>olume 31.Brasil. 2011.</w:t>
      </w:r>
    </w:p>
    <w:p w:rsidR="00C11A7A" w:rsidRDefault="00C11A7A" w:rsidP="00E73063">
      <w:pPr>
        <w:autoSpaceDE w:val="0"/>
        <w:autoSpaceDN w:val="0"/>
        <w:adjustRightInd w:val="0"/>
        <w:spacing w:before="480" w:line="360" w:lineRule="auto"/>
        <w:ind w:firstLine="851"/>
        <w:jc w:val="both"/>
        <w:rPr>
          <w:rFonts w:ascii="Arial" w:hAnsi="Arial" w:cs="Arial"/>
          <w:sz w:val="24"/>
          <w:szCs w:val="24"/>
        </w:rPr>
      </w:pPr>
      <w:r w:rsidRPr="00DF77B0">
        <w:rPr>
          <w:rFonts w:ascii="Arial" w:hAnsi="Arial" w:cs="Arial"/>
          <w:sz w:val="24"/>
          <w:szCs w:val="24"/>
        </w:rPr>
        <w:t>Campante, Filipe R.</w:t>
      </w:r>
      <w:r>
        <w:rPr>
          <w:rFonts w:ascii="Arial" w:hAnsi="Arial" w:cs="Arial"/>
          <w:sz w:val="24"/>
          <w:szCs w:val="24"/>
        </w:rPr>
        <w:t>;</w:t>
      </w:r>
      <w:r w:rsidRPr="00DF77B0">
        <w:rPr>
          <w:rFonts w:ascii="Arial" w:hAnsi="Arial" w:cs="Arial"/>
          <w:sz w:val="24"/>
          <w:szCs w:val="24"/>
        </w:rPr>
        <w:t xml:space="preserve"> Crespo, Anna R. V.</w:t>
      </w:r>
      <w:r>
        <w:rPr>
          <w:rFonts w:ascii="Arial" w:hAnsi="Arial" w:cs="Arial"/>
          <w:sz w:val="24"/>
          <w:szCs w:val="24"/>
        </w:rPr>
        <w:t>;</w:t>
      </w:r>
      <w:r w:rsidRPr="00DF77B0">
        <w:rPr>
          <w:rFonts w:ascii="Arial" w:hAnsi="Arial" w:cs="Arial"/>
          <w:sz w:val="24"/>
          <w:szCs w:val="24"/>
        </w:rPr>
        <w:t xml:space="preserve"> Leite, Phillippe G. P. G. </w:t>
      </w:r>
      <w:r w:rsidRPr="00D95641">
        <w:rPr>
          <w:rFonts w:ascii="Arial" w:hAnsi="Arial" w:cs="Arial"/>
          <w:b/>
          <w:sz w:val="24"/>
          <w:szCs w:val="24"/>
        </w:rPr>
        <w:t>Desigualdade Salarial entre Raças no Mercado de Trabalho Urbano Brasileiro: Aspectos Regionais.</w:t>
      </w:r>
      <w:r w:rsidRPr="00DF77B0">
        <w:rPr>
          <w:rFonts w:ascii="Arial" w:hAnsi="Arial" w:cs="Arial"/>
          <w:sz w:val="24"/>
          <w:szCs w:val="24"/>
        </w:rPr>
        <w:t>Revista brasileira de economia.</w:t>
      </w:r>
      <w:r>
        <w:rPr>
          <w:rFonts w:ascii="Arial" w:hAnsi="Arial" w:cs="Arial"/>
          <w:sz w:val="24"/>
          <w:szCs w:val="24"/>
        </w:rPr>
        <w:t xml:space="preserve">58 (2). Paginas </w:t>
      </w:r>
      <w:r w:rsidRPr="00DF77B0">
        <w:rPr>
          <w:rFonts w:ascii="Arial" w:hAnsi="Arial" w:cs="Arial"/>
          <w:sz w:val="24"/>
          <w:szCs w:val="24"/>
        </w:rPr>
        <w:t>185-210 Rio de Janeiro</w:t>
      </w:r>
      <w:r>
        <w:rPr>
          <w:rFonts w:ascii="Arial" w:hAnsi="Arial" w:cs="Arial"/>
          <w:sz w:val="24"/>
          <w:szCs w:val="24"/>
        </w:rPr>
        <w:t xml:space="preserve"> –RJ. </w:t>
      </w:r>
      <w:r w:rsidRPr="00DF77B0">
        <w:rPr>
          <w:rFonts w:ascii="Arial" w:hAnsi="Arial" w:cs="Arial"/>
          <w:sz w:val="24"/>
          <w:szCs w:val="24"/>
        </w:rPr>
        <w:t>A</w:t>
      </w:r>
      <w:r>
        <w:rPr>
          <w:rFonts w:ascii="Arial" w:hAnsi="Arial" w:cs="Arial"/>
          <w:sz w:val="24"/>
          <w:szCs w:val="24"/>
        </w:rPr>
        <w:t xml:space="preserve">bril </w:t>
      </w:r>
      <w:r w:rsidRPr="00DF77B0">
        <w:rPr>
          <w:rFonts w:ascii="Arial" w:hAnsi="Arial" w:cs="Arial"/>
          <w:sz w:val="24"/>
          <w:szCs w:val="24"/>
        </w:rPr>
        <w:t>/</w:t>
      </w:r>
      <w:r>
        <w:rPr>
          <w:rFonts w:ascii="Arial" w:hAnsi="Arial" w:cs="Arial"/>
          <w:sz w:val="24"/>
          <w:szCs w:val="24"/>
        </w:rPr>
        <w:t xml:space="preserve"> Junho - </w:t>
      </w:r>
      <w:r w:rsidRPr="00DF77B0">
        <w:rPr>
          <w:rFonts w:ascii="Arial" w:hAnsi="Arial" w:cs="Arial"/>
          <w:sz w:val="24"/>
          <w:szCs w:val="24"/>
        </w:rPr>
        <w:t>2004</w:t>
      </w:r>
      <w:r>
        <w:rPr>
          <w:rFonts w:ascii="Arial" w:hAnsi="Arial" w:cs="Arial"/>
          <w:sz w:val="24"/>
          <w:szCs w:val="24"/>
        </w:rPr>
        <w:t>.</w:t>
      </w:r>
    </w:p>
    <w:p w:rsidR="00C11A7A" w:rsidRDefault="00C11A7A" w:rsidP="00E73063">
      <w:pPr>
        <w:autoSpaceDE w:val="0"/>
        <w:autoSpaceDN w:val="0"/>
        <w:adjustRightInd w:val="0"/>
        <w:spacing w:before="240" w:line="360" w:lineRule="auto"/>
        <w:ind w:firstLine="851"/>
        <w:jc w:val="both"/>
        <w:rPr>
          <w:rFonts w:ascii="Arial" w:hAnsi="Arial" w:cs="Arial"/>
          <w:sz w:val="24"/>
          <w:szCs w:val="24"/>
          <w:lang w:eastAsia="pt-BR"/>
        </w:rPr>
      </w:pPr>
      <w:r w:rsidRPr="00E73063">
        <w:rPr>
          <w:rFonts w:ascii="Arial" w:hAnsi="Arial" w:cs="Arial"/>
          <w:bCs/>
          <w:sz w:val="24"/>
          <w:szCs w:val="24"/>
          <w:lang w:eastAsia="pt-BR"/>
        </w:rPr>
        <w:t xml:space="preserve">Theodor, Mário. </w:t>
      </w:r>
      <w:r w:rsidRPr="00D95641">
        <w:rPr>
          <w:rFonts w:ascii="Arial" w:hAnsi="Arial" w:cs="Arial"/>
          <w:b/>
          <w:bCs/>
          <w:sz w:val="24"/>
          <w:szCs w:val="24"/>
          <w:lang w:eastAsia="pt-BR"/>
        </w:rPr>
        <w:t>Questão Racial e Mercado de Trabalho no Brasil.</w:t>
      </w:r>
      <w:r w:rsidRPr="00E73063">
        <w:rPr>
          <w:rFonts w:ascii="Arial" w:hAnsi="Arial" w:cs="Arial"/>
          <w:bCs/>
          <w:sz w:val="24"/>
          <w:szCs w:val="24"/>
          <w:lang w:eastAsia="pt-BR"/>
        </w:rPr>
        <w:t xml:space="preserve"> Paginas 41-46. </w:t>
      </w:r>
      <w:r w:rsidRPr="00E73063">
        <w:rPr>
          <w:rFonts w:ascii="Arial" w:hAnsi="Arial" w:cs="Arial"/>
          <w:sz w:val="24"/>
          <w:szCs w:val="24"/>
          <w:lang w:eastAsia="pt-BR"/>
        </w:rPr>
        <w:t>População nas políticas públicas: gênero, geração e raça / Eduardo L. G. Rios-Neto (organizador), Comissão Nacional de População e Desenvolvimento -CNPD, Fundo de População das Nações Unidas -UNFPA, Brasília – DF,  2006.</w:t>
      </w:r>
    </w:p>
    <w:p w:rsidR="00C11A7A" w:rsidRPr="00CE59F7" w:rsidRDefault="00C11A7A" w:rsidP="00CE59F7">
      <w:pPr>
        <w:autoSpaceDE w:val="0"/>
        <w:autoSpaceDN w:val="0"/>
        <w:adjustRightInd w:val="0"/>
        <w:spacing w:before="240" w:line="360" w:lineRule="auto"/>
        <w:ind w:firstLine="851"/>
        <w:jc w:val="both"/>
        <w:rPr>
          <w:rFonts w:ascii="Arial" w:hAnsi="Arial" w:cs="Arial"/>
          <w:color w:val="777777"/>
          <w:sz w:val="20"/>
          <w:szCs w:val="20"/>
          <w:shd w:val="clear" w:color="auto" w:fill="FFFFFF"/>
        </w:rPr>
      </w:pPr>
      <w:r w:rsidRPr="00D95641">
        <w:rPr>
          <w:rFonts w:ascii="Arial" w:hAnsi="Arial" w:cs="Arial"/>
          <w:sz w:val="24"/>
          <w:szCs w:val="24"/>
          <w:shd w:val="clear" w:color="auto" w:fill="FFFFFF"/>
        </w:rPr>
        <w:t>Antônio Sérgio Alfredo Guimarães</w:t>
      </w:r>
      <w:r w:rsidRPr="00D95641">
        <w:rPr>
          <w:rFonts w:ascii="Arial" w:hAnsi="Arial" w:cs="Arial"/>
          <w:sz w:val="24"/>
          <w:szCs w:val="24"/>
        </w:rPr>
        <w:t>,</w:t>
      </w:r>
      <w:r w:rsidRPr="00D95641">
        <w:rPr>
          <w:rFonts w:ascii="Arial" w:hAnsi="Arial" w:cs="Arial"/>
          <w:b/>
          <w:bCs/>
          <w:sz w:val="24"/>
          <w:szCs w:val="24"/>
          <w:shd w:val="clear" w:color="auto" w:fill="FFFFFF"/>
        </w:rPr>
        <w:t xml:space="preserve"> Classes, raças e democracia,</w:t>
      </w:r>
      <w:r>
        <w:rPr>
          <w:rFonts w:ascii="Arial" w:hAnsi="Arial" w:cs="Arial"/>
          <w:b/>
          <w:bCs/>
          <w:sz w:val="24"/>
          <w:szCs w:val="24"/>
          <w:shd w:val="clear" w:color="auto" w:fill="FFFFFF"/>
        </w:rPr>
        <w:t xml:space="preserve"> </w:t>
      </w:r>
      <w:r w:rsidRPr="00D95641">
        <w:rPr>
          <w:rFonts w:ascii="Arial" w:hAnsi="Arial" w:cs="Arial"/>
          <w:sz w:val="24"/>
          <w:szCs w:val="24"/>
          <w:shd w:val="clear" w:color="auto" w:fill="FFFFFF"/>
        </w:rPr>
        <w:t>Editora 34, 2002</w:t>
      </w:r>
      <w:r>
        <w:rPr>
          <w:rFonts w:ascii="Arial" w:hAnsi="Arial" w:cs="Arial"/>
          <w:color w:val="777777"/>
          <w:sz w:val="20"/>
          <w:szCs w:val="20"/>
          <w:shd w:val="clear" w:color="auto" w:fill="FFFFFF"/>
        </w:rPr>
        <w:t>.</w:t>
      </w:r>
    </w:p>
    <w:sectPr w:rsidR="00C11A7A" w:rsidRPr="00CE59F7" w:rsidSect="00AF1DFD">
      <w:footerReference w:type="default" r:id="rId9"/>
      <w:pgSz w:w="11906" w:h="16838"/>
      <w:pgMar w:top="1702" w:right="1558"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5B" w:rsidRDefault="00FE085B" w:rsidP="00905010">
      <w:pPr>
        <w:spacing w:after="0" w:line="240" w:lineRule="auto"/>
      </w:pPr>
      <w:r>
        <w:separator/>
      </w:r>
    </w:p>
  </w:endnote>
  <w:endnote w:type="continuationSeparator" w:id="0">
    <w:p w:rsidR="00FE085B" w:rsidRDefault="00FE085B" w:rsidP="0090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7A" w:rsidRDefault="00FE085B">
    <w:pPr>
      <w:pStyle w:val="Rodap"/>
      <w:pBdr>
        <w:top w:val="single" w:sz="4" w:space="1" w:color="D9D9D9"/>
      </w:pBdr>
      <w:jc w:val="right"/>
    </w:pPr>
    <w:r>
      <w:fldChar w:fldCharType="begin"/>
    </w:r>
    <w:r>
      <w:instrText>PAGE   \* MERGEFORMAT</w:instrText>
    </w:r>
    <w:r>
      <w:fldChar w:fldCharType="separate"/>
    </w:r>
    <w:r w:rsidR="00BE301D">
      <w:rPr>
        <w:noProof/>
      </w:rPr>
      <w:t>11</w:t>
    </w:r>
    <w:r>
      <w:rPr>
        <w:noProof/>
      </w:rPr>
      <w:fldChar w:fldCharType="end"/>
    </w:r>
    <w:r w:rsidR="00C11A7A">
      <w:t xml:space="preserve"> | </w:t>
    </w:r>
    <w:r w:rsidR="00C11A7A">
      <w:rPr>
        <w:color w:val="808080"/>
        <w:spacing w:val="60"/>
      </w:rPr>
      <w:t>Página</w:t>
    </w:r>
  </w:p>
  <w:p w:rsidR="00C11A7A" w:rsidRDefault="00C11A7A" w:rsidP="00D70A7A">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5B" w:rsidRDefault="00FE085B" w:rsidP="00905010">
      <w:pPr>
        <w:spacing w:after="0" w:line="240" w:lineRule="auto"/>
      </w:pPr>
      <w:r>
        <w:separator/>
      </w:r>
    </w:p>
  </w:footnote>
  <w:footnote w:type="continuationSeparator" w:id="0">
    <w:p w:rsidR="00FE085B" w:rsidRDefault="00FE085B" w:rsidP="00905010">
      <w:pPr>
        <w:spacing w:after="0" w:line="240" w:lineRule="auto"/>
      </w:pPr>
      <w:r>
        <w:continuationSeparator/>
      </w:r>
    </w:p>
  </w:footnote>
  <w:footnote w:id="1">
    <w:p w:rsidR="00C11A7A" w:rsidRDefault="00C11A7A" w:rsidP="00D95641">
      <w:pPr>
        <w:pStyle w:val="Textodenotaderodap"/>
        <w:jc w:val="both"/>
      </w:pPr>
      <w:r>
        <w:rPr>
          <w:rStyle w:val="Refdenotaderodap"/>
        </w:rPr>
        <w:footnoteRef/>
      </w:r>
      <w:r>
        <w:t xml:space="preserve"> A </w:t>
      </w:r>
      <w:r w:rsidRPr="004D3DDA">
        <w:rPr>
          <w:rFonts w:ascii="Arial" w:hAnsi="Arial" w:cs="Arial"/>
        </w:rPr>
        <w:t>escravidão justificava-se na inferioridade dada pela cor, associada a moral e a capacidade intelectual do negro, considerada muito próxima a animalidade.</w:t>
      </w:r>
    </w:p>
  </w:footnote>
  <w:footnote w:id="2">
    <w:p w:rsidR="00C11A7A" w:rsidRDefault="00C11A7A" w:rsidP="00363E26">
      <w:pPr>
        <w:autoSpaceDE w:val="0"/>
        <w:autoSpaceDN w:val="0"/>
        <w:adjustRightInd w:val="0"/>
        <w:spacing w:after="0" w:line="240" w:lineRule="auto"/>
        <w:jc w:val="both"/>
      </w:pPr>
      <w:r>
        <w:rPr>
          <w:rStyle w:val="Refdenotaderodap"/>
        </w:rPr>
        <w:footnoteRef/>
      </w:r>
      <w:r w:rsidRPr="00363E26">
        <w:rPr>
          <w:sz w:val="20"/>
          <w:szCs w:val="20"/>
        </w:rPr>
        <w:t xml:space="preserve">A </w:t>
      </w:r>
      <w:r w:rsidRPr="00363E26">
        <w:rPr>
          <w:rFonts w:ascii="Arial" w:hAnsi="Arial" w:cs="Arial"/>
          <w:bCs/>
          <w:sz w:val="20"/>
          <w:szCs w:val="20"/>
        </w:rPr>
        <w:t xml:space="preserve">divisão sexual do trabalho </w:t>
      </w:r>
      <w:r w:rsidRPr="00363E26">
        <w:rPr>
          <w:rFonts w:ascii="Arial" w:hAnsi="Arial" w:cs="Arial"/>
          <w:sz w:val="20"/>
          <w:lang w:eastAsia="pt-BR"/>
        </w:rPr>
        <w:t>é uma categoria utilizada pelas Ciências Sociais para indicar que, em todas as</w:t>
      </w:r>
      <w:r>
        <w:rPr>
          <w:rFonts w:ascii="Arial" w:hAnsi="Arial" w:cs="Arial"/>
          <w:sz w:val="20"/>
          <w:lang w:eastAsia="pt-BR"/>
        </w:rPr>
        <w:t xml:space="preserve"> </w:t>
      </w:r>
      <w:r w:rsidRPr="00363E26">
        <w:rPr>
          <w:rFonts w:ascii="Arial" w:hAnsi="Arial" w:cs="Arial"/>
          <w:sz w:val="20"/>
          <w:lang w:eastAsia="pt-BR"/>
        </w:rPr>
        <w:t>sociedades, homens e mulheres realizam tarefas distintas. Entretanto, as tarefas atribuídas a cada sexo variam</w:t>
      </w:r>
      <w:r>
        <w:rPr>
          <w:rFonts w:ascii="Arial" w:hAnsi="Arial" w:cs="Arial"/>
          <w:sz w:val="20"/>
          <w:lang w:eastAsia="pt-BR"/>
        </w:rPr>
        <w:t xml:space="preserve"> </w:t>
      </w:r>
      <w:r w:rsidRPr="00363E26">
        <w:rPr>
          <w:rFonts w:ascii="Arial" w:hAnsi="Arial" w:cs="Arial"/>
          <w:sz w:val="20"/>
          <w:lang w:eastAsia="pt-BR"/>
        </w:rPr>
        <w:t>de cultura para cultura, ou ainda dentro da mesma cultura, de uma época para outra</w:t>
      </w:r>
      <w:r w:rsidRPr="009D46E6">
        <w:rPr>
          <w:rFonts w:ascii="Arial" w:hAnsi="Arial" w:cs="Arial"/>
          <w:sz w:val="20"/>
          <w:szCs w:val="24"/>
        </w:rPr>
        <w:t>(Guimarães, 2002).</w:t>
      </w:r>
    </w:p>
  </w:footnote>
  <w:footnote w:id="3">
    <w:p w:rsidR="00C11A7A" w:rsidRDefault="00C11A7A" w:rsidP="00D95641">
      <w:pPr>
        <w:pStyle w:val="Textodenotaderodap"/>
        <w:jc w:val="both"/>
      </w:pPr>
      <w:r>
        <w:rPr>
          <w:rStyle w:val="Refdenotaderodap"/>
        </w:rPr>
        <w:footnoteRef/>
      </w:r>
      <w:r>
        <w:t xml:space="preserve"> A Secretaria de Politicas para as Mulheres, a SPM é o primeiro órgão para as mulheres, em nível federal, com status de ministério, tem como função fomentar estratégias para o desenvolvimento de politicas para as mulheres e tem como atribuiçõespropor, coordenar e articular um conjunto de politicas públicas dirigidas à eliminação de todas as formas de discriminações.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199"/>
    <w:multiLevelType w:val="hybridMultilevel"/>
    <w:tmpl w:val="FB42C0AA"/>
    <w:lvl w:ilvl="0" w:tplc="40D461CA">
      <w:start w:val="1"/>
      <w:numFmt w:val="lowerLetter"/>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C9F"/>
    <w:rsid w:val="000025FE"/>
    <w:rsid w:val="0001769B"/>
    <w:rsid w:val="00030313"/>
    <w:rsid w:val="00033A92"/>
    <w:rsid w:val="0004182C"/>
    <w:rsid w:val="00043297"/>
    <w:rsid w:val="000701A0"/>
    <w:rsid w:val="000922D4"/>
    <w:rsid w:val="000A4AED"/>
    <w:rsid w:val="000C4A33"/>
    <w:rsid w:val="000C7A42"/>
    <w:rsid w:val="000E198B"/>
    <w:rsid w:val="000E44D6"/>
    <w:rsid w:val="001649F2"/>
    <w:rsid w:val="0017142C"/>
    <w:rsid w:val="00173176"/>
    <w:rsid w:val="00186EDF"/>
    <w:rsid w:val="00192BEA"/>
    <w:rsid w:val="001C28CD"/>
    <w:rsid w:val="001C4B2B"/>
    <w:rsid w:val="001D0895"/>
    <w:rsid w:val="001D76DD"/>
    <w:rsid w:val="001E02ED"/>
    <w:rsid w:val="001E09AB"/>
    <w:rsid w:val="0020567C"/>
    <w:rsid w:val="00207893"/>
    <w:rsid w:val="00222CB7"/>
    <w:rsid w:val="00240305"/>
    <w:rsid w:val="00271440"/>
    <w:rsid w:val="00285D50"/>
    <w:rsid w:val="002A1E8A"/>
    <w:rsid w:val="002C71EB"/>
    <w:rsid w:val="002D0B22"/>
    <w:rsid w:val="002E2F45"/>
    <w:rsid w:val="00306BA0"/>
    <w:rsid w:val="00312BDD"/>
    <w:rsid w:val="00321F87"/>
    <w:rsid w:val="00323CEB"/>
    <w:rsid w:val="0034041E"/>
    <w:rsid w:val="0035281B"/>
    <w:rsid w:val="00363E26"/>
    <w:rsid w:val="00377BAE"/>
    <w:rsid w:val="003821ED"/>
    <w:rsid w:val="003D76D7"/>
    <w:rsid w:val="003E660E"/>
    <w:rsid w:val="004175B4"/>
    <w:rsid w:val="004340EB"/>
    <w:rsid w:val="00434258"/>
    <w:rsid w:val="00454C25"/>
    <w:rsid w:val="0047166C"/>
    <w:rsid w:val="00480715"/>
    <w:rsid w:val="004D3DDA"/>
    <w:rsid w:val="004D447C"/>
    <w:rsid w:val="004F49DF"/>
    <w:rsid w:val="00500057"/>
    <w:rsid w:val="00516FF3"/>
    <w:rsid w:val="005405B1"/>
    <w:rsid w:val="00552438"/>
    <w:rsid w:val="00557BFE"/>
    <w:rsid w:val="0056779B"/>
    <w:rsid w:val="00573034"/>
    <w:rsid w:val="00577942"/>
    <w:rsid w:val="005836C1"/>
    <w:rsid w:val="005862C9"/>
    <w:rsid w:val="005B0BEF"/>
    <w:rsid w:val="005B4D1E"/>
    <w:rsid w:val="005C0C2B"/>
    <w:rsid w:val="005C524C"/>
    <w:rsid w:val="005D7620"/>
    <w:rsid w:val="00620099"/>
    <w:rsid w:val="00634A84"/>
    <w:rsid w:val="00637C9F"/>
    <w:rsid w:val="0066160B"/>
    <w:rsid w:val="00692AD4"/>
    <w:rsid w:val="006A18CD"/>
    <w:rsid w:val="006A467A"/>
    <w:rsid w:val="006A743C"/>
    <w:rsid w:val="006B1463"/>
    <w:rsid w:val="006C27A6"/>
    <w:rsid w:val="007028C9"/>
    <w:rsid w:val="00705DEC"/>
    <w:rsid w:val="007165FC"/>
    <w:rsid w:val="007276B4"/>
    <w:rsid w:val="00736C73"/>
    <w:rsid w:val="00746975"/>
    <w:rsid w:val="00747830"/>
    <w:rsid w:val="00751BA7"/>
    <w:rsid w:val="00755967"/>
    <w:rsid w:val="0079454A"/>
    <w:rsid w:val="007C06AB"/>
    <w:rsid w:val="007D6BD7"/>
    <w:rsid w:val="007F6191"/>
    <w:rsid w:val="00801735"/>
    <w:rsid w:val="00806900"/>
    <w:rsid w:val="00815364"/>
    <w:rsid w:val="00827273"/>
    <w:rsid w:val="008848AC"/>
    <w:rsid w:val="00891AA4"/>
    <w:rsid w:val="00892B9C"/>
    <w:rsid w:val="008E7D7E"/>
    <w:rsid w:val="00905010"/>
    <w:rsid w:val="00925249"/>
    <w:rsid w:val="00932C99"/>
    <w:rsid w:val="00944A72"/>
    <w:rsid w:val="0094781C"/>
    <w:rsid w:val="00956BED"/>
    <w:rsid w:val="00970773"/>
    <w:rsid w:val="009B6465"/>
    <w:rsid w:val="009C14B8"/>
    <w:rsid w:val="009C54A6"/>
    <w:rsid w:val="009C5AD8"/>
    <w:rsid w:val="009D46E6"/>
    <w:rsid w:val="00A14F6C"/>
    <w:rsid w:val="00A2597C"/>
    <w:rsid w:val="00A30D97"/>
    <w:rsid w:val="00A335E3"/>
    <w:rsid w:val="00A428DA"/>
    <w:rsid w:val="00A47F5B"/>
    <w:rsid w:val="00A53E45"/>
    <w:rsid w:val="00A55525"/>
    <w:rsid w:val="00A73ACF"/>
    <w:rsid w:val="00AA611C"/>
    <w:rsid w:val="00AB4D08"/>
    <w:rsid w:val="00AC1127"/>
    <w:rsid w:val="00AE0043"/>
    <w:rsid w:val="00AE1920"/>
    <w:rsid w:val="00AF1DFD"/>
    <w:rsid w:val="00B32D25"/>
    <w:rsid w:val="00B43724"/>
    <w:rsid w:val="00B51A54"/>
    <w:rsid w:val="00B707EF"/>
    <w:rsid w:val="00B947C3"/>
    <w:rsid w:val="00B97535"/>
    <w:rsid w:val="00BC2BB2"/>
    <w:rsid w:val="00BE301D"/>
    <w:rsid w:val="00BE51BD"/>
    <w:rsid w:val="00BF1140"/>
    <w:rsid w:val="00BF12D8"/>
    <w:rsid w:val="00C11A7A"/>
    <w:rsid w:val="00C239E8"/>
    <w:rsid w:val="00C263E3"/>
    <w:rsid w:val="00C325B3"/>
    <w:rsid w:val="00C77983"/>
    <w:rsid w:val="00C96B62"/>
    <w:rsid w:val="00CB1BC8"/>
    <w:rsid w:val="00CD4F84"/>
    <w:rsid w:val="00CE59F7"/>
    <w:rsid w:val="00CE5D79"/>
    <w:rsid w:val="00CF39E6"/>
    <w:rsid w:val="00D03B04"/>
    <w:rsid w:val="00D125A5"/>
    <w:rsid w:val="00D22BE8"/>
    <w:rsid w:val="00D32932"/>
    <w:rsid w:val="00D34659"/>
    <w:rsid w:val="00D4651C"/>
    <w:rsid w:val="00D70A7A"/>
    <w:rsid w:val="00D95641"/>
    <w:rsid w:val="00DA6ACF"/>
    <w:rsid w:val="00DA7DD6"/>
    <w:rsid w:val="00DB1831"/>
    <w:rsid w:val="00DE1FE7"/>
    <w:rsid w:val="00DE409A"/>
    <w:rsid w:val="00DF288F"/>
    <w:rsid w:val="00DF5D4A"/>
    <w:rsid w:val="00DF77B0"/>
    <w:rsid w:val="00E14479"/>
    <w:rsid w:val="00E3067E"/>
    <w:rsid w:val="00E32ADF"/>
    <w:rsid w:val="00E40D08"/>
    <w:rsid w:val="00E40F28"/>
    <w:rsid w:val="00E510D4"/>
    <w:rsid w:val="00E61468"/>
    <w:rsid w:val="00E73063"/>
    <w:rsid w:val="00E73D3F"/>
    <w:rsid w:val="00E804B8"/>
    <w:rsid w:val="00E82F15"/>
    <w:rsid w:val="00E8300F"/>
    <w:rsid w:val="00EB1839"/>
    <w:rsid w:val="00EB5BB9"/>
    <w:rsid w:val="00EC7AF3"/>
    <w:rsid w:val="00F41782"/>
    <w:rsid w:val="00F508CF"/>
    <w:rsid w:val="00F5482C"/>
    <w:rsid w:val="00F55385"/>
    <w:rsid w:val="00F5593E"/>
    <w:rsid w:val="00F67D83"/>
    <w:rsid w:val="00F871B0"/>
    <w:rsid w:val="00FA7EC8"/>
    <w:rsid w:val="00FB3952"/>
    <w:rsid w:val="00FD2C9B"/>
    <w:rsid w:val="00FE08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7C9F"/>
    <w:pPr>
      <w:spacing w:after="200" w:line="276" w:lineRule="auto"/>
    </w:pPr>
    <w:rPr>
      <w:sz w:val="22"/>
      <w:szCs w:val="22"/>
      <w:lang w:eastAsia="en-US"/>
    </w:rPr>
  </w:style>
  <w:style w:type="paragraph" w:styleId="Ttulo1">
    <w:name w:val="heading 1"/>
    <w:basedOn w:val="Normal"/>
    <w:next w:val="Normal"/>
    <w:link w:val="Ttulo1Char"/>
    <w:uiPriority w:val="99"/>
    <w:qFormat/>
    <w:rsid w:val="00751BA7"/>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751BA7"/>
    <w:rPr>
      <w:rFonts w:ascii="Cambria" w:hAnsi="Cambria" w:cs="Times New Roman"/>
      <w:b/>
      <w:bCs/>
      <w:color w:val="365F91"/>
      <w:sz w:val="28"/>
      <w:szCs w:val="28"/>
    </w:rPr>
  </w:style>
  <w:style w:type="paragraph" w:styleId="NormalWeb">
    <w:name w:val="Normal (Web)"/>
    <w:basedOn w:val="Normal"/>
    <w:uiPriority w:val="99"/>
    <w:rsid w:val="00C263E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uiPriority w:val="99"/>
    <w:rsid w:val="00C263E3"/>
    <w:rPr>
      <w:rFonts w:cs="Times New Roman"/>
    </w:rPr>
  </w:style>
  <w:style w:type="paragraph" w:customStyle="1" w:styleId="Default">
    <w:name w:val="Default"/>
    <w:uiPriority w:val="99"/>
    <w:rsid w:val="00751BA7"/>
    <w:pPr>
      <w:autoSpaceDE w:val="0"/>
      <w:autoSpaceDN w:val="0"/>
      <w:adjustRightInd w:val="0"/>
    </w:pPr>
    <w:rPr>
      <w:rFonts w:ascii="Verdana" w:hAnsi="Verdana" w:cs="Verdana"/>
      <w:color w:val="000000"/>
      <w:sz w:val="24"/>
      <w:szCs w:val="24"/>
      <w:lang w:eastAsia="en-US"/>
    </w:rPr>
  </w:style>
  <w:style w:type="table" w:styleId="SombreamentoMdio2">
    <w:name w:val="Medium Shading 2"/>
    <w:basedOn w:val="Tabelanormal"/>
    <w:uiPriority w:val="99"/>
    <w:rsid w:val="00751BA7"/>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rsid w:val="00E32ADF"/>
    <w:rPr>
      <w:rFonts w:cs="Times New Roman"/>
      <w:color w:val="0000FF"/>
      <w:u w:val="single"/>
    </w:rPr>
  </w:style>
  <w:style w:type="paragraph" w:styleId="Textodebalo">
    <w:name w:val="Balloon Text"/>
    <w:basedOn w:val="Normal"/>
    <w:link w:val="TextodebaloChar"/>
    <w:uiPriority w:val="99"/>
    <w:semiHidden/>
    <w:rsid w:val="00DF288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DF288F"/>
    <w:rPr>
      <w:rFonts w:ascii="Tahoma" w:hAnsi="Tahoma" w:cs="Tahoma"/>
      <w:sz w:val="16"/>
      <w:szCs w:val="16"/>
    </w:rPr>
  </w:style>
  <w:style w:type="paragraph" w:styleId="CabealhodoSumrio">
    <w:name w:val="TOC Heading"/>
    <w:basedOn w:val="Ttulo1"/>
    <w:next w:val="Normal"/>
    <w:uiPriority w:val="99"/>
    <w:qFormat/>
    <w:rsid w:val="00434258"/>
    <w:pPr>
      <w:outlineLvl w:val="9"/>
    </w:pPr>
    <w:rPr>
      <w:lang w:eastAsia="pt-BR"/>
    </w:rPr>
  </w:style>
  <w:style w:type="paragraph" w:styleId="Sumrio1">
    <w:name w:val="toc 1"/>
    <w:basedOn w:val="Normal"/>
    <w:next w:val="Normal"/>
    <w:autoRedefine/>
    <w:uiPriority w:val="99"/>
    <w:rsid w:val="00434258"/>
    <w:pPr>
      <w:spacing w:after="100"/>
    </w:pPr>
  </w:style>
  <w:style w:type="paragraph" w:styleId="Sumrio2">
    <w:name w:val="toc 2"/>
    <w:basedOn w:val="Normal"/>
    <w:next w:val="Normal"/>
    <w:autoRedefine/>
    <w:uiPriority w:val="99"/>
    <w:semiHidden/>
    <w:rsid w:val="00434258"/>
    <w:pPr>
      <w:spacing w:after="100"/>
      <w:ind w:left="220"/>
    </w:pPr>
    <w:rPr>
      <w:rFonts w:eastAsia="Times New Roman"/>
      <w:lang w:eastAsia="pt-BR"/>
    </w:rPr>
  </w:style>
  <w:style w:type="paragraph" w:styleId="Sumrio3">
    <w:name w:val="toc 3"/>
    <w:basedOn w:val="Normal"/>
    <w:next w:val="Normal"/>
    <w:autoRedefine/>
    <w:uiPriority w:val="99"/>
    <w:semiHidden/>
    <w:rsid w:val="00434258"/>
    <w:pPr>
      <w:spacing w:after="100"/>
      <w:ind w:left="440"/>
    </w:pPr>
    <w:rPr>
      <w:rFonts w:eastAsia="Times New Roman"/>
      <w:lang w:eastAsia="pt-BR"/>
    </w:rPr>
  </w:style>
  <w:style w:type="table" w:styleId="Tabelacomgrade">
    <w:name w:val="Table Grid"/>
    <w:basedOn w:val="Tabelanormal"/>
    <w:uiPriority w:val="99"/>
    <w:rsid w:val="00E73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99"/>
    <w:rsid w:val="001D0895"/>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nfase">
    <w:name w:val="Emphasis"/>
    <w:uiPriority w:val="99"/>
    <w:qFormat/>
    <w:locked/>
    <w:rsid w:val="0047166C"/>
    <w:rPr>
      <w:rFonts w:cs="Times New Roman"/>
      <w:i/>
      <w:iCs/>
    </w:rPr>
  </w:style>
  <w:style w:type="paragraph" w:styleId="Textodenotadefim">
    <w:name w:val="endnote text"/>
    <w:basedOn w:val="Normal"/>
    <w:link w:val="TextodenotadefimChar"/>
    <w:uiPriority w:val="99"/>
    <w:semiHidden/>
    <w:rsid w:val="00905010"/>
    <w:pPr>
      <w:spacing w:after="0" w:line="240" w:lineRule="auto"/>
    </w:pPr>
    <w:rPr>
      <w:sz w:val="20"/>
      <w:szCs w:val="20"/>
    </w:rPr>
  </w:style>
  <w:style w:type="character" w:customStyle="1" w:styleId="TextodenotadefimChar">
    <w:name w:val="Texto de nota de fim Char"/>
    <w:link w:val="Textodenotadefim"/>
    <w:uiPriority w:val="99"/>
    <w:semiHidden/>
    <w:locked/>
    <w:rsid w:val="00905010"/>
    <w:rPr>
      <w:rFonts w:cs="Times New Roman"/>
      <w:sz w:val="20"/>
      <w:szCs w:val="20"/>
      <w:lang w:eastAsia="en-US"/>
    </w:rPr>
  </w:style>
  <w:style w:type="character" w:styleId="Refdenotadefim">
    <w:name w:val="endnote reference"/>
    <w:uiPriority w:val="99"/>
    <w:semiHidden/>
    <w:rsid w:val="00905010"/>
    <w:rPr>
      <w:rFonts w:cs="Times New Roman"/>
      <w:vertAlign w:val="superscript"/>
    </w:rPr>
  </w:style>
  <w:style w:type="paragraph" w:styleId="Textodenotaderodap">
    <w:name w:val="footnote text"/>
    <w:basedOn w:val="Normal"/>
    <w:link w:val="TextodenotaderodapChar"/>
    <w:uiPriority w:val="99"/>
    <w:semiHidden/>
    <w:rsid w:val="00905010"/>
    <w:pPr>
      <w:spacing w:after="0" w:line="240" w:lineRule="auto"/>
    </w:pPr>
    <w:rPr>
      <w:sz w:val="20"/>
      <w:szCs w:val="20"/>
    </w:rPr>
  </w:style>
  <w:style w:type="character" w:customStyle="1" w:styleId="TextodenotaderodapChar">
    <w:name w:val="Texto de nota de rodapé Char"/>
    <w:link w:val="Textodenotaderodap"/>
    <w:uiPriority w:val="99"/>
    <w:semiHidden/>
    <w:locked/>
    <w:rsid w:val="00905010"/>
    <w:rPr>
      <w:rFonts w:cs="Times New Roman"/>
      <w:sz w:val="20"/>
      <w:szCs w:val="20"/>
      <w:lang w:eastAsia="en-US"/>
    </w:rPr>
  </w:style>
  <w:style w:type="character" w:styleId="Refdenotaderodap">
    <w:name w:val="footnote reference"/>
    <w:uiPriority w:val="99"/>
    <w:semiHidden/>
    <w:rsid w:val="00905010"/>
    <w:rPr>
      <w:rFonts w:cs="Times New Roman"/>
      <w:vertAlign w:val="superscript"/>
    </w:rPr>
  </w:style>
  <w:style w:type="table" w:styleId="ListaMdia1">
    <w:name w:val="Medium List 1"/>
    <w:basedOn w:val="Tabelanormal"/>
    <w:uiPriority w:val="99"/>
    <w:rsid w:val="005B4D1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SombreamentoClaro-nfase6">
    <w:name w:val="Light Shading Accent 6"/>
    <w:basedOn w:val="Tabelanormal"/>
    <w:uiPriority w:val="99"/>
    <w:rsid w:val="005B4D1E"/>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Cabealho">
    <w:name w:val="header"/>
    <w:basedOn w:val="Normal"/>
    <w:link w:val="CabealhoChar"/>
    <w:uiPriority w:val="99"/>
    <w:rsid w:val="007276B4"/>
    <w:pPr>
      <w:tabs>
        <w:tab w:val="center" w:pos="4252"/>
        <w:tab w:val="right" w:pos="8504"/>
      </w:tabs>
      <w:spacing w:after="0" w:line="240" w:lineRule="auto"/>
    </w:pPr>
  </w:style>
  <w:style w:type="character" w:customStyle="1" w:styleId="CabealhoChar">
    <w:name w:val="Cabeçalho Char"/>
    <w:link w:val="Cabealho"/>
    <w:uiPriority w:val="99"/>
    <w:locked/>
    <w:rsid w:val="007276B4"/>
    <w:rPr>
      <w:rFonts w:cs="Times New Roman"/>
      <w:lang w:eastAsia="en-US"/>
    </w:rPr>
  </w:style>
  <w:style w:type="paragraph" w:styleId="Rodap">
    <w:name w:val="footer"/>
    <w:basedOn w:val="Normal"/>
    <w:link w:val="RodapChar"/>
    <w:uiPriority w:val="99"/>
    <w:rsid w:val="007276B4"/>
    <w:pPr>
      <w:tabs>
        <w:tab w:val="center" w:pos="4252"/>
        <w:tab w:val="right" w:pos="8504"/>
      </w:tabs>
      <w:spacing w:after="0" w:line="240" w:lineRule="auto"/>
    </w:pPr>
  </w:style>
  <w:style w:type="character" w:customStyle="1" w:styleId="RodapChar">
    <w:name w:val="Rodapé Char"/>
    <w:link w:val="Rodap"/>
    <w:uiPriority w:val="99"/>
    <w:locked/>
    <w:rsid w:val="007276B4"/>
    <w:rPr>
      <w:rFonts w:cs="Times New Roman"/>
      <w:lang w:eastAsia="en-US"/>
    </w:rPr>
  </w:style>
  <w:style w:type="paragraph" w:styleId="SemEspaamento">
    <w:name w:val="No Spacing"/>
    <w:link w:val="SemEspaamentoChar"/>
    <w:uiPriority w:val="99"/>
    <w:qFormat/>
    <w:rsid w:val="00A53E45"/>
    <w:rPr>
      <w:rFonts w:eastAsia="Times New Roman"/>
      <w:sz w:val="22"/>
      <w:szCs w:val="22"/>
    </w:rPr>
  </w:style>
  <w:style w:type="character" w:customStyle="1" w:styleId="SemEspaamentoChar">
    <w:name w:val="Sem Espaçamento Char"/>
    <w:link w:val="SemEspaamento"/>
    <w:uiPriority w:val="99"/>
    <w:locked/>
    <w:rsid w:val="00A53E45"/>
    <w:rPr>
      <w:rFonts w:eastAsia="Times New Roman" w:cs="Times New Roman"/>
      <w:sz w:val="22"/>
      <w:szCs w:val="22"/>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78118">
      <w:marLeft w:val="0"/>
      <w:marRight w:val="0"/>
      <w:marTop w:val="0"/>
      <w:marBottom w:val="0"/>
      <w:divBdr>
        <w:top w:val="none" w:sz="0" w:space="0" w:color="auto"/>
        <w:left w:val="none" w:sz="0" w:space="0" w:color="auto"/>
        <w:bottom w:val="none" w:sz="0" w:space="0" w:color="auto"/>
        <w:right w:val="none" w:sz="0" w:space="0" w:color="auto"/>
      </w:divBdr>
    </w:div>
    <w:div w:id="1138378122">
      <w:marLeft w:val="0"/>
      <w:marRight w:val="0"/>
      <w:marTop w:val="0"/>
      <w:marBottom w:val="0"/>
      <w:divBdr>
        <w:top w:val="none" w:sz="0" w:space="0" w:color="auto"/>
        <w:left w:val="none" w:sz="0" w:space="0" w:color="auto"/>
        <w:bottom w:val="none" w:sz="0" w:space="0" w:color="auto"/>
        <w:right w:val="none" w:sz="0" w:space="0" w:color="auto"/>
      </w:divBdr>
    </w:div>
    <w:div w:id="1138378124">
      <w:marLeft w:val="0"/>
      <w:marRight w:val="0"/>
      <w:marTop w:val="0"/>
      <w:marBottom w:val="0"/>
      <w:divBdr>
        <w:top w:val="none" w:sz="0" w:space="0" w:color="auto"/>
        <w:left w:val="none" w:sz="0" w:space="0" w:color="auto"/>
        <w:bottom w:val="none" w:sz="0" w:space="0" w:color="auto"/>
        <w:right w:val="none" w:sz="0" w:space="0" w:color="auto"/>
      </w:divBdr>
      <w:divsChild>
        <w:div w:id="1138378117">
          <w:marLeft w:val="720"/>
          <w:marRight w:val="720"/>
          <w:marTop w:val="100"/>
          <w:marBottom w:val="100"/>
          <w:divBdr>
            <w:top w:val="none" w:sz="0" w:space="0" w:color="auto"/>
            <w:left w:val="none" w:sz="0" w:space="0" w:color="auto"/>
            <w:bottom w:val="none" w:sz="0" w:space="0" w:color="auto"/>
            <w:right w:val="none" w:sz="0" w:space="0" w:color="auto"/>
          </w:divBdr>
        </w:div>
        <w:div w:id="1138378119">
          <w:marLeft w:val="720"/>
          <w:marRight w:val="720"/>
          <w:marTop w:val="100"/>
          <w:marBottom w:val="100"/>
          <w:divBdr>
            <w:top w:val="none" w:sz="0" w:space="0" w:color="auto"/>
            <w:left w:val="none" w:sz="0" w:space="0" w:color="auto"/>
            <w:bottom w:val="none" w:sz="0" w:space="0" w:color="auto"/>
            <w:right w:val="none" w:sz="0" w:space="0" w:color="auto"/>
          </w:divBdr>
        </w:div>
        <w:div w:id="1138378120">
          <w:marLeft w:val="720"/>
          <w:marRight w:val="720"/>
          <w:marTop w:val="100"/>
          <w:marBottom w:val="100"/>
          <w:divBdr>
            <w:top w:val="none" w:sz="0" w:space="0" w:color="auto"/>
            <w:left w:val="none" w:sz="0" w:space="0" w:color="auto"/>
            <w:bottom w:val="none" w:sz="0" w:space="0" w:color="auto"/>
            <w:right w:val="none" w:sz="0" w:space="0" w:color="auto"/>
          </w:divBdr>
        </w:div>
        <w:div w:id="1138378121">
          <w:marLeft w:val="720"/>
          <w:marRight w:val="720"/>
          <w:marTop w:val="100"/>
          <w:marBottom w:val="100"/>
          <w:divBdr>
            <w:top w:val="none" w:sz="0" w:space="0" w:color="auto"/>
            <w:left w:val="none" w:sz="0" w:space="0" w:color="auto"/>
            <w:bottom w:val="none" w:sz="0" w:space="0" w:color="auto"/>
            <w:right w:val="none" w:sz="0" w:space="0" w:color="auto"/>
          </w:divBdr>
        </w:div>
        <w:div w:id="113837812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3115</Words>
  <Characters>16823</Characters>
  <Application>Microsoft Office Word</Application>
  <DocSecurity>0</DocSecurity>
  <Lines>140</Lines>
  <Paragraphs>39</Paragraphs>
  <ScaleCrop>false</ScaleCrop>
  <Company/>
  <LinksUpToDate>false</LinksUpToDate>
  <CharactersWithSpaces>19899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FERREIRA DOS SANTOS</dc:title>
  <dc:subject/>
  <dc:creator>Daniel</dc:creator>
  <cp:keywords/>
  <dc:description/>
  <cp:lastModifiedBy>Daniel</cp:lastModifiedBy>
  <cp:revision>17</cp:revision>
  <cp:lastPrinted>2013-03-11T12:47:00Z</cp:lastPrinted>
  <dcterms:created xsi:type="dcterms:W3CDTF">2013-03-14T15:33:00Z</dcterms:created>
  <dcterms:modified xsi:type="dcterms:W3CDTF">2015-02-24T22:23:00Z</dcterms:modified>
</cp:coreProperties>
</file>