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02" w:rsidRPr="00A01B02" w:rsidRDefault="00D53C02" w:rsidP="007E5E4D">
      <w:pPr>
        <w:autoSpaceDE w:val="0"/>
        <w:autoSpaceDN w:val="0"/>
        <w:adjustRightInd w:val="0"/>
        <w:spacing w:after="120" w:line="360" w:lineRule="auto"/>
        <w:jc w:val="center"/>
        <w:rPr>
          <w:rFonts w:ascii="Times New Roman" w:hAnsi="Times New Roman" w:cs="Times New Roman"/>
          <w:b/>
          <w:bCs/>
          <w:sz w:val="28"/>
          <w:szCs w:val="24"/>
        </w:rPr>
      </w:pPr>
      <w:r w:rsidRPr="00A01B02">
        <w:rPr>
          <w:rFonts w:ascii="Times New Roman" w:hAnsi="Times New Roman" w:cs="Times New Roman"/>
          <w:b/>
          <w:bCs/>
          <w:sz w:val="28"/>
          <w:szCs w:val="24"/>
        </w:rPr>
        <w:t xml:space="preserve">EXECUÇÃO E CUMPRIMENTO DE SENTENÇA POR QUANTIA CERTA CONTRA DEVEDOR SOLVENTE: </w:t>
      </w:r>
      <w:r w:rsidRPr="00A01B02">
        <w:rPr>
          <w:rFonts w:ascii="Times New Roman" w:hAnsi="Times New Roman" w:cs="Times New Roman"/>
          <w:bCs/>
          <w:sz w:val="28"/>
          <w:szCs w:val="24"/>
        </w:rPr>
        <w:t>DIVERGÊNCIA ENTRE AS DISPOSIÇÕES DA LEI 11.232/05 E ARTIGO 732 DO CÓDIGO DE PROCESSO CIVIL</w:t>
      </w:r>
      <w:r>
        <w:rPr>
          <w:rFonts w:ascii="Times New Roman" w:hAnsi="Times New Roman" w:cs="Times New Roman"/>
          <w:bCs/>
          <w:sz w:val="28"/>
          <w:szCs w:val="24"/>
        </w:rPr>
        <w:t>¹</w:t>
      </w:r>
    </w:p>
    <w:p w:rsidR="00D53C02" w:rsidRPr="00CA0D7E" w:rsidRDefault="00D53C02" w:rsidP="007E5E4D">
      <w:pPr>
        <w:autoSpaceDE w:val="0"/>
        <w:autoSpaceDN w:val="0"/>
        <w:adjustRightInd w:val="0"/>
        <w:spacing w:after="120" w:line="360" w:lineRule="auto"/>
        <w:jc w:val="center"/>
        <w:rPr>
          <w:rFonts w:ascii="Times New Roman" w:hAnsi="Times New Roman" w:cs="Times New Roman"/>
          <w:b/>
          <w:bCs/>
          <w:sz w:val="24"/>
          <w:szCs w:val="24"/>
        </w:rPr>
      </w:pPr>
    </w:p>
    <w:p w:rsidR="00D53C02" w:rsidRPr="000A592F" w:rsidRDefault="00D53C02" w:rsidP="007E5E4D">
      <w:pPr>
        <w:autoSpaceDE w:val="0"/>
        <w:autoSpaceDN w:val="0"/>
        <w:adjustRightInd w:val="0"/>
        <w:spacing w:after="120" w:line="360" w:lineRule="auto"/>
        <w:jc w:val="right"/>
        <w:rPr>
          <w:rFonts w:ascii="Times New Roman" w:hAnsi="Times New Roman" w:cs="Times New Roman"/>
          <w:bCs/>
          <w:i/>
          <w:sz w:val="24"/>
          <w:szCs w:val="24"/>
        </w:rPr>
      </w:pPr>
      <w:r w:rsidRPr="000A592F">
        <w:rPr>
          <w:rFonts w:ascii="Times New Roman" w:hAnsi="Times New Roman" w:cs="Times New Roman"/>
          <w:bCs/>
          <w:i/>
          <w:sz w:val="24"/>
          <w:szCs w:val="24"/>
        </w:rPr>
        <w:t>Laís Raposo Borges Lopes²</w:t>
      </w:r>
    </w:p>
    <w:p w:rsidR="00D53C02" w:rsidRPr="000A592F" w:rsidRDefault="00D53C02" w:rsidP="007E5E4D">
      <w:pPr>
        <w:autoSpaceDE w:val="0"/>
        <w:autoSpaceDN w:val="0"/>
        <w:adjustRightInd w:val="0"/>
        <w:spacing w:after="120" w:line="360" w:lineRule="auto"/>
        <w:jc w:val="right"/>
        <w:rPr>
          <w:rFonts w:ascii="Times New Roman" w:hAnsi="Times New Roman" w:cs="Times New Roman"/>
          <w:bCs/>
          <w:i/>
          <w:sz w:val="24"/>
          <w:szCs w:val="24"/>
        </w:rPr>
      </w:pPr>
      <w:r w:rsidRPr="000A592F">
        <w:rPr>
          <w:rFonts w:ascii="Times New Roman" w:hAnsi="Times New Roman" w:cs="Times New Roman"/>
          <w:bCs/>
          <w:i/>
          <w:sz w:val="24"/>
          <w:szCs w:val="24"/>
        </w:rPr>
        <w:t>Larissa Silva Almeida²</w:t>
      </w:r>
    </w:p>
    <w:p w:rsidR="00D53C02" w:rsidRPr="000A592F" w:rsidRDefault="00D53C02" w:rsidP="007E5E4D">
      <w:pPr>
        <w:autoSpaceDE w:val="0"/>
        <w:autoSpaceDN w:val="0"/>
        <w:adjustRightInd w:val="0"/>
        <w:spacing w:after="120" w:line="360" w:lineRule="auto"/>
        <w:jc w:val="right"/>
        <w:rPr>
          <w:rFonts w:ascii="Times New Roman" w:hAnsi="Times New Roman" w:cs="Times New Roman"/>
          <w:bCs/>
          <w:i/>
          <w:sz w:val="24"/>
          <w:szCs w:val="24"/>
        </w:rPr>
      </w:pPr>
      <w:r w:rsidRPr="000A592F">
        <w:rPr>
          <w:rFonts w:ascii="Times New Roman" w:hAnsi="Times New Roman" w:cs="Times New Roman"/>
          <w:bCs/>
          <w:i/>
          <w:sz w:val="24"/>
          <w:szCs w:val="24"/>
        </w:rPr>
        <w:t>Christian Barros³</w:t>
      </w:r>
    </w:p>
    <w:p w:rsidR="00D53C02" w:rsidRDefault="00D53C02" w:rsidP="007E5E4D">
      <w:pPr>
        <w:autoSpaceDE w:val="0"/>
        <w:autoSpaceDN w:val="0"/>
        <w:adjustRightInd w:val="0"/>
        <w:spacing w:after="120" w:line="360" w:lineRule="auto"/>
        <w:jc w:val="right"/>
        <w:rPr>
          <w:rFonts w:ascii="Times New Roman" w:hAnsi="Times New Roman" w:cs="Times New Roman"/>
          <w:bCs/>
          <w:i/>
          <w:sz w:val="24"/>
          <w:szCs w:val="24"/>
        </w:rPr>
      </w:pPr>
    </w:p>
    <w:p w:rsidR="00D53C02" w:rsidRPr="00D53C02" w:rsidRDefault="00D53C02" w:rsidP="007E5E4D">
      <w:pPr>
        <w:pStyle w:val="Estilopadro"/>
        <w:spacing w:after="120" w:line="240" w:lineRule="auto"/>
        <w:ind w:left="2268"/>
        <w:jc w:val="both"/>
        <w:rPr>
          <w:sz w:val="20"/>
          <w:szCs w:val="20"/>
        </w:rPr>
      </w:pPr>
      <w:r w:rsidRPr="00D53C02">
        <w:rPr>
          <w:rFonts w:ascii="Times New Roman" w:hAnsi="Times New Roman" w:cs="Times New Roman"/>
          <w:b/>
          <w:sz w:val="20"/>
          <w:szCs w:val="20"/>
        </w:rPr>
        <w:t>Sumário:</w:t>
      </w:r>
      <w:r w:rsidRPr="00D53C02">
        <w:rPr>
          <w:rFonts w:ascii="Times New Roman" w:hAnsi="Times New Roman" w:cs="Times New Roman"/>
          <w:sz w:val="20"/>
          <w:szCs w:val="20"/>
        </w:rPr>
        <w:t xml:space="preserve"> 1</w:t>
      </w:r>
      <w:r w:rsidR="000A592F">
        <w:rPr>
          <w:rFonts w:ascii="Times New Roman" w:hAnsi="Times New Roman" w:cs="Times New Roman"/>
          <w:sz w:val="20"/>
          <w:szCs w:val="20"/>
        </w:rPr>
        <w:t xml:space="preserve"> Introdução; 2</w:t>
      </w:r>
      <w:r w:rsidRPr="00D53C02">
        <w:rPr>
          <w:rFonts w:ascii="Times New Roman" w:hAnsi="Times New Roman" w:cs="Times New Roman"/>
          <w:sz w:val="20"/>
          <w:szCs w:val="20"/>
        </w:rPr>
        <w:t xml:space="preserve"> A Execução no Processo Civil;</w:t>
      </w:r>
      <w:r w:rsidRPr="00D53C02">
        <w:rPr>
          <w:rFonts w:ascii="Times New Roman" w:hAnsi="Times New Roman" w:cs="Times New Roman"/>
          <w:b/>
          <w:sz w:val="20"/>
          <w:szCs w:val="20"/>
        </w:rPr>
        <w:t xml:space="preserve"> </w:t>
      </w:r>
      <w:r w:rsidRPr="00D53C02">
        <w:rPr>
          <w:rFonts w:ascii="Times New Roman" w:hAnsi="Times New Roman" w:cs="Times New Roman"/>
          <w:sz w:val="20"/>
          <w:szCs w:val="20"/>
        </w:rPr>
        <w:t xml:space="preserve">2.1 Espécies de Execução; 2.1.1 Execução por quantia certa contra devedor solvente; 2.2 </w:t>
      </w:r>
      <w:r w:rsidR="006B128F">
        <w:rPr>
          <w:rFonts w:ascii="Times New Roman" w:hAnsi="Times New Roman" w:cs="Times New Roman"/>
          <w:sz w:val="20"/>
          <w:szCs w:val="20"/>
        </w:rPr>
        <w:t>Execução de prestação a</w:t>
      </w:r>
      <w:r w:rsidRPr="00D53C02">
        <w:rPr>
          <w:rFonts w:ascii="Times New Roman" w:hAnsi="Times New Roman" w:cs="Times New Roman"/>
          <w:sz w:val="20"/>
          <w:szCs w:val="20"/>
        </w:rPr>
        <w:t>limentícia; 3</w:t>
      </w:r>
      <w:r w:rsidR="000A592F">
        <w:rPr>
          <w:rFonts w:ascii="Times New Roman" w:hAnsi="Times New Roman" w:cs="Times New Roman"/>
          <w:sz w:val="20"/>
          <w:szCs w:val="20"/>
        </w:rPr>
        <w:t xml:space="preserve"> </w:t>
      </w:r>
      <w:r w:rsidRPr="00D53C02">
        <w:rPr>
          <w:rFonts w:ascii="Times New Roman" w:hAnsi="Times New Roman" w:cs="Times New Roman"/>
          <w:sz w:val="20"/>
          <w:szCs w:val="20"/>
        </w:rPr>
        <w:t>Noções acerca da lei 11.232/05</w:t>
      </w:r>
      <w:r w:rsidR="000A592F">
        <w:rPr>
          <w:rFonts w:ascii="Times New Roman" w:hAnsi="Times New Roman" w:cs="Times New Roman"/>
          <w:sz w:val="20"/>
          <w:szCs w:val="20"/>
        </w:rPr>
        <w:t>;</w:t>
      </w:r>
      <w:r w:rsidRPr="00D53C02">
        <w:rPr>
          <w:rFonts w:ascii="Times New Roman" w:hAnsi="Times New Roman" w:cs="Times New Roman"/>
          <w:b/>
          <w:sz w:val="20"/>
          <w:szCs w:val="20"/>
        </w:rPr>
        <w:t xml:space="preserve"> </w:t>
      </w:r>
      <w:r w:rsidR="000A592F">
        <w:rPr>
          <w:rFonts w:ascii="Times New Roman" w:hAnsi="Times New Roman" w:cs="Times New Roman"/>
          <w:sz w:val="20"/>
          <w:szCs w:val="20"/>
        </w:rPr>
        <w:t>4</w:t>
      </w:r>
      <w:r w:rsidRPr="00D53C02">
        <w:rPr>
          <w:rFonts w:ascii="Times New Roman" w:hAnsi="Times New Roman" w:cs="Times New Roman"/>
          <w:sz w:val="20"/>
          <w:szCs w:val="20"/>
        </w:rPr>
        <w:t xml:space="preserve"> Divergência</w:t>
      </w:r>
      <w:r w:rsidR="0067498D">
        <w:rPr>
          <w:rFonts w:ascii="Times New Roman" w:hAnsi="Times New Roman" w:cs="Times New Roman"/>
          <w:sz w:val="20"/>
          <w:szCs w:val="20"/>
        </w:rPr>
        <w:t>s</w:t>
      </w:r>
      <w:r w:rsidRPr="00D53C02">
        <w:rPr>
          <w:rFonts w:ascii="Times New Roman" w:hAnsi="Times New Roman" w:cs="Times New Roman"/>
          <w:sz w:val="20"/>
          <w:szCs w:val="20"/>
        </w:rPr>
        <w:t xml:space="preserve"> entre a Lei 11.232/05 e o artigo 732, CPC; Conclusão; Referências. </w:t>
      </w:r>
    </w:p>
    <w:p w:rsidR="00D53C02" w:rsidRPr="00653249" w:rsidRDefault="00D53C02" w:rsidP="007E5E4D">
      <w:pPr>
        <w:autoSpaceDE w:val="0"/>
        <w:autoSpaceDN w:val="0"/>
        <w:adjustRightInd w:val="0"/>
        <w:spacing w:after="120" w:line="360" w:lineRule="auto"/>
        <w:jc w:val="right"/>
        <w:rPr>
          <w:rFonts w:ascii="Times New Roman" w:hAnsi="Times New Roman" w:cs="Times New Roman"/>
          <w:bCs/>
          <w:i/>
          <w:sz w:val="24"/>
          <w:szCs w:val="24"/>
        </w:rPr>
      </w:pPr>
    </w:p>
    <w:p w:rsidR="00693701" w:rsidRDefault="000A592F" w:rsidP="007E5E4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0A592F" w:rsidRDefault="009612E6" w:rsidP="007E5E4D">
      <w:pPr>
        <w:spacing w:after="120" w:line="240" w:lineRule="auto"/>
        <w:jc w:val="both"/>
        <w:rPr>
          <w:rFonts w:ascii="Times New Roman" w:hAnsi="Times New Roman" w:cs="Times New Roman"/>
          <w:b/>
          <w:bCs/>
          <w:color w:val="FF0000"/>
          <w:sz w:val="24"/>
          <w:szCs w:val="24"/>
          <w:u w:val="single"/>
        </w:rPr>
      </w:pPr>
      <w:r w:rsidRPr="009612E6">
        <w:rPr>
          <w:rFonts w:ascii="Times New Roman" w:hAnsi="Times New Roman" w:cs="Times New Roman"/>
          <w:sz w:val="24"/>
          <w:szCs w:val="24"/>
        </w:rPr>
        <w:t>Os alimentos consistem na prestação voltada à satisfação das necessidades básicas e vitais</w:t>
      </w:r>
      <w:r>
        <w:rPr>
          <w:rFonts w:ascii="Times New Roman" w:hAnsi="Times New Roman" w:cs="Times New Roman"/>
          <w:sz w:val="24"/>
          <w:szCs w:val="24"/>
        </w:rPr>
        <w:t xml:space="preserve"> do indivíduo que não pode arcar financeiramente com elas</w:t>
      </w:r>
      <w:r w:rsidRPr="009612E6">
        <w:rPr>
          <w:rFonts w:ascii="Times New Roman" w:hAnsi="Times New Roman" w:cs="Times New Roman"/>
          <w:sz w:val="24"/>
          <w:szCs w:val="24"/>
        </w:rPr>
        <w:t xml:space="preserve">. </w:t>
      </w:r>
      <w:r>
        <w:rPr>
          <w:rFonts w:ascii="Times New Roman" w:hAnsi="Times New Roman" w:cs="Times New Roman"/>
          <w:sz w:val="24"/>
          <w:szCs w:val="24"/>
        </w:rPr>
        <w:t>Esta</w:t>
      </w:r>
      <w:r w:rsidRPr="009612E6">
        <w:rPr>
          <w:rFonts w:ascii="Times New Roman" w:hAnsi="Times New Roman" w:cs="Times New Roman"/>
          <w:sz w:val="24"/>
          <w:szCs w:val="24"/>
        </w:rPr>
        <w:t xml:space="preserve"> prestação p</w:t>
      </w:r>
      <w:r>
        <w:rPr>
          <w:rFonts w:ascii="Times New Roman" w:hAnsi="Times New Roman" w:cs="Times New Roman"/>
          <w:sz w:val="24"/>
          <w:szCs w:val="24"/>
        </w:rPr>
        <w:t xml:space="preserve">ode ser devida por força de lei, por </w:t>
      </w:r>
      <w:r w:rsidRPr="009612E6">
        <w:rPr>
          <w:rFonts w:ascii="Times New Roman" w:hAnsi="Times New Roman" w:cs="Times New Roman"/>
          <w:sz w:val="24"/>
          <w:szCs w:val="24"/>
        </w:rPr>
        <w:t xml:space="preserve">convenção ou </w:t>
      </w:r>
      <w:r>
        <w:rPr>
          <w:rFonts w:ascii="Times New Roman" w:hAnsi="Times New Roman" w:cs="Times New Roman"/>
          <w:sz w:val="24"/>
          <w:szCs w:val="24"/>
        </w:rPr>
        <w:t>ser oriunda de um ato ilícito</w:t>
      </w:r>
      <w:r w:rsidRPr="009612E6">
        <w:rPr>
          <w:rFonts w:ascii="Times New Roman" w:hAnsi="Times New Roman" w:cs="Times New Roman"/>
          <w:sz w:val="24"/>
          <w:szCs w:val="24"/>
        </w:rPr>
        <w:t xml:space="preserve">. Os alimentos comumente se expressam como crédito pecuniário, </w:t>
      </w:r>
      <w:r>
        <w:rPr>
          <w:rFonts w:ascii="Times New Roman" w:hAnsi="Times New Roman" w:cs="Times New Roman"/>
          <w:sz w:val="24"/>
          <w:szCs w:val="24"/>
        </w:rPr>
        <w:t>todavia</w:t>
      </w:r>
      <w:r w:rsidRPr="009612E6">
        <w:rPr>
          <w:rFonts w:ascii="Times New Roman" w:hAnsi="Times New Roman" w:cs="Times New Roman"/>
          <w:sz w:val="24"/>
          <w:szCs w:val="24"/>
        </w:rPr>
        <w:t xml:space="preserve"> a sua </w:t>
      </w:r>
      <w:r>
        <w:rPr>
          <w:rFonts w:ascii="Times New Roman" w:hAnsi="Times New Roman" w:cs="Times New Roman"/>
          <w:sz w:val="24"/>
          <w:szCs w:val="24"/>
        </w:rPr>
        <w:t>fixação, excepcionalmente, pode ser feita de outras maneiras</w:t>
      </w:r>
      <w:r w:rsidRPr="009612E6">
        <w:rPr>
          <w:rFonts w:ascii="Times New Roman" w:hAnsi="Times New Roman" w:cs="Times New Roman"/>
          <w:sz w:val="24"/>
          <w:szCs w:val="24"/>
        </w:rPr>
        <w:t>, mediante a imposição de um</w:t>
      </w:r>
      <w:r>
        <w:rPr>
          <w:rFonts w:ascii="Times New Roman" w:hAnsi="Times New Roman" w:cs="Times New Roman"/>
          <w:sz w:val="24"/>
          <w:szCs w:val="24"/>
        </w:rPr>
        <w:t>a obrigação de</w:t>
      </w:r>
      <w:r w:rsidRPr="009612E6">
        <w:rPr>
          <w:rFonts w:ascii="Times New Roman" w:hAnsi="Times New Roman" w:cs="Times New Roman"/>
          <w:sz w:val="24"/>
          <w:szCs w:val="24"/>
        </w:rPr>
        <w:t xml:space="preserve"> fazer ou </w:t>
      </w:r>
      <w:r>
        <w:rPr>
          <w:rFonts w:ascii="Times New Roman" w:hAnsi="Times New Roman" w:cs="Times New Roman"/>
          <w:sz w:val="24"/>
          <w:szCs w:val="24"/>
        </w:rPr>
        <w:t xml:space="preserve">de entregar </w:t>
      </w:r>
      <w:r w:rsidRPr="009612E6">
        <w:rPr>
          <w:rFonts w:ascii="Times New Roman" w:hAnsi="Times New Roman" w:cs="Times New Roman"/>
          <w:sz w:val="24"/>
          <w:szCs w:val="24"/>
        </w:rPr>
        <w:t xml:space="preserve">coisa. </w:t>
      </w:r>
      <w:r w:rsidR="00B75308">
        <w:rPr>
          <w:rFonts w:ascii="Times New Roman" w:hAnsi="Times New Roman" w:cs="Times New Roman"/>
          <w:sz w:val="24"/>
          <w:szCs w:val="24"/>
        </w:rPr>
        <w:t>Existe um</w:t>
      </w:r>
      <w:r w:rsidRPr="009612E6">
        <w:rPr>
          <w:rFonts w:ascii="Times New Roman" w:hAnsi="Times New Roman" w:cs="Times New Roman"/>
          <w:sz w:val="24"/>
          <w:szCs w:val="24"/>
        </w:rPr>
        <w:t xml:space="preserve"> procedimento especial reservado aos alimentos e à s</w:t>
      </w:r>
      <w:r w:rsidR="00B75308">
        <w:rPr>
          <w:rFonts w:ascii="Times New Roman" w:hAnsi="Times New Roman" w:cs="Times New Roman"/>
          <w:sz w:val="24"/>
          <w:szCs w:val="24"/>
        </w:rPr>
        <w:t>ua execução pela lei processual e</w:t>
      </w:r>
      <w:r w:rsidRPr="009612E6">
        <w:rPr>
          <w:rFonts w:ascii="Times New Roman" w:hAnsi="Times New Roman" w:cs="Times New Roman"/>
          <w:sz w:val="24"/>
          <w:szCs w:val="24"/>
        </w:rPr>
        <w:t xml:space="preserve"> a parte poderá se valer dos mecanism</w:t>
      </w:r>
      <w:r w:rsidR="002D182C">
        <w:rPr>
          <w:rFonts w:ascii="Times New Roman" w:hAnsi="Times New Roman" w:cs="Times New Roman"/>
          <w:sz w:val="24"/>
          <w:szCs w:val="24"/>
        </w:rPr>
        <w:t>os executivos previstos nos artigos</w:t>
      </w:r>
      <w:r w:rsidRPr="009612E6">
        <w:rPr>
          <w:rFonts w:ascii="Times New Roman" w:hAnsi="Times New Roman" w:cs="Times New Roman"/>
          <w:sz w:val="24"/>
          <w:szCs w:val="24"/>
        </w:rPr>
        <w:t xml:space="preserve"> 461 e 461-A do </w:t>
      </w:r>
      <w:r>
        <w:rPr>
          <w:rFonts w:ascii="Times New Roman" w:hAnsi="Times New Roman" w:cs="Times New Roman"/>
          <w:sz w:val="24"/>
          <w:szCs w:val="24"/>
        </w:rPr>
        <w:t>Código de Processo Civil (</w:t>
      </w:r>
      <w:r w:rsidRPr="009612E6">
        <w:rPr>
          <w:rFonts w:ascii="Times New Roman" w:hAnsi="Times New Roman" w:cs="Times New Roman"/>
          <w:sz w:val="24"/>
          <w:szCs w:val="24"/>
        </w:rPr>
        <w:t>CPC</w:t>
      </w:r>
      <w:r>
        <w:rPr>
          <w:rFonts w:ascii="Times New Roman" w:hAnsi="Times New Roman" w:cs="Times New Roman"/>
          <w:sz w:val="24"/>
          <w:szCs w:val="24"/>
        </w:rPr>
        <w:t>)</w:t>
      </w:r>
      <w:r w:rsidRPr="009612E6">
        <w:rPr>
          <w:rFonts w:ascii="Times New Roman" w:hAnsi="Times New Roman" w:cs="Times New Roman"/>
          <w:sz w:val="24"/>
          <w:szCs w:val="24"/>
        </w:rPr>
        <w:t xml:space="preserve">, efetivos a todas as tutelas que necessitem </w:t>
      </w:r>
      <w:r>
        <w:rPr>
          <w:rFonts w:ascii="Times New Roman" w:hAnsi="Times New Roman" w:cs="Times New Roman"/>
          <w:sz w:val="24"/>
          <w:szCs w:val="24"/>
        </w:rPr>
        <w:t xml:space="preserve">de fazer ou de entrega de coisa. </w:t>
      </w:r>
      <w:r w:rsidRPr="00BE4E9D">
        <w:rPr>
          <w:rFonts w:ascii="Times New Roman" w:hAnsi="Times New Roman" w:cs="Times New Roman"/>
          <w:sz w:val="24"/>
          <w:szCs w:val="24"/>
        </w:rPr>
        <w:t>Contudo</w:t>
      </w:r>
      <w:r w:rsidR="00BE4E9D">
        <w:rPr>
          <w:rFonts w:ascii="Times New Roman" w:hAnsi="Times New Roman" w:cs="Times New Roman"/>
          <w:sz w:val="24"/>
          <w:szCs w:val="24"/>
        </w:rPr>
        <w:t>,</w:t>
      </w:r>
      <w:r w:rsidRPr="00BE4E9D">
        <w:rPr>
          <w:rFonts w:ascii="Times New Roman" w:hAnsi="Times New Roman" w:cs="Times New Roman"/>
          <w:sz w:val="24"/>
          <w:szCs w:val="24"/>
        </w:rPr>
        <w:t xml:space="preserve"> </w:t>
      </w:r>
      <w:r w:rsidR="004A3EDF" w:rsidRPr="00BE4E9D">
        <w:rPr>
          <w:rFonts w:ascii="Times New Roman" w:hAnsi="Times New Roman" w:cs="Times New Roman"/>
          <w:bCs/>
          <w:sz w:val="24"/>
          <w:szCs w:val="24"/>
        </w:rPr>
        <w:t>con</w:t>
      </w:r>
      <w:r w:rsidR="00BE4E9D" w:rsidRPr="00BE4E9D">
        <w:rPr>
          <w:rFonts w:ascii="Times New Roman" w:hAnsi="Times New Roman" w:cs="Times New Roman"/>
          <w:bCs/>
          <w:sz w:val="24"/>
          <w:szCs w:val="24"/>
        </w:rPr>
        <w:t>stata-se</w:t>
      </w:r>
      <w:r w:rsidR="00BE4E9D">
        <w:rPr>
          <w:rFonts w:ascii="Times New Roman" w:hAnsi="Times New Roman" w:cs="Times New Roman"/>
          <w:bCs/>
          <w:sz w:val="24"/>
          <w:szCs w:val="24"/>
        </w:rPr>
        <w:t xml:space="preserve"> a existência de uma divergência </w:t>
      </w:r>
      <w:r w:rsidR="004A3EDF" w:rsidRPr="00BE4E9D">
        <w:rPr>
          <w:rFonts w:ascii="Times New Roman" w:hAnsi="Times New Roman" w:cs="Times New Roman"/>
          <w:bCs/>
          <w:sz w:val="24"/>
          <w:szCs w:val="24"/>
        </w:rPr>
        <w:t>entre a lei 11.232/05 e o artigo 732 do CPC</w:t>
      </w:r>
      <w:r w:rsidR="008D6333" w:rsidRPr="00BE4E9D">
        <w:rPr>
          <w:rFonts w:ascii="Times New Roman" w:hAnsi="Times New Roman" w:cs="Times New Roman"/>
          <w:bCs/>
          <w:sz w:val="24"/>
          <w:szCs w:val="24"/>
        </w:rPr>
        <w:t xml:space="preserve">. </w:t>
      </w:r>
      <w:r w:rsidR="00BE4E9D">
        <w:rPr>
          <w:rFonts w:ascii="Times New Roman" w:hAnsi="Times New Roman" w:cs="Times New Roman"/>
          <w:bCs/>
          <w:sz w:val="24"/>
          <w:szCs w:val="24"/>
        </w:rPr>
        <w:t>Outrossim</w:t>
      </w:r>
      <w:r w:rsidR="004A3EDF" w:rsidRPr="00BE4E9D">
        <w:rPr>
          <w:rFonts w:ascii="Times New Roman" w:hAnsi="Times New Roman" w:cs="Times New Roman"/>
          <w:bCs/>
          <w:sz w:val="24"/>
          <w:szCs w:val="24"/>
        </w:rPr>
        <w:t xml:space="preserve">, se observa uma redução do campo de incidência do </w:t>
      </w:r>
      <w:r w:rsidR="00BE4E9D" w:rsidRPr="00BE4E9D">
        <w:rPr>
          <w:rFonts w:ascii="Times New Roman" w:hAnsi="Times New Roman" w:cs="Times New Roman"/>
          <w:bCs/>
          <w:sz w:val="24"/>
          <w:szCs w:val="24"/>
        </w:rPr>
        <w:t>referido artigo, c</w:t>
      </w:r>
      <w:r w:rsidR="004A3EDF" w:rsidRPr="00BE4E9D">
        <w:rPr>
          <w:rFonts w:ascii="Times New Roman" w:hAnsi="Times New Roman" w:cs="Times New Roman"/>
          <w:bCs/>
          <w:sz w:val="24"/>
          <w:szCs w:val="24"/>
        </w:rPr>
        <w:t>om o advento do artigo 475-J no Código os alimentos inadimplidos passariam a ser executados por meio do rito de cumprimento de sentença, quando oriundos de título executivo judicial.</w:t>
      </w:r>
    </w:p>
    <w:p w:rsidR="004A3EDF" w:rsidRPr="004A3EDF" w:rsidRDefault="004A3EDF" w:rsidP="007E5E4D">
      <w:pPr>
        <w:spacing w:after="120" w:line="240" w:lineRule="auto"/>
        <w:jc w:val="both"/>
        <w:rPr>
          <w:rFonts w:ascii="Times New Roman" w:hAnsi="Times New Roman" w:cs="Times New Roman"/>
          <w:color w:val="FF0000"/>
          <w:sz w:val="24"/>
          <w:szCs w:val="24"/>
        </w:rPr>
      </w:pPr>
    </w:p>
    <w:p w:rsidR="000A592F" w:rsidRDefault="00DE6A2F" w:rsidP="007E5E4D">
      <w:pPr>
        <w:spacing w:after="120" w:line="240" w:lineRule="auto"/>
        <w:jc w:val="both"/>
        <w:rPr>
          <w:rFonts w:ascii="Times New Roman" w:hAnsi="Times New Roman" w:cs="Times New Roman"/>
          <w:sz w:val="24"/>
          <w:szCs w:val="24"/>
        </w:rPr>
      </w:pPr>
      <w:r w:rsidRPr="000A592F">
        <w:rPr>
          <w:rFonts w:ascii="Times New Roman" w:hAnsi="Times New Roman" w:cs="Times New Roman"/>
          <w:b/>
          <w:sz w:val="24"/>
          <w:szCs w:val="24"/>
        </w:rPr>
        <w:t xml:space="preserve">PALAVRAS-CHAVES: </w:t>
      </w:r>
      <w:r w:rsidRPr="002C7F2E">
        <w:rPr>
          <w:rFonts w:ascii="Times New Roman" w:hAnsi="Times New Roman" w:cs="Times New Roman"/>
          <w:sz w:val="24"/>
          <w:szCs w:val="24"/>
        </w:rPr>
        <w:t>Execução</w:t>
      </w:r>
      <w:r>
        <w:rPr>
          <w:rFonts w:ascii="Times New Roman" w:hAnsi="Times New Roman" w:cs="Times New Roman"/>
          <w:sz w:val="24"/>
          <w:szCs w:val="24"/>
        </w:rPr>
        <w:t>; Alimentos; Devedor; Quantia Certa; Divergências.</w:t>
      </w:r>
    </w:p>
    <w:p w:rsidR="0008359B" w:rsidRDefault="0008359B" w:rsidP="007E5E4D">
      <w:pPr>
        <w:spacing w:after="120" w:line="240" w:lineRule="auto"/>
        <w:jc w:val="both"/>
        <w:rPr>
          <w:rFonts w:ascii="Times New Roman" w:hAnsi="Times New Roman" w:cs="Times New Roman"/>
          <w:b/>
          <w:sz w:val="24"/>
          <w:szCs w:val="24"/>
        </w:rPr>
      </w:pPr>
    </w:p>
    <w:p w:rsidR="00BE0BEF" w:rsidRDefault="00BE0BEF" w:rsidP="007E5E4D">
      <w:pPr>
        <w:spacing w:after="120" w:line="360" w:lineRule="auto"/>
        <w:jc w:val="both"/>
        <w:rPr>
          <w:rFonts w:ascii="Times New Roman" w:hAnsi="Times New Roman" w:cs="Times New Roman"/>
          <w:b/>
          <w:sz w:val="24"/>
          <w:szCs w:val="24"/>
        </w:rPr>
      </w:pPr>
    </w:p>
    <w:p w:rsidR="00BE0BEF" w:rsidRDefault="00BE0BEF" w:rsidP="007E5E4D">
      <w:pPr>
        <w:spacing w:after="120" w:line="360" w:lineRule="auto"/>
        <w:jc w:val="both"/>
        <w:rPr>
          <w:rFonts w:ascii="Times New Roman" w:hAnsi="Times New Roman" w:cs="Times New Roman"/>
          <w:b/>
          <w:sz w:val="24"/>
          <w:szCs w:val="24"/>
        </w:rPr>
      </w:pPr>
    </w:p>
    <w:p w:rsidR="00BE0BEF" w:rsidRDefault="00BE0BEF" w:rsidP="007E5E4D">
      <w:pPr>
        <w:spacing w:after="120" w:line="360" w:lineRule="auto"/>
        <w:jc w:val="both"/>
        <w:rPr>
          <w:rFonts w:ascii="Times New Roman" w:hAnsi="Times New Roman" w:cs="Times New Roman"/>
          <w:b/>
          <w:sz w:val="24"/>
          <w:szCs w:val="24"/>
        </w:rPr>
      </w:pPr>
    </w:p>
    <w:p w:rsidR="0008359B" w:rsidRDefault="0008359B" w:rsidP="007E5E4D">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A3EDF">
        <w:rPr>
          <w:rFonts w:ascii="Times New Roman" w:hAnsi="Times New Roman" w:cs="Times New Roman"/>
          <w:b/>
          <w:sz w:val="24"/>
          <w:szCs w:val="24"/>
        </w:rPr>
        <w:t xml:space="preserve"> INTRODUÇÃO</w:t>
      </w:r>
    </w:p>
    <w:p w:rsidR="00BE0BEF" w:rsidRDefault="00BE0BEF" w:rsidP="007E5E4D">
      <w:pPr>
        <w:spacing w:after="120" w:line="240" w:lineRule="auto"/>
        <w:jc w:val="both"/>
        <w:rPr>
          <w:rFonts w:ascii="Times New Roman" w:hAnsi="Times New Roman" w:cs="Times New Roman"/>
          <w:b/>
          <w:sz w:val="24"/>
          <w:szCs w:val="24"/>
        </w:rPr>
      </w:pPr>
    </w:p>
    <w:p w:rsidR="0008359B" w:rsidRDefault="0008359B" w:rsidP="007E5E4D">
      <w:pPr>
        <w:spacing w:after="120" w:line="360" w:lineRule="auto"/>
        <w:ind w:firstLine="1134"/>
        <w:jc w:val="both"/>
        <w:rPr>
          <w:rFonts w:ascii="Times New Roman" w:hAnsi="Times New Roman" w:cs="Times New Roman"/>
          <w:sz w:val="24"/>
          <w:szCs w:val="24"/>
        </w:rPr>
      </w:pPr>
      <w:r w:rsidRPr="00BB6A82">
        <w:rPr>
          <w:rFonts w:ascii="Times New Roman" w:hAnsi="Times New Roman" w:cs="Times New Roman"/>
          <w:sz w:val="24"/>
          <w:szCs w:val="24"/>
        </w:rPr>
        <w:t xml:space="preserve">As </w:t>
      </w:r>
      <w:r w:rsidR="00060D15" w:rsidRPr="00BB6A82">
        <w:rPr>
          <w:rFonts w:ascii="Times New Roman" w:hAnsi="Times New Roman" w:cs="Times New Roman"/>
          <w:sz w:val="24"/>
          <w:szCs w:val="24"/>
        </w:rPr>
        <w:t>diversas</w:t>
      </w:r>
      <w:r w:rsidRPr="00BB6A82">
        <w:rPr>
          <w:rFonts w:ascii="Times New Roman" w:hAnsi="Times New Roman" w:cs="Times New Roman"/>
          <w:sz w:val="24"/>
          <w:szCs w:val="24"/>
        </w:rPr>
        <w:t xml:space="preserve"> </w:t>
      </w:r>
      <w:r w:rsidR="00060D15" w:rsidRPr="00BB6A82">
        <w:rPr>
          <w:rFonts w:ascii="Times New Roman" w:hAnsi="Times New Roman" w:cs="Times New Roman"/>
          <w:sz w:val="24"/>
          <w:szCs w:val="24"/>
        </w:rPr>
        <w:t>alteraçõe</w:t>
      </w:r>
      <w:r w:rsidRPr="00BB6A82">
        <w:rPr>
          <w:rFonts w:ascii="Times New Roman" w:hAnsi="Times New Roman" w:cs="Times New Roman"/>
          <w:sz w:val="24"/>
          <w:szCs w:val="24"/>
        </w:rPr>
        <w:t>s realizadas</w:t>
      </w:r>
      <w:r w:rsidR="007D04DA">
        <w:rPr>
          <w:rFonts w:ascii="Times New Roman" w:hAnsi="Times New Roman" w:cs="Times New Roman"/>
          <w:sz w:val="24"/>
          <w:szCs w:val="24"/>
        </w:rPr>
        <w:t xml:space="preserve"> </w:t>
      </w:r>
      <w:r w:rsidRPr="00BB6A82">
        <w:rPr>
          <w:rFonts w:ascii="Times New Roman" w:hAnsi="Times New Roman" w:cs="Times New Roman"/>
          <w:sz w:val="24"/>
          <w:szCs w:val="24"/>
        </w:rPr>
        <w:t xml:space="preserve">no Código de Processo Civil </w:t>
      </w:r>
      <w:r w:rsidR="00060D15" w:rsidRPr="00BB6A82">
        <w:rPr>
          <w:rFonts w:ascii="Times New Roman" w:hAnsi="Times New Roman" w:cs="Times New Roman"/>
          <w:sz w:val="24"/>
          <w:szCs w:val="24"/>
        </w:rPr>
        <w:t>buscam o aperfeiçoamento</w:t>
      </w:r>
      <w:r w:rsidRPr="00BB6A82">
        <w:rPr>
          <w:rFonts w:ascii="Times New Roman" w:hAnsi="Times New Roman" w:cs="Times New Roman"/>
          <w:sz w:val="24"/>
          <w:szCs w:val="24"/>
        </w:rPr>
        <w:t xml:space="preserve"> </w:t>
      </w:r>
      <w:r w:rsidR="00060D15" w:rsidRPr="00BB6A82">
        <w:rPr>
          <w:rFonts w:ascii="Times New Roman" w:hAnsi="Times New Roman" w:cs="Times New Roman"/>
          <w:sz w:val="24"/>
          <w:szCs w:val="24"/>
        </w:rPr>
        <w:t>d</w:t>
      </w:r>
      <w:r w:rsidRPr="00BB6A82">
        <w:rPr>
          <w:rFonts w:ascii="Times New Roman" w:hAnsi="Times New Roman" w:cs="Times New Roman"/>
          <w:sz w:val="24"/>
          <w:szCs w:val="24"/>
        </w:rPr>
        <w:t xml:space="preserve">a prestação jurisdicional, </w:t>
      </w:r>
      <w:r w:rsidR="00060D15" w:rsidRPr="00BB6A82">
        <w:rPr>
          <w:rFonts w:ascii="Times New Roman" w:hAnsi="Times New Roman" w:cs="Times New Roman"/>
          <w:sz w:val="24"/>
          <w:szCs w:val="24"/>
        </w:rPr>
        <w:t>tendo como escopo</w:t>
      </w:r>
      <w:r w:rsidRPr="00BB6A82">
        <w:rPr>
          <w:rFonts w:ascii="Times New Roman" w:hAnsi="Times New Roman" w:cs="Times New Roman"/>
          <w:sz w:val="24"/>
          <w:szCs w:val="24"/>
        </w:rPr>
        <w:t xml:space="preserve"> a celeridade e a efetividade processual.</w:t>
      </w:r>
      <w:r w:rsidRPr="00BB6A82">
        <w:rPr>
          <w:rFonts w:ascii="Times New Roman" w:hAnsi="Times New Roman" w:cs="Times New Roman"/>
          <w:b/>
          <w:sz w:val="24"/>
          <w:szCs w:val="24"/>
        </w:rPr>
        <w:t xml:space="preserve"> </w:t>
      </w:r>
      <w:r w:rsidR="00BB6A82" w:rsidRPr="00BB6A82">
        <w:rPr>
          <w:rFonts w:ascii="Times New Roman" w:hAnsi="Times New Roman" w:cs="Times New Roman"/>
          <w:sz w:val="24"/>
          <w:szCs w:val="24"/>
        </w:rPr>
        <w:t>Contudo</w:t>
      </w:r>
      <w:r w:rsidRPr="00BB6A82">
        <w:rPr>
          <w:rFonts w:ascii="Times New Roman" w:hAnsi="Times New Roman" w:cs="Times New Roman"/>
          <w:sz w:val="24"/>
          <w:szCs w:val="24"/>
        </w:rPr>
        <w:t>, algumas</w:t>
      </w:r>
      <w:r w:rsidR="00BB6A82">
        <w:rPr>
          <w:rFonts w:ascii="Times New Roman" w:hAnsi="Times New Roman" w:cs="Times New Roman"/>
          <w:sz w:val="24"/>
          <w:szCs w:val="24"/>
        </w:rPr>
        <w:t xml:space="preserve"> destas</w:t>
      </w:r>
      <w:r w:rsidR="007D04DA">
        <w:rPr>
          <w:rFonts w:ascii="Times New Roman" w:hAnsi="Times New Roman" w:cs="Times New Roman"/>
          <w:sz w:val="24"/>
          <w:szCs w:val="24"/>
        </w:rPr>
        <w:t xml:space="preserve"> mudanças</w:t>
      </w:r>
      <w:r w:rsidRPr="00BB6A82">
        <w:rPr>
          <w:rFonts w:ascii="Times New Roman" w:hAnsi="Times New Roman" w:cs="Times New Roman"/>
          <w:sz w:val="24"/>
          <w:szCs w:val="24"/>
        </w:rPr>
        <w:t xml:space="preserve">, </w:t>
      </w:r>
      <w:r w:rsidR="00BB6A82">
        <w:rPr>
          <w:rFonts w:ascii="Times New Roman" w:hAnsi="Times New Roman" w:cs="Times New Roman"/>
          <w:sz w:val="24"/>
          <w:szCs w:val="24"/>
        </w:rPr>
        <w:t>em nada contribuem com o alcance do objetivo desejado pelo legislador causando a desarmonia do sistema</w:t>
      </w:r>
      <w:r w:rsidRPr="00BB6A82">
        <w:rPr>
          <w:rFonts w:ascii="Times New Roman" w:hAnsi="Times New Roman" w:cs="Times New Roman"/>
          <w:sz w:val="24"/>
          <w:szCs w:val="24"/>
        </w:rPr>
        <w:t xml:space="preserve"> ou</w:t>
      </w:r>
      <w:r w:rsidR="00BB6A82">
        <w:rPr>
          <w:rFonts w:ascii="Times New Roman" w:hAnsi="Times New Roman" w:cs="Times New Roman"/>
          <w:sz w:val="24"/>
          <w:szCs w:val="24"/>
        </w:rPr>
        <w:t xml:space="preserve"> mesmo</w:t>
      </w:r>
      <w:r w:rsidRPr="00BB6A82">
        <w:rPr>
          <w:rFonts w:ascii="Times New Roman" w:hAnsi="Times New Roman" w:cs="Times New Roman"/>
          <w:sz w:val="24"/>
          <w:szCs w:val="24"/>
        </w:rPr>
        <w:t xml:space="preserve"> por não </w:t>
      </w:r>
      <w:r w:rsidR="00BB6A82">
        <w:rPr>
          <w:rFonts w:ascii="Times New Roman" w:hAnsi="Times New Roman" w:cs="Times New Roman"/>
          <w:sz w:val="24"/>
          <w:szCs w:val="24"/>
        </w:rPr>
        <w:t>reparar antigas</w:t>
      </w:r>
      <w:r w:rsidRPr="00BB6A82">
        <w:rPr>
          <w:rFonts w:ascii="Times New Roman" w:hAnsi="Times New Roman" w:cs="Times New Roman"/>
          <w:sz w:val="24"/>
          <w:szCs w:val="24"/>
        </w:rPr>
        <w:t xml:space="preserve"> contradições</w:t>
      </w:r>
      <w:r w:rsidR="00BB6A82">
        <w:rPr>
          <w:rFonts w:ascii="Times New Roman" w:hAnsi="Times New Roman" w:cs="Times New Roman"/>
          <w:sz w:val="24"/>
          <w:szCs w:val="24"/>
        </w:rPr>
        <w:t xml:space="preserve"> e divergências</w:t>
      </w:r>
      <w:r w:rsidRPr="00BB6A82">
        <w:rPr>
          <w:rFonts w:ascii="Times New Roman" w:hAnsi="Times New Roman" w:cs="Times New Roman"/>
          <w:sz w:val="24"/>
          <w:szCs w:val="24"/>
        </w:rPr>
        <w:t xml:space="preserve"> que permeiam </w:t>
      </w:r>
      <w:r w:rsidR="00BB6A82">
        <w:rPr>
          <w:rFonts w:ascii="Times New Roman" w:hAnsi="Times New Roman" w:cs="Times New Roman"/>
          <w:sz w:val="24"/>
          <w:szCs w:val="24"/>
        </w:rPr>
        <w:t>o ordenamento jurídico</w:t>
      </w:r>
      <w:r w:rsidRPr="00BB6A82">
        <w:rPr>
          <w:rFonts w:ascii="Times New Roman" w:hAnsi="Times New Roman" w:cs="Times New Roman"/>
          <w:sz w:val="24"/>
          <w:szCs w:val="24"/>
        </w:rPr>
        <w:t>.</w:t>
      </w:r>
      <w:r w:rsidRPr="00BB6A82">
        <w:rPr>
          <w:rFonts w:ascii="Times New Roman" w:hAnsi="Times New Roman" w:cs="Times New Roman"/>
          <w:b/>
          <w:sz w:val="24"/>
          <w:szCs w:val="24"/>
        </w:rPr>
        <w:t xml:space="preserve"> </w:t>
      </w:r>
      <w:r w:rsidR="007D04DA">
        <w:rPr>
          <w:rFonts w:ascii="Times New Roman" w:hAnsi="Times New Roman" w:cs="Times New Roman"/>
          <w:sz w:val="24"/>
          <w:szCs w:val="24"/>
        </w:rPr>
        <w:t>Isto</w:t>
      </w:r>
      <w:r w:rsidRPr="00BB6A82">
        <w:rPr>
          <w:rFonts w:ascii="Times New Roman" w:hAnsi="Times New Roman" w:cs="Times New Roman"/>
          <w:sz w:val="24"/>
          <w:szCs w:val="24"/>
        </w:rPr>
        <w:t xml:space="preserve"> </w:t>
      </w:r>
      <w:r w:rsidR="007D04DA">
        <w:rPr>
          <w:rFonts w:ascii="Times New Roman" w:hAnsi="Times New Roman" w:cs="Times New Roman"/>
          <w:sz w:val="24"/>
          <w:szCs w:val="24"/>
        </w:rPr>
        <w:t>em uma</w:t>
      </w:r>
      <w:r w:rsidRPr="00BB6A82">
        <w:rPr>
          <w:rFonts w:ascii="Times New Roman" w:hAnsi="Times New Roman" w:cs="Times New Roman"/>
          <w:sz w:val="24"/>
          <w:szCs w:val="24"/>
        </w:rPr>
        <w:t xml:space="preserve"> instabilidade, </w:t>
      </w:r>
      <w:r w:rsidR="007D04DA">
        <w:rPr>
          <w:rFonts w:ascii="Times New Roman" w:hAnsi="Times New Roman" w:cs="Times New Roman"/>
          <w:sz w:val="24"/>
          <w:szCs w:val="24"/>
        </w:rPr>
        <w:t>se levadas em consideração</w:t>
      </w:r>
      <w:r w:rsidRPr="00BB6A82">
        <w:rPr>
          <w:rFonts w:ascii="Times New Roman" w:hAnsi="Times New Roman" w:cs="Times New Roman"/>
          <w:sz w:val="24"/>
          <w:szCs w:val="24"/>
        </w:rPr>
        <w:t xml:space="preserve"> as in</w:t>
      </w:r>
      <w:r w:rsidR="007D04DA">
        <w:rPr>
          <w:rFonts w:ascii="Times New Roman" w:hAnsi="Times New Roman" w:cs="Times New Roman"/>
          <w:sz w:val="24"/>
          <w:szCs w:val="24"/>
        </w:rPr>
        <w:t>contáveis</w:t>
      </w:r>
      <w:r w:rsidRPr="00BB6A82">
        <w:rPr>
          <w:rFonts w:ascii="Times New Roman" w:hAnsi="Times New Roman" w:cs="Times New Roman"/>
          <w:sz w:val="24"/>
          <w:szCs w:val="24"/>
        </w:rPr>
        <w:t xml:space="preserve"> discussões</w:t>
      </w:r>
      <w:r w:rsidR="007D04DA">
        <w:rPr>
          <w:rFonts w:ascii="Times New Roman" w:hAnsi="Times New Roman" w:cs="Times New Roman"/>
          <w:sz w:val="24"/>
          <w:szCs w:val="24"/>
        </w:rPr>
        <w:t xml:space="preserve"> doutrinárias e jurisprudenciais geradas por aquelas, o que leva </w:t>
      </w:r>
      <w:r w:rsidRPr="00BB6A82">
        <w:rPr>
          <w:rFonts w:ascii="Times New Roman" w:hAnsi="Times New Roman" w:cs="Times New Roman"/>
          <w:sz w:val="24"/>
          <w:szCs w:val="24"/>
        </w:rPr>
        <w:t xml:space="preserve">as relações jurídicas </w:t>
      </w:r>
      <w:r w:rsidR="007D04DA">
        <w:rPr>
          <w:rFonts w:ascii="Times New Roman" w:hAnsi="Times New Roman" w:cs="Times New Roman"/>
          <w:sz w:val="24"/>
          <w:szCs w:val="24"/>
        </w:rPr>
        <w:t>a um patamar</w:t>
      </w:r>
      <w:r w:rsidRPr="00BB6A82">
        <w:rPr>
          <w:rFonts w:ascii="Times New Roman" w:hAnsi="Times New Roman" w:cs="Times New Roman"/>
          <w:sz w:val="24"/>
          <w:szCs w:val="24"/>
        </w:rPr>
        <w:t xml:space="preserve"> de </w:t>
      </w:r>
      <w:r w:rsidR="007D04DA">
        <w:rPr>
          <w:rFonts w:ascii="Times New Roman" w:hAnsi="Times New Roman" w:cs="Times New Roman"/>
          <w:sz w:val="24"/>
          <w:szCs w:val="24"/>
        </w:rPr>
        <w:t>in</w:t>
      </w:r>
      <w:r w:rsidRPr="00BB6A82">
        <w:rPr>
          <w:rFonts w:ascii="Times New Roman" w:hAnsi="Times New Roman" w:cs="Times New Roman"/>
          <w:sz w:val="24"/>
          <w:szCs w:val="24"/>
        </w:rPr>
        <w:t>segurança jurídica</w:t>
      </w:r>
      <w:r w:rsidR="007D04DA">
        <w:rPr>
          <w:rFonts w:ascii="Times New Roman" w:hAnsi="Times New Roman" w:cs="Times New Roman"/>
          <w:sz w:val="24"/>
          <w:szCs w:val="24"/>
        </w:rPr>
        <w:t>.</w:t>
      </w:r>
    </w:p>
    <w:p w:rsidR="00DF6681" w:rsidRDefault="007D04DA" w:rsidP="007E5E4D">
      <w:pPr>
        <w:autoSpaceDE w:val="0"/>
        <w:autoSpaceDN w:val="0"/>
        <w:adjustRightInd w:val="0"/>
        <w:spacing w:after="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Esta situação pode ser claramente observada na divergência gerada </w:t>
      </w:r>
      <w:r w:rsidRPr="007D04DA">
        <w:rPr>
          <w:rFonts w:ascii="Times New Roman" w:hAnsi="Times New Roman" w:cs="Times New Roman"/>
          <w:sz w:val="24"/>
          <w:szCs w:val="24"/>
        </w:rPr>
        <w:t>com a edição do art. 475 – J do CPC, pela Lei 11.232/05 e pela não revogação expressa do art. 732 do CPC</w:t>
      </w:r>
      <w:r w:rsidRPr="007D04DA">
        <w:rPr>
          <w:rFonts w:ascii="Times New Roman" w:hAnsi="Times New Roman" w:cs="Times New Roman"/>
          <w:bCs/>
          <w:sz w:val="24"/>
          <w:szCs w:val="24"/>
        </w:rPr>
        <w:t>.</w:t>
      </w:r>
      <w:r w:rsidRPr="009C08D6">
        <w:rPr>
          <w:rFonts w:ascii="Times New Roman" w:hAnsi="Times New Roman" w:cs="Times New Roman"/>
          <w:bCs/>
          <w:sz w:val="24"/>
          <w:szCs w:val="24"/>
        </w:rPr>
        <w:t xml:space="preserve"> </w:t>
      </w:r>
      <w:r>
        <w:rPr>
          <w:rFonts w:ascii="Times New Roman" w:hAnsi="Times New Roman" w:cs="Times New Roman"/>
          <w:bCs/>
          <w:sz w:val="24"/>
          <w:szCs w:val="24"/>
        </w:rPr>
        <w:t>Pode-se contatar</w:t>
      </w:r>
      <w:r w:rsidRPr="008C11DD">
        <w:rPr>
          <w:rFonts w:ascii="Times New Roman" w:hAnsi="Times New Roman" w:cs="Times New Roman"/>
          <w:bCs/>
          <w:sz w:val="24"/>
          <w:szCs w:val="24"/>
        </w:rPr>
        <w:t xml:space="preserve"> a existência de um conflito aparente entre </w:t>
      </w:r>
      <w:r>
        <w:rPr>
          <w:rFonts w:ascii="Times New Roman" w:hAnsi="Times New Roman" w:cs="Times New Roman"/>
          <w:bCs/>
          <w:sz w:val="24"/>
          <w:szCs w:val="24"/>
        </w:rPr>
        <w:t>tais dispositivos, além disso,</w:t>
      </w:r>
      <w:r w:rsidRPr="008C11DD">
        <w:rPr>
          <w:rFonts w:ascii="Times New Roman" w:hAnsi="Times New Roman" w:cs="Times New Roman"/>
          <w:bCs/>
          <w:sz w:val="24"/>
          <w:szCs w:val="24"/>
        </w:rPr>
        <w:t xml:space="preserve"> </w:t>
      </w:r>
      <w:r>
        <w:rPr>
          <w:rFonts w:ascii="Times New Roman" w:hAnsi="Times New Roman" w:cs="Times New Roman"/>
          <w:bCs/>
          <w:sz w:val="24"/>
          <w:szCs w:val="24"/>
        </w:rPr>
        <w:t>se observa uma</w:t>
      </w:r>
      <w:r w:rsidRPr="008C11DD">
        <w:rPr>
          <w:rFonts w:ascii="Times New Roman" w:hAnsi="Times New Roman" w:cs="Times New Roman"/>
          <w:bCs/>
          <w:sz w:val="24"/>
          <w:szCs w:val="24"/>
        </w:rPr>
        <w:t xml:space="preserve"> redução do campo de incidência do </w:t>
      </w:r>
      <w:r w:rsidR="00016E0B">
        <w:rPr>
          <w:rFonts w:ascii="Times New Roman" w:hAnsi="Times New Roman" w:cs="Times New Roman"/>
          <w:bCs/>
          <w:sz w:val="24"/>
          <w:szCs w:val="24"/>
        </w:rPr>
        <w:t>art.</w:t>
      </w:r>
      <w:r>
        <w:rPr>
          <w:rFonts w:ascii="Times New Roman" w:hAnsi="Times New Roman" w:cs="Times New Roman"/>
          <w:bCs/>
          <w:sz w:val="24"/>
          <w:szCs w:val="24"/>
        </w:rPr>
        <w:t xml:space="preserve"> 732 </w:t>
      </w:r>
      <w:r w:rsidRPr="008C11DD">
        <w:rPr>
          <w:rFonts w:ascii="Times New Roman" w:hAnsi="Times New Roman" w:cs="Times New Roman"/>
          <w:bCs/>
          <w:sz w:val="24"/>
          <w:szCs w:val="24"/>
        </w:rPr>
        <w:t xml:space="preserve">do CPC. Com </w:t>
      </w:r>
      <w:r>
        <w:rPr>
          <w:rFonts w:ascii="Times New Roman" w:hAnsi="Times New Roman" w:cs="Times New Roman"/>
          <w:bCs/>
          <w:sz w:val="24"/>
          <w:szCs w:val="24"/>
        </w:rPr>
        <w:t>o advento do artigo 475-</w:t>
      </w:r>
      <w:r w:rsidRPr="008C11DD">
        <w:rPr>
          <w:rFonts w:ascii="Times New Roman" w:hAnsi="Times New Roman" w:cs="Times New Roman"/>
          <w:bCs/>
          <w:sz w:val="24"/>
          <w:szCs w:val="24"/>
        </w:rPr>
        <w:t>J no C</w:t>
      </w:r>
      <w:r>
        <w:rPr>
          <w:rFonts w:ascii="Times New Roman" w:hAnsi="Times New Roman" w:cs="Times New Roman"/>
          <w:bCs/>
          <w:sz w:val="24"/>
          <w:szCs w:val="24"/>
        </w:rPr>
        <w:t>ódigo</w:t>
      </w:r>
      <w:r w:rsidRPr="008C11DD">
        <w:rPr>
          <w:rFonts w:ascii="Times New Roman" w:hAnsi="Times New Roman" w:cs="Times New Roman"/>
          <w:bCs/>
          <w:sz w:val="24"/>
          <w:szCs w:val="24"/>
        </w:rPr>
        <w:t xml:space="preserve"> os alimentos </w:t>
      </w:r>
      <w:r>
        <w:rPr>
          <w:rFonts w:ascii="Times New Roman" w:hAnsi="Times New Roman" w:cs="Times New Roman"/>
          <w:bCs/>
          <w:sz w:val="24"/>
          <w:szCs w:val="24"/>
        </w:rPr>
        <w:t xml:space="preserve">inadimplidos </w:t>
      </w:r>
      <w:r w:rsidRPr="008C11DD">
        <w:rPr>
          <w:rFonts w:ascii="Times New Roman" w:hAnsi="Times New Roman" w:cs="Times New Roman"/>
          <w:bCs/>
          <w:sz w:val="24"/>
          <w:szCs w:val="24"/>
        </w:rPr>
        <w:t>passa</w:t>
      </w:r>
      <w:r>
        <w:rPr>
          <w:rFonts w:ascii="Times New Roman" w:hAnsi="Times New Roman" w:cs="Times New Roman"/>
          <w:bCs/>
          <w:sz w:val="24"/>
          <w:szCs w:val="24"/>
        </w:rPr>
        <w:t>ria</w:t>
      </w:r>
      <w:r w:rsidRPr="008C11DD">
        <w:rPr>
          <w:rFonts w:ascii="Times New Roman" w:hAnsi="Times New Roman" w:cs="Times New Roman"/>
          <w:bCs/>
          <w:sz w:val="24"/>
          <w:szCs w:val="24"/>
        </w:rPr>
        <w:t xml:space="preserve">m a ser executados </w:t>
      </w:r>
      <w:r>
        <w:rPr>
          <w:rFonts w:ascii="Times New Roman" w:hAnsi="Times New Roman" w:cs="Times New Roman"/>
          <w:bCs/>
          <w:sz w:val="24"/>
          <w:szCs w:val="24"/>
        </w:rPr>
        <w:t>por meio do rito</w:t>
      </w:r>
      <w:r w:rsidRPr="008C11DD">
        <w:rPr>
          <w:rFonts w:ascii="Times New Roman" w:hAnsi="Times New Roman" w:cs="Times New Roman"/>
          <w:bCs/>
          <w:sz w:val="24"/>
          <w:szCs w:val="24"/>
        </w:rPr>
        <w:t xml:space="preserve"> </w:t>
      </w:r>
      <w:r>
        <w:rPr>
          <w:rFonts w:ascii="Times New Roman" w:hAnsi="Times New Roman" w:cs="Times New Roman"/>
          <w:bCs/>
          <w:sz w:val="24"/>
          <w:szCs w:val="24"/>
        </w:rPr>
        <w:t>de</w:t>
      </w:r>
      <w:r w:rsidRPr="008C11DD">
        <w:rPr>
          <w:rFonts w:ascii="Times New Roman" w:hAnsi="Times New Roman" w:cs="Times New Roman"/>
          <w:bCs/>
          <w:sz w:val="24"/>
          <w:szCs w:val="24"/>
        </w:rPr>
        <w:t xml:space="preserve"> cumprimento de sentença</w:t>
      </w:r>
      <w:r>
        <w:rPr>
          <w:rFonts w:ascii="Times New Roman" w:hAnsi="Times New Roman" w:cs="Times New Roman"/>
          <w:bCs/>
          <w:sz w:val="24"/>
          <w:szCs w:val="24"/>
        </w:rPr>
        <w:t>,</w:t>
      </w:r>
      <w:r w:rsidRPr="008C11DD">
        <w:rPr>
          <w:rFonts w:ascii="Times New Roman" w:hAnsi="Times New Roman" w:cs="Times New Roman"/>
          <w:bCs/>
          <w:sz w:val="24"/>
          <w:szCs w:val="24"/>
        </w:rPr>
        <w:t xml:space="preserve"> quando </w:t>
      </w:r>
      <w:r w:rsidR="00016E0B">
        <w:rPr>
          <w:rFonts w:ascii="Times New Roman" w:hAnsi="Times New Roman" w:cs="Times New Roman"/>
          <w:bCs/>
          <w:sz w:val="24"/>
          <w:szCs w:val="24"/>
        </w:rPr>
        <w:t>derivados</w:t>
      </w:r>
      <w:r w:rsidRPr="008C11DD">
        <w:rPr>
          <w:rFonts w:ascii="Times New Roman" w:hAnsi="Times New Roman" w:cs="Times New Roman"/>
          <w:bCs/>
          <w:sz w:val="24"/>
          <w:szCs w:val="24"/>
        </w:rPr>
        <w:t xml:space="preserve"> de título executivo judicial. </w:t>
      </w:r>
      <w:r w:rsidR="00016E0B">
        <w:rPr>
          <w:rFonts w:ascii="Times New Roman" w:hAnsi="Times New Roman" w:cs="Times New Roman"/>
          <w:bCs/>
          <w:sz w:val="24"/>
          <w:szCs w:val="24"/>
        </w:rPr>
        <w:t>Quando</w:t>
      </w:r>
      <w:r>
        <w:rPr>
          <w:rFonts w:ascii="Times New Roman" w:hAnsi="Times New Roman" w:cs="Times New Roman"/>
          <w:bCs/>
          <w:sz w:val="24"/>
          <w:szCs w:val="24"/>
        </w:rPr>
        <w:t xml:space="preserve"> de</w:t>
      </w:r>
      <w:r w:rsidRPr="008C11DD">
        <w:rPr>
          <w:rFonts w:ascii="Times New Roman" w:hAnsi="Times New Roman" w:cs="Times New Roman"/>
          <w:bCs/>
          <w:sz w:val="24"/>
          <w:szCs w:val="24"/>
        </w:rPr>
        <w:t xml:space="preserve"> título executivo extrajudicial a execução continua</w:t>
      </w:r>
      <w:r>
        <w:rPr>
          <w:rFonts w:ascii="Times New Roman" w:hAnsi="Times New Roman" w:cs="Times New Roman"/>
          <w:bCs/>
          <w:sz w:val="24"/>
          <w:szCs w:val="24"/>
        </w:rPr>
        <w:t>ria</w:t>
      </w:r>
      <w:r w:rsidRPr="008C11DD">
        <w:rPr>
          <w:rFonts w:ascii="Times New Roman" w:hAnsi="Times New Roman" w:cs="Times New Roman"/>
          <w:bCs/>
          <w:sz w:val="24"/>
          <w:szCs w:val="24"/>
        </w:rPr>
        <w:t xml:space="preserve"> a </w:t>
      </w:r>
      <w:r w:rsidR="00016E0B">
        <w:rPr>
          <w:rFonts w:ascii="Times New Roman" w:hAnsi="Times New Roman" w:cs="Times New Roman"/>
          <w:bCs/>
          <w:sz w:val="24"/>
          <w:szCs w:val="24"/>
        </w:rPr>
        <w:t>seguir o trâmite</w:t>
      </w:r>
      <w:r>
        <w:rPr>
          <w:rFonts w:ascii="Times New Roman" w:hAnsi="Times New Roman" w:cs="Times New Roman"/>
          <w:bCs/>
          <w:sz w:val="24"/>
          <w:szCs w:val="24"/>
        </w:rPr>
        <w:t xml:space="preserve"> </w:t>
      </w:r>
      <w:r w:rsidRPr="008C11DD">
        <w:rPr>
          <w:rFonts w:ascii="Times New Roman" w:hAnsi="Times New Roman" w:cs="Times New Roman"/>
          <w:bCs/>
          <w:sz w:val="24"/>
          <w:szCs w:val="24"/>
        </w:rPr>
        <w:t xml:space="preserve">do art. 732 </w:t>
      </w:r>
      <w:r>
        <w:rPr>
          <w:rFonts w:ascii="Times New Roman" w:hAnsi="Times New Roman" w:cs="Times New Roman"/>
          <w:bCs/>
          <w:sz w:val="24"/>
          <w:szCs w:val="24"/>
        </w:rPr>
        <w:t>do CPC (CARVALHO NETO, 2012).</w:t>
      </w:r>
    </w:p>
    <w:p w:rsidR="007D04DA" w:rsidRDefault="00DF6681" w:rsidP="007E5E4D">
      <w:pPr>
        <w:autoSpaceDE w:val="0"/>
        <w:autoSpaceDN w:val="0"/>
        <w:adjustRightInd w:val="0"/>
        <w:spacing w:after="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Lado outro, s</w:t>
      </w:r>
      <w:r w:rsidRPr="00DF6681">
        <w:rPr>
          <w:rFonts w:ascii="Times New Roman" w:hAnsi="Times New Roman" w:cs="Times New Roman"/>
          <w:bCs/>
          <w:sz w:val="24"/>
          <w:szCs w:val="24"/>
        </w:rPr>
        <w:t xml:space="preserve">ob </w:t>
      </w:r>
      <w:r>
        <w:rPr>
          <w:rFonts w:ascii="Times New Roman" w:hAnsi="Times New Roman" w:cs="Times New Roman"/>
          <w:bCs/>
          <w:sz w:val="24"/>
          <w:szCs w:val="24"/>
        </w:rPr>
        <w:t>a justificativa</w:t>
      </w:r>
      <w:r w:rsidRPr="00DF6681">
        <w:rPr>
          <w:rFonts w:ascii="Times New Roman" w:hAnsi="Times New Roman" w:cs="Times New Roman"/>
          <w:bCs/>
          <w:sz w:val="24"/>
          <w:szCs w:val="24"/>
        </w:rPr>
        <w:t xml:space="preserve"> de que</w:t>
      </w:r>
      <w:r>
        <w:rPr>
          <w:rFonts w:ascii="Times New Roman" w:hAnsi="Times New Roman" w:cs="Times New Roman"/>
          <w:bCs/>
          <w:sz w:val="24"/>
          <w:szCs w:val="24"/>
        </w:rPr>
        <w:t xml:space="preserve"> não cabe a revogação tácita no ordenamento jurídico brasileiro</w:t>
      </w:r>
      <w:r w:rsidRPr="00DF6681">
        <w:rPr>
          <w:rFonts w:ascii="Times New Roman" w:hAnsi="Times New Roman" w:cs="Times New Roman"/>
          <w:bCs/>
          <w:sz w:val="24"/>
          <w:szCs w:val="24"/>
        </w:rPr>
        <w:t xml:space="preserve">, </w:t>
      </w:r>
      <w:r>
        <w:rPr>
          <w:rFonts w:ascii="Times New Roman" w:hAnsi="Times New Roman" w:cs="Times New Roman"/>
          <w:bCs/>
          <w:sz w:val="24"/>
          <w:szCs w:val="24"/>
        </w:rPr>
        <w:t>alguns doutrinadores</w:t>
      </w:r>
      <w:r w:rsidRPr="00DF6681">
        <w:rPr>
          <w:rFonts w:ascii="Times New Roman" w:hAnsi="Times New Roman" w:cs="Times New Roman"/>
          <w:bCs/>
          <w:sz w:val="24"/>
          <w:szCs w:val="24"/>
        </w:rPr>
        <w:t xml:space="preserve"> </w:t>
      </w:r>
      <w:r>
        <w:rPr>
          <w:rFonts w:ascii="Times New Roman" w:hAnsi="Times New Roman" w:cs="Times New Roman"/>
          <w:bCs/>
          <w:sz w:val="24"/>
          <w:szCs w:val="24"/>
        </w:rPr>
        <w:t>sustentam que</w:t>
      </w:r>
      <w:r w:rsidRPr="00DF6681">
        <w:rPr>
          <w:rFonts w:ascii="Times New Roman" w:hAnsi="Times New Roman" w:cs="Times New Roman"/>
          <w:bCs/>
          <w:sz w:val="24"/>
          <w:szCs w:val="24"/>
        </w:rPr>
        <w:t>, em se</w:t>
      </w:r>
      <w:r>
        <w:rPr>
          <w:rFonts w:ascii="Times New Roman" w:hAnsi="Times New Roman" w:cs="Times New Roman"/>
          <w:bCs/>
          <w:sz w:val="24"/>
          <w:szCs w:val="24"/>
        </w:rPr>
        <w:t>de</w:t>
      </w:r>
      <w:r w:rsidRPr="00DF6681">
        <w:rPr>
          <w:rFonts w:ascii="Times New Roman" w:hAnsi="Times New Roman" w:cs="Times New Roman"/>
          <w:bCs/>
          <w:sz w:val="24"/>
          <w:szCs w:val="24"/>
        </w:rPr>
        <w:t xml:space="preserve"> de </w:t>
      </w:r>
      <w:r>
        <w:rPr>
          <w:rFonts w:ascii="Times New Roman" w:hAnsi="Times New Roman" w:cs="Times New Roman"/>
          <w:bCs/>
          <w:sz w:val="24"/>
          <w:szCs w:val="24"/>
        </w:rPr>
        <w:t xml:space="preserve">dívida de alimentos, </w:t>
      </w:r>
      <w:r w:rsidRPr="00DF6681">
        <w:rPr>
          <w:rFonts w:ascii="Times New Roman" w:hAnsi="Times New Roman" w:cs="Times New Roman"/>
          <w:bCs/>
          <w:sz w:val="24"/>
          <w:szCs w:val="24"/>
        </w:rPr>
        <w:t>o procedimento executório anterior</w:t>
      </w:r>
      <w:r>
        <w:rPr>
          <w:rFonts w:ascii="Times New Roman" w:hAnsi="Times New Roman" w:cs="Times New Roman"/>
          <w:bCs/>
          <w:sz w:val="24"/>
          <w:szCs w:val="24"/>
        </w:rPr>
        <w:t xml:space="preserve"> continua a viger (DIAS, 2007)</w:t>
      </w:r>
      <w:r w:rsidRPr="00DF6681">
        <w:rPr>
          <w:rFonts w:ascii="Times New Roman" w:hAnsi="Times New Roman" w:cs="Times New Roman"/>
          <w:bCs/>
          <w:sz w:val="24"/>
          <w:szCs w:val="24"/>
        </w:rPr>
        <w:t xml:space="preserve">. </w:t>
      </w:r>
      <w:r>
        <w:rPr>
          <w:rFonts w:ascii="Times New Roman" w:hAnsi="Times New Roman" w:cs="Times New Roman"/>
          <w:bCs/>
          <w:sz w:val="24"/>
          <w:szCs w:val="24"/>
        </w:rPr>
        <w:t xml:space="preserve">Isto ocorreria pela omissão </w:t>
      </w:r>
      <w:r w:rsidRPr="00DF6681">
        <w:rPr>
          <w:rFonts w:ascii="Times New Roman" w:hAnsi="Times New Roman" w:cs="Times New Roman"/>
          <w:bCs/>
          <w:sz w:val="24"/>
          <w:szCs w:val="24"/>
        </w:rPr>
        <w:t>de</w:t>
      </w:r>
      <w:r>
        <w:rPr>
          <w:rFonts w:ascii="Times New Roman" w:hAnsi="Times New Roman" w:cs="Times New Roman"/>
          <w:bCs/>
          <w:sz w:val="24"/>
          <w:szCs w:val="24"/>
        </w:rPr>
        <w:t xml:space="preserve"> quais</w:t>
      </w:r>
      <w:r w:rsidRPr="00DF6681">
        <w:rPr>
          <w:rFonts w:ascii="Times New Roman" w:hAnsi="Times New Roman" w:cs="Times New Roman"/>
          <w:bCs/>
          <w:sz w:val="24"/>
          <w:szCs w:val="24"/>
        </w:rPr>
        <w:t>quer referência</w:t>
      </w:r>
      <w:r>
        <w:rPr>
          <w:rFonts w:ascii="Times New Roman" w:hAnsi="Times New Roman" w:cs="Times New Roman"/>
          <w:bCs/>
          <w:sz w:val="24"/>
          <w:szCs w:val="24"/>
        </w:rPr>
        <w:t>s à obrigação alimentícia</w:t>
      </w:r>
      <w:r w:rsidRPr="00DF6681">
        <w:rPr>
          <w:rFonts w:ascii="Times New Roman" w:hAnsi="Times New Roman" w:cs="Times New Roman"/>
          <w:bCs/>
          <w:sz w:val="24"/>
          <w:szCs w:val="24"/>
        </w:rPr>
        <w:t xml:space="preserve"> nas </w:t>
      </w:r>
      <w:r>
        <w:rPr>
          <w:rFonts w:ascii="Times New Roman" w:hAnsi="Times New Roman" w:cs="Times New Roman"/>
          <w:bCs/>
          <w:sz w:val="24"/>
          <w:szCs w:val="24"/>
        </w:rPr>
        <w:t>atuais normas</w:t>
      </w:r>
      <w:r w:rsidRPr="00DF6681">
        <w:rPr>
          <w:rFonts w:ascii="Times New Roman" w:hAnsi="Times New Roman" w:cs="Times New Roman"/>
          <w:bCs/>
          <w:sz w:val="24"/>
          <w:szCs w:val="24"/>
        </w:rPr>
        <w:t xml:space="preserve"> de cumprimento de sentença (arts. 475-A a 475-R</w:t>
      </w:r>
      <w:r>
        <w:rPr>
          <w:rFonts w:ascii="Times New Roman" w:hAnsi="Times New Roman" w:cs="Times New Roman"/>
          <w:bCs/>
          <w:sz w:val="24"/>
          <w:szCs w:val="24"/>
        </w:rPr>
        <w:t xml:space="preserve"> do CPC).</w:t>
      </w:r>
    </w:p>
    <w:p w:rsidR="00B83F9C" w:rsidRDefault="00B83F9C" w:rsidP="007E5E4D">
      <w:pPr>
        <w:autoSpaceDE w:val="0"/>
        <w:autoSpaceDN w:val="0"/>
        <w:adjustRightInd w:val="0"/>
        <w:spacing w:after="120" w:line="360" w:lineRule="auto"/>
        <w:ind w:firstLine="1134"/>
        <w:jc w:val="both"/>
        <w:rPr>
          <w:rFonts w:ascii="Times New Roman" w:hAnsi="Times New Roman" w:cs="Times New Roman"/>
          <w:bCs/>
          <w:sz w:val="24"/>
          <w:szCs w:val="24"/>
        </w:rPr>
      </w:pPr>
      <w:r w:rsidRPr="00B83F9C">
        <w:rPr>
          <w:rFonts w:ascii="Times New Roman" w:hAnsi="Times New Roman" w:cs="Times New Roman"/>
          <w:sz w:val="24"/>
          <w:szCs w:val="24"/>
        </w:rPr>
        <w:t>A coexistência de dois instrumentos</w:t>
      </w:r>
      <w:r w:rsidR="0008359B" w:rsidRPr="00B83F9C">
        <w:rPr>
          <w:rFonts w:ascii="Times New Roman" w:hAnsi="Times New Roman" w:cs="Times New Roman"/>
          <w:sz w:val="24"/>
          <w:szCs w:val="24"/>
        </w:rPr>
        <w:t xml:space="preserve"> processuais</w:t>
      </w:r>
      <w:r>
        <w:rPr>
          <w:rFonts w:ascii="Times New Roman" w:hAnsi="Times New Roman" w:cs="Times New Roman"/>
          <w:sz w:val="24"/>
          <w:szCs w:val="24"/>
        </w:rPr>
        <w:t>, em um mesmo ordenamento jurídico</w:t>
      </w:r>
      <w:r w:rsidR="0008359B" w:rsidRPr="00B83F9C">
        <w:rPr>
          <w:rFonts w:ascii="Times New Roman" w:hAnsi="Times New Roman" w:cs="Times New Roman"/>
          <w:sz w:val="24"/>
          <w:szCs w:val="24"/>
        </w:rPr>
        <w:t xml:space="preserve">, cuja incidência </w:t>
      </w:r>
      <w:r w:rsidRPr="00B83F9C">
        <w:rPr>
          <w:rFonts w:ascii="Times New Roman" w:hAnsi="Times New Roman" w:cs="Times New Roman"/>
          <w:sz w:val="24"/>
          <w:szCs w:val="24"/>
        </w:rPr>
        <w:t>se dá sobre</w:t>
      </w:r>
      <w:r w:rsidR="0008359B" w:rsidRPr="00B83F9C">
        <w:rPr>
          <w:rFonts w:ascii="Times New Roman" w:hAnsi="Times New Roman" w:cs="Times New Roman"/>
          <w:sz w:val="24"/>
          <w:szCs w:val="24"/>
        </w:rPr>
        <w:t xml:space="preserve"> uma situação </w:t>
      </w:r>
      <w:r w:rsidRPr="00B83F9C">
        <w:rPr>
          <w:rFonts w:ascii="Times New Roman" w:hAnsi="Times New Roman" w:cs="Times New Roman"/>
          <w:sz w:val="24"/>
          <w:szCs w:val="24"/>
        </w:rPr>
        <w:t>fática</w:t>
      </w:r>
      <w:r w:rsidR="0008359B" w:rsidRPr="00B83F9C">
        <w:rPr>
          <w:rFonts w:ascii="Times New Roman" w:hAnsi="Times New Roman" w:cs="Times New Roman"/>
          <w:sz w:val="24"/>
          <w:szCs w:val="24"/>
        </w:rPr>
        <w:t xml:space="preserve"> idêntica, </w:t>
      </w:r>
      <w:r w:rsidRPr="00B83F9C">
        <w:rPr>
          <w:rFonts w:ascii="Times New Roman" w:hAnsi="Times New Roman" w:cs="Times New Roman"/>
          <w:sz w:val="24"/>
          <w:szCs w:val="24"/>
        </w:rPr>
        <w:t>gera uma confusão acerca da aplicação da lei</w:t>
      </w:r>
      <w:r w:rsidR="0008359B" w:rsidRPr="00B83F9C">
        <w:rPr>
          <w:rFonts w:ascii="Times New Roman" w:hAnsi="Times New Roman" w:cs="Times New Roman"/>
          <w:sz w:val="24"/>
          <w:szCs w:val="24"/>
        </w:rPr>
        <w:t>.</w:t>
      </w:r>
      <w:r w:rsidR="00016E0B" w:rsidRPr="00B83F9C">
        <w:rPr>
          <w:rFonts w:ascii="Times New Roman" w:hAnsi="Times New Roman" w:cs="Times New Roman"/>
          <w:sz w:val="24"/>
          <w:szCs w:val="24"/>
        </w:rPr>
        <w:t xml:space="preserve"> </w:t>
      </w:r>
      <w:r w:rsidR="0008359B" w:rsidRPr="00B83F9C">
        <w:rPr>
          <w:rFonts w:ascii="Times New Roman" w:hAnsi="Times New Roman" w:cs="Times New Roman"/>
          <w:sz w:val="24"/>
          <w:szCs w:val="24"/>
        </w:rPr>
        <w:t xml:space="preserve">A questão </w:t>
      </w:r>
      <w:r w:rsidRPr="00B83F9C">
        <w:rPr>
          <w:rFonts w:ascii="Times New Roman" w:hAnsi="Times New Roman" w:cs="Times New Roman"/>
          <w:sz w:val="24"/>
          <w:szCs w:val="24"/>
        </w:rPr>
        <w:t>da prestação alimentícia por</w:t>
      </w:r>
      <w:r w:rsidR="0008359B" w:rsidRPr="00B83F9C">
        <w:rPr>
          <w:rFonts w:ascii="Times New Roman" w:hAnsi="Times New Roman" w:cs="Times New Roman"/>
          <w:sz w:val="24"/>
          <w:szCs w:val="24"/>
        </w:rPr>
        <w:t xml:space="preserve"> via judicial </w:t>
      </w:r>
      <w:r w:rsidRPr="00B83F9C">
        <w:rPr>
          <w:rFonts w:ascii="Times New Roman" w:hAnsi="Times New Roman" w:cs="Times New Roman"/>
          <w:sz w:val="24"/>
          <w:szCs w:val="24"/>
        </w:rPr>
        <w:t>di</w:t>
      </w:r>
      <w:r w:rsidR="0008359B" w:rsidRPr="00B83F9C">
        <w:rPr>
          <w:rFonts w:ascii="Times New Roman" w:hAnsi="Times New Roman" w:cs="Times New Roman"/>
          <w:sz w:val="24"/>
          <w:szCs w:val="24"/>
        </w:rPr>
        <w:t xml:space="preserve">ante </w:t>
      </w:r>
      <w:r w:rsidRPr="00B83F9C">
        <w:rPr>
          <w:rFonts w:ascii="Times New Roman" w:hAnsi="Times New Roman" w:cs="Times New Roman"/>
          <w:sz w:val="24"/>
          <w:szCs w:val="24"/>
        </w:rPr>
        <w:t>de seu</w:t>
      </w:r>
      <w:r w:rsidR="0008359B" w:rsidRPr="00B83F9C">
        <w:rPr>
          <w:rFonts w:ascii="Times New Roman" w:hAnsi="Times New Roman" w:cs="Times New Roman"/>
          <w:sz w:val="24"/>
          <w:szCs w:val="24"/>
        </w:rPr>
        <w:t xml:space="preserve"> inadimplemento </w:t>
      </w:r>
      <w:r w:rsidRPr="00B83F9C">
        <w:rPr>
          <w:rFonts w:ascii="Times New Roman" w:hAnsi="Times New Roman" w:cs="Times New Roman"/>
          <w:sz w:val="24"/>
          <w:szCs w:val="24"/>
        </w:rPr>
        <w:t>é obstada pela</w:t>
      </w:r>
      <w:r w:rsidR="0008359B" w:rsidRPr="00B83F9C">
        <w:rPr>
          <w:rFonts w:ascii="Times New Roman" w:hAnsi="Times New Roman" w:cs="Times New Roman"/>
          <w:sz w:val="24"/>
          <w:szCs w:val="24"/>
        </w:rPr>
        <w:t xml:space="preserve"> falta de sistematização da matéria</w:t>
      </w:r>
      <w:r>
        <w:rPr>
          <w:rFonts w:ascii="Times New Roman" w:hAnsi="Times New Roman" w:cs="Times New Roman"/>
          <w:sz w:val="24"/>
          <w:szCs w:val="24"/>
        </w:rPr>
        <w:t xml:space="preserve"> (</w:t>
      </w:r>
      <w:r>
        <w:rPr>
          <w:rFonts w:ascii="Times New Roman" w:hAnsi="Times New Roman" w:cs="Times New Roman"/>
          <w:bCs/>
          <w:sz w:val="24"/>
          <w:szCs w:val="24"/>
        </w:rPr>
        <w:t>CARVALHO NETO, 2012)</w:t>
      </w:r>
      <w:r w:rsidR="0008359B" w:rsidRPr="00B83F9C">
        <w:rPr>
          <w:rFonts w:ascii="Times New Roman" w:hAnsi="Times New Roman" w:cs="Times New Roman"/>
          <w:sz w:val="24"/>
          <w:szCs w:val="24"/>
        </w:rPr>
        <w:t>.</w:t>
      </w:r>
      <w:r w:rsidR="0008359B" w:rsidRPr="0008359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bCs/>
          <w:sz w:val="24"/>
          <w:szCs w:val="24"/>
        </w:rPr>
        <w:t>Visto</w:t>
      </w:r>
      <w:r w:rsidRPr="00EE013C">
        <w:rPr>
          <w:rFonts w:ascii="Times New Roman" w:hAnsi="Times New Roman" w:cs="Times New Roman"/>
          <w:bCs/>
          <w:sz w:val="24"/>
          <w:szCs w:val="24"/>
        </w:rPr>
        <w:t xml:space="preserve"> que</w:t>
      </w:r>
      <w:r>
        <w:rPr>
          <w:rFonts w:ascii="Times New Roman" w:hAnsi="Times New Roman" w:cs="Times New Roman"/>
          <w:bCs/>
          <w:sz w:val="24"/>
          <w:szCs w:val="24"/>
        </w:rPr>
        <w:t>,</w:t>
      </w:r>
      <w:r w:rsidRPr="00EE013C">
        <w:rPr>
          <w:rFonts w:ascii="Times New Roman" w:hAnsi="Times New Roman" w:cs="Times New Roman"/>
          <w:bCs/>
          <w:sz w:val="24"/>
          <w:szCs w:val="24"/>
        </w:rPr>
        <w:t xml:space="preserve"> não houve</w:t>
      </w:r>
      <w:r>
        <w:rPr>
          <w:rFonts w:ascii="Times New Roman" w:hAnsi="Times New Roman" w:cs="Times New Roman"/>
          <w:bCs/>
          <w:sz w:val="24"/>
          <w:szCs w:val="24"/>
        </w:rPr>
        <w:t>ram</w:t>
      </w:r>
      <w:r w:rsidRPr="00EE013C">
        <w:rPr>
          <w:rFonts w:ascii="Times New Roman" w:hAnsi="Times New Roman" w:cs="Times New Roman"/>
          <w:bCs/>
          <w:sz w:val="24"/>
          <w:szCs w:val="24"/>
        </w:rPr>
        <w:t xml:space="preserve"> </w:t>
      </w:r>
      <w:r>
        <w:rPr>
          <w:rFonts w:ascii="Times New Roman" w:hAnsi="Times New Roman" w:cs="Times New Roman"/>
          <w:bCs/>
          <w:sz w:val="24"/>
          <w:szCs w:val="24"/>
        </w:rPr>
        <w:t>quaisquer</w:t>
      </w:r>
      <w:r w:rsidRPr="00EE013C">
        <w:rPr>
          <w:rFonts w:ascii="Times New Roman" w:hAnsi="Times New Roman" w:cs="Times New Roman"/>
          <w:bCs/>
          <w:sz w:val="24"/>
          <w:szCs w:val="24"/>
        </w:rPr>
        <w:t xml:space="preserve"> </w:t>
      </w:r>
      <w:r>
        <w:rPr>
          <w:rFonts w:ascii="Times New Roman" w:hAnsi="Times New Roman" w:cs="Times New Roman"/>
          <w:bCs/>
          <w:sz w:val="24"/>
          <w:szCs w:val="24"/>
        </w:rPr>
        <w:t>alterações</w:t>
      </w:r>
      <w:r w:rsidRPr="00EE013C">
        <w:rPr>
          <w:rFonts w:ascii="Times New Roman" w:hAnsi="Times New Roman" w:cs="Times New Roman"/>
          <w:bCs/>
          <w:sz w:val="24"/>
          <w:szCs w:val="24"/>
        </w:rPr>
        <w:t xml:space="preserve"> no Capítulo do CPC que </w:t>
      </w:r>
      <w:r>
        <w:rPr>
          <w:rFonts w:ascii="Times New Roman" w:hAnsi="Times New Roman" w:cs="Times New Roman"/>
          <w:bCs/>
          <w:sz w:val="24"/>
          <w:szCs w:val="24"/>
        </w:rPr>
        <w:t>dispõe sobre a</w:t>
      </w:r>
      <w:r w:rsidRPr="00EE013C">
        <w:rPr>
          <w:rFonts w:ascii="Times New Roman" w:hAnsi="Times New Roman" w:cs="Times New Roman"/>
          <w:bCs/>
          <w:sz w:val="24"/>
          <w:szCs w:val="24"/>
        </w:rPr>
        <w:t xml:space="preserve"> ex</w:t>
      </w:r>
      <w:r>
        <w:rPr>
          <w:rFonts w:ascii="Times New Roman" w:hAnsi="Times New Roman" w:cs="Times New Roman"/>
          <w:bCs/>
          <w:sz w:val="24"/>
          <w:szCs w:val="24"/>
        </w:rPr>
        <w:t>ecução de alimentos (Capítulo V, Título II, Livro II, art.</w:t>
      </w:r>
      <w:r w:rsidRPr="00EE013C">
        <w:rPr>
          <w:rFonts w:ascii="Times New Roman" w:hAnsi="Times New Roman" w:cs="Times New Roman"/>
          <w:bCs/>
          <w:sz w:val="24"/>
          <w:szCs w:val="24"/>
        </w:rPr>
        <w:t xml:space="preserve"> 732 </w:t>
      </w:r>
      <w:r>
        <w:rPr>
          <w:rFonts w:ascii="Times New Roman" w:hAnsi="Times New Roman" w:cs="Times New Roman"/>
          <w:bCs/>
          <w:sz w:val="24"/>
          <w:szCs w:val="24"/>
        </w:rPr>
        <w:t xml:space="preserve">a 735, </w:t>
      </w:r>
      <w:r w:rsidRPr="00EE013C">
        <w:rPr>
          <w:rFonts w:ascii="Times New Roman" w:hAnsi="Times New Roman" w:cs="Times New Roman"/>
          <w:bCs/>
          <w:sz w:val="24"/>
          <w:szCs w:val="24"/>
        </w:rPr>
        <w:t xml:space="preserve">CPC), </w:t>
      </w:r>
      <w:r>
        <w:rPr>
          <w:rFonts w:ascii="Times New Roman" w:hAnsi="Times New Roman" w:cs="Times New Roman"/>
          <w:bCs/>
          <w:sz w:val="24"/>
          <w:szCs w:val="24"/>
        </w:rPr>
        <w:t>seria</w:t>
      </w:r>
      <w:r w:rsidRPr="00EE013C">
        <w:rPr>
          <w:rFonts w:ascii="Times New Roman" w:hAnsi="Times New Roman" w:cs="Times New Roman"/>
          <w:bCs/>
          <w:sz w:val="24"/>
          <w:szCs w:val="24"/>
        </w:rPr>
        <w:t xml:space="preserve"> possível sustentar a aplicação da nova sistemática d</w:t>
      </w:r>
      <w:r>
        <w:rPr>
          <w:rFonts w:ascii="Times New Roman" w:hAnsi="Times New Roman" w:cs="Times New Roman"/>
          <w:bCs/>
          <w:sz w:val="24"/>
          <w:szCs w:val="24"/>
        </w:rPr>
        <w:t>e execução aos casos de dívidas de alimentos</w:t>
      </w:r>
      <w:r w:rsidRPr="00EE013C">
        <w:rPr>
          <w:rFonts w:ascii="Times New Roman" w:hAnsi="Times New Roman" w:cs="Times New Roman"/>
          <w:bCs/>
          <w:sz w:val="24"/>
          <w:szCs w:val="24"/>
        </w:rPr>
        <w:t>?</w:t>
      </w:r>
      <w:r>
        <w:rPr>
          <w:rFonts w:ascii="Times New Roman" w:hAnsi="Times New Roman" w:cs="Times New Roman"/>
          <w:bCs/>
          <w:sz w:val="24"/>
          <w:szCs w:val="24"/>
        </w:rPr>
        <w:t xml:space="preserve"> </w:t>
      </w:r>
    </w:p>
    <w:p w:rsidR="00016E0B" w:rsidRDefault="00016E0B" w:rsidP="007E5E4D">
      <w:pPr>
        <w:spacing w:after="120" w:line="240" w:lineRule="auto"/>
        <w:ind w:firstLine="1134"/>
        <w:jc w:val="both"/>
        <w:rPr>
          <w:rFonts w:ascii="Times New Roman" w:hAnsi="Times New Roman" w:cs="Times New Roman"/>
          <w:color w:val="FF0000"/>
          <w:sz w:val="24"/>
          <w:szCs w:val="24"/>
        </w:rPr>
      </w:pPr>
    </w:p>
    <w:p w:rsidR="00BE0BEF" w:rsidRPr="0008359B" w:rsidRDefault="00BE0BEF" w:rsidP="007E5E4D">
      <w:pPr>
        <w:spacing w:after="120" w:line="240" w:lineRule="auto"/>
        <w:ind w:firstLine="1134"/>
        <w:jc w:val="both"/>
        <w:rPr>
          <w:rFonts w:ascii="Times New Roman" w:hAnsi="Times New Roman" w:cs="Times New Roman"/>
          <w:color w:val="FF0000"/>
          <w:sz w:val="24"/>
          <w:szCs w:val="24"/>
        </w:rPr>
      </w:pPr>
    </w:p>
    <w:p w:rsidR="004A3EDF" w:rsidRDefault="004A3EDF" w:rsidP="007E5E4D">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A EXECUÇÃO NO PROCESSO CIVIL</w:t>
      </w:r>
    </w:p>
    <w:p w:rsidR="00BE0BEF" w:rsidRDefault="00BE0BEF" w:rsidP="007E5E4D">
      <w:pPr>
        <w:spacing w:after="120" w:line="240" w:lineRule="auto"/>
        <w:jc w:val="both"/>
        <w:rPr>
          <w:rFonts w:ascii="Times New Roman" w:hAnsi="Times New Roman" w:cs="Times New Roman"/>
          <w:b/>
          <w:sz w:val="24"/>
          <w:szCs w:val="24"/>
        </w:rPr>
      </w:pPr>
    </w:p>
    <w:p w:rsidR="00DB4E8C" w:rsidRDefault="00E17E53" w:rsidP="007E5E4D">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a uma prestação é o poder jurídico, conferido a alguém, de exigir de outrem o cumprimento de uma prestação (conduta), que pode ser um fazer, um não fazer, ou um dar” (DIDIER</w:t>
      </w:r>
      <w:r w:rsidR="00EB4D88">
        <w:rPr>
          <w:rFonts w:ascii="Times New Roman" w:hAnsi="Times New Roman" w:cs="Times New Roman"/>
          <w:sz w:val="24"/>
          <w:szCs w:val="24"/>
        </w:rPr>
        <w:t xml:space="preserve"> JR.</w:t>
      </w:r>
      <w:r>
        <w:rPr>
          <w:rFonts w:ascii="Times New Roman" w:hAnsi="Times New Roman" w:cs="Times New Roman"/>
          <w:sz w:val="24"/>
          <w:szCs w:val="24"/>
        </w:rPr>
        <w:t>, 2011, p. 26). Contudo o Estado brasileiro proíbe a autotutela o titular não pode obrigar que outrem cumpra com sua obrigação, com isso, deve recorrer ao Poder Judiciário a fim de que a prestação seja concretizada.</w:t>
      </w:r>
      <w:r w:rsidR="00D745BF">
        <w:rPr>
          <w:rFonts w:ascii="Times New Roman" w:hAnsi="Times New Roman" w:cs="Times New Roman"/>
          <w:sz w:val="24"/>
          <w:szCs w:val="24"/>
        </w:rPr>
        <w:t xml:space="preserve"> Assim, </w:t>
      </w:r>
      <w:r w:rsidR="00D745BF">
        <w:rPr>
          <w:rFonts w:ascii="Times New Roman" w:hAnsi="Times New Roman" w:cs="Times New Roman"/>
          <w:bCs/>
          <w:sz w:val="24"/>
          <w:szCs w:val="24"/>
        </w:rPr>
        <w:t>"a</w:t>
      </w:r>
      <w:r w:rsidR="00D745BF" w:rsidRPr="00A51F3B">
        <w:rPr>
          <w:rFonts w:ascii="Times New Roman" w:hAnsi="Times New Roman" w:cs="Times New Roman"/>
          <w:bCs/>
          <w:sz w:val="24"/>
          <w:szCs w:val="24"/>
        </w:rPr>
        <w:t xml:space="preserve"> execução pressupõe uma obrigação sob a qual não pairam incertezas quanto a sua existência e titularidade, cabendo ao Estado forçar aquele que tem </w:t>
      </w:r>
      <w:r w:rsidR="00D745BF">
        <w:rPr>
          <w:rFonts w:ascii="Times New Roman" w:hAnsi="Times New Roman" w:cs="Times New Roman"/>
          <w:bCs/>
          <w:sz w:val="24"/>
          <w:szCs w:val="24"/>
        </w:rPr>
        <w:t>o dever de cumpri-la a fazê-la (MELLO, p. 01, 2010)”.</w:t>
      </w:r>
      <w:r w:rsidR="00DB4E8C">
        <w:rPr>
          <w:rFonts w:ascii="Times New Roman" w:hAnsi="Times New Roman" w:cs="Times New Roman"/>
          <w:sz w:val="24"/>
          <w:szCs w:val="24"/>
        </w:rPr>
        <w:t xml:space="preserve"> A execução</w:t>
      </w:r>
      <w:r w:rsidR="00D745BF">
        <w:rPr>
          <w:rFonts w:ascii="Times New Roman" w:hAnsi="Times New Roman" w:cs="Times New Roman"/>
          <w:sz w:val="24"/>
          <w:szCs w:val="24"/>
        </w:rPr>
        <w:t xml:space="preserve"> também</w:t>
      </w:r>
      <w:r w:rsidR="00DB4E8C">
        <w:rPr>
          <w:rFonts w:ascii="Times New Roman" w:hAnsi="Times New Roman" w:cs="Times New Roman"/>
          <w:sz w:val="24"/>
          <w:szCs w:val="24"/>
        </w:rPr>
        <w:t xml:space="preserve"> é conceituada por Cândido Rangel Dinamarco como “conjunto de atos estatais através de que, com ou sem o concurso da vontade do devedor (e até contra ela), invade-se seu patrimônio para, à custa dele, realizar-se o resultado prático desejado concretamente pelo direito objetivo material” (DINAMARCO, 1997, p. 115).</w:t>
      </w:r>
      <w:r w:rsidR="008A7C8F">
        <w:rPr>
          <w:rFonts w:ascii="Times New Roman" w:hAnsi="Times New Roman" w:cs="Times New Roman"/>
          <w:sz w:val="24"/>
          <w:szCs w:val="24"/>
        </w:rPr>
        <w:t xml:space="preserve"> </w:t>
      </w:r>
    </w:p>
    <w:p w:rsidR="00847F4E" w:rsidRDefault="00CF37E7" w:rsidP="007E5E4D">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Brasil durante muitos anos a execução foi tratada como processo autônomo em relação o processo de natureza cognitiva. Porém com o advento da</w:t>
      </w:r>
      <w:r w:rsidR="00847F4E">
        <w:rPr>
          <w:rFonts w:ascii="Times New Roman" w:hAnsi="Times New Roman" w:cs="Times New Roman"/>
          <w:sz w:val="24"/>
          <w:szCs w:val="24"/>
        </w:rPr>
        <w:t>s</w:t>
      </w:r>
      <w:r>
        <w:rPr>
          <w:rFonts w:ascii="Times New Roman" w:hAnsi="Times New Roman" w:cs="Times New Roman"/>
          <w:sz w:val="24"/>
          <w:szCs w:val="24"/>
        </w:rPr>
        <w:t xml:space="preserve"> lei</w:t>
      </w:r>
      <w:r w:rsidR="00847F4E">
        <w:rPr>
          <w:rFonts w:ascii="Times New Roman" w:hAnsi="Times New Roman" w:cs="Times New Roman"/>
          <w:sz w:val="24"/>
          <w:szCs w:val="24"/>
        </w:rPr>
        <w:t>s</w:t>
      </w:r>
      <w:r>
        <w:rPr>
          <w:rFonts w:ascii="Times New Roman" w:hAnsi="Times New Roman" w:cs="Times New Roman"/>
          <w:sz w:val="24"/>
          <w:szCs w:val="24"/>
        </w:rPr>
        <w:t xml:space="preserve"> n° 10.444/2002 </w:t>
      </w:r>
      <w:r w:rsidR="00847F4E">
        <w:rPr>
          <w:rFonts w:ascii="Times New Roman" w:hAnsi="Times New Roman" w:cs="Times New Roman"/>
          <w:sz w:val="24"/>
          <w:szCs w:val="24"/>
        </w:rPr>
        <w:t xml:space="preserve">e n° 11.232/05 </w:t>
      </w:r>
      <w:r>
        <w:rPr>
          <w:rFonts w:ascii="Times New Roman" w:hAnsi="Times New Roman" w:cs="Times New Roman"/>
          <w:sz w:val="24"/>
          <w:szCs w:val="24"/>
        </w:rPr>
        <w:t>houveram mudanças no modelo estabelecido anteriormente, com exceção das obrigações pecuniárias, para as quais ainda subsiste a independência entre processo</w:t>
      </w:r>
      <w:r w:rsidR="00847F4E">
        <w:rPr>
          <w:rFonts w:ascii="Times New Roman" w:hAnsi="Times New Roman" w:cs="Times New Roman"/>
          <w:sz w:val="24"/>
          <w:szCs w:val="24"/>
        </w:rPr>
        <w:t xml:space="preserve"> de conhecimento e de execução. Sobre isto Daniel Amorim Assumpção Neves destaca:</w:t>
      </w:r>
    </w:p>
    <w:p w:rsidR="00847F4E" w:rsidRDefault="00847F4E" w:rsidP="007E5E4D">
      <w:pPr>
        <w:autoSpaceDE w:val="0"/>
        <w:autoSpaceDN w:val="0"/>
        <w:adjustRightInd w:val="0"/>
        <w:spacing w:after="120" w:line="240" w:lineRule="auto"/>
        <w:ind w:left="2268"/>
        <w:jc w:val="both"/>
        <w:rPr>
          <w:rFonts w:ascii="Times New Roman" w:hAnsi="Times New Roman" w:cs="Times New Roman"/>
          <w:sz w:val="20"/>
          <w:szCs w:val="20"/>
        </w:rPr>
      </w:pPr>
      <w:r w:rsidRPr="00847F4E">
        <w:rPr>
          <w:rFonts w:ascii="Times New Roman" w:hAnsi="Times New Roman" w:cs="Times New Roman"/>
          <w:sz w:val="20"/>
          <w:szCs w:val="20"/>
        </w:rPr>
        <w:t xml:space="preserve">Com a alteração legislativa empreendida pela Lei 11.232/2005, a regra e a exceção se inverteram. Verificando-se na praxe forense as dificuldades criadas pela autonomia do processo de execução, que costuma arrastar ainda mais alguns anos a satisfação do direito, o legislador resolveu </w:t>
      </w:r>
      <w:r>
        <w:rPr>
          <w:rFonts w:ascii="Times New Roman" w:hAnsi="Times New Roman" w:cs="Times New Roman"/>
          <w:sz w:val="20"/>
          <w:szCs w:val="20"/>
        </w:rPr>
        <w:t>definitivamente colocar a té</w:t>
      </w:r>
      <w:r w:rsidRPr="00847F4E">
        <w:rPr>
          <w:rFonts w:ascii="Times New Roman" w:hAnsi="Times New Roman" w:cs="Times New Roman"/>
          <w:sz w:val="20"/>
          <w:szCs w:val="20"/>
        </w:rPr>
        <w:t>cnica de lado ao prever de forma genérica a idéia da ação sincrética, limitando a utilização do processo autônomo de execução tão somente aquelas hipóteses nas quais não e possível a adoção do procedimento de cumprimento de sentença. A regra de nosso sistema passou a ser a execução imediata, por mera fase procedimental, enquanto somente em situações excepcionais o titulo executivo será executado por meio de um processo autônomo. Como se nota, a Lei 11.232/2005 não criou as ações sincréticas, sendo na realidade o ato final de uma transformação sistêmica iniciada em 1990. Também não extinguiu o processo autônomo de execução de titulo judicial, porque, ainda que excepcionalmente, ele continua a existir</w:t>
      </w:r>
      <w:r>
        <w:rPr>
          <w:rFonts w:ascii="Times New Roman" w:hAnsi="Times New Roman" w:cs="Times New Roman"/>
          <w:sz w:val="20"/>
          <w:szCs w:val="20"/>
        </w:rPr>
        <w:t xml:space="preserve"> (NEVES, 2013, 813)</w:t>
      </w:r>
      <w:r w:rsidRPr="00847F4E">
        <w:rPr>
          <w:rFonts w:ascii="Times New Roman" w:hAnsi="Times New Roman" w:cs="Times New Roman"/>
          <w:sz w:val="20"/>
          <w:szCs w:val="20"/>
        </w:rPr>
        <w:t>.</w:t>
      </w:r>
    </w:p>
    <w:p w:rsidR="000A5FBA" w:rsidRDefault="000A5FBA" w:rsidP="007E5E4D">
      <w:pPr>
        <w:spacing w:after="120" w:line="240" w:lineRule="auto"/>
        <w:ind w:firstLine="1134"/>
        <w:jc w:val="both"/>
        <w:rPr>
          <w:rFonts w:ascii="Times New Roman" w:hAnsi="Times New Roman" w:cs="Times New Roman"/>
          <w:sz w:val="24"/>
          <w:szCs w:val="24"/>
        </w:rPr>
      </w:pPr>
    </w:p>
    <w:p w:rsidR="00CF37E7" w:rsidRDefault="00FC6CB6" w:rsidP="007E5E4D">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desta lei a condenação não mais exaure o processo no qual o direito foi questionado, tornando-</w:t>
      </w:r>
      <w:r w:rsidR="00847F4E">
        <w:rPr>
          <w:rFonts w:ascii="Times New Roman" w:hAnsi="Times New Roman" w:cs="Times New Roman"/>
          <w:sz w:val="24"/>
          <w:szCs w:val="24"/>
        </w:rPr>
        <w:t xml:space="preserve">se uma extensão deste. </w:t>
      </w:r>
      <w:r>
        <w:rPr>
          <w:rFonts w:ascii="Times New Roman" w:hAnsi="Times New Roman" w:cs="Times New Roman"/>
          <w:sz w:val="24"/>
          <w:szCs w:val="24"/>
        </w:rPr>
        <w:t>A este fenômeno denomina-se processo sincrético (CÂMARA, 2014). Tais mudanças foram fundamentais para a simplificação, eficácia e celeridade processual no país.</w:t>
      </w:r>
    </w:p>
    <w:p w:rsidR="00F9198A" w:rsidRDefault="00DB4E8C" w:rsidP="007E5E4D">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execução forçada (...) tem por fim permitir a realização prática do comando concreto derivado do direito objetivo” (CÂMARA, 2014, p. 160)</w:t>
      </w:r>
      <w:r w:rsidR="005D59B3">
        <w:rPr>
          <w:rFonts w:ascii="Times New Roman" w:hAnsi="Times New Roman" w:cs="Times New Roman"/>
          <w:sz w:val="24"/>
          <w:szCs w:val="24"/>
        </w:rPr>
        <w:t>. Assim</w:t>
      </w:r>
      <w:r w:rsidR="00CF37E7">
        <w:rPr>
          <w:rFonts w:ascii="Times New Roman" w:hAnsi="Times New Roman" w:cs="Times New Roman"/>
          <w:sz w:val="24"/>
          <w:szCs w:val="24"/>
        </w:rPr>
        <w:t>,</w:t>
      </w:r>
      <w:r w:rsidR="005D59B3">
        <w:rPr>
          <w:rFonts w:ascii="Times New Roman" w:hAnsi="Times New Roman" w:cs="Times New Roman"/>
          <w:sz w:val="24"/>
          <w:szCs w:val="24"/>
        </w:rPr>
        <w:t xml:space="preserve"> os atos materiais executivos podem ser praticados de diferentes formas </w:t>
      </w:r>
      <w:r w:rsidR="005D59B3" w:rsidRPr="005D59B3">
        <w:rPr>
          <w:rFonts w:ascii="Times New Roman" w:hAnsi="Times New Roman" w:cs="Times New Roman"/>
          <w:sz w:val="24"/>
          <w:szCs w:val="24"/>
        </w:rPr>
        <w:t xml:space="preserve">adotam </w:t>
      </w:r>
      <w:r w:rsidR="005D59B3">
        <w:rPr>
          <w:rFonts w:ascii="Times New Roman" w:hAnsi="Times New Roman" w:cs="Times New Roman"/>
          <w:sz w:val="24"/>
          <w:szCs w:val="24"/>
        </w:rPr>
        <w:t xml:space="preserve">e </w:t>
      </w:r>
      <w:r w:rsidR="005D59B3" w:rsidRPr="005D59B3">
        <w:rPr>
          <w:rFonts w:ascii="Times New Roman" w:hAnsi="Times New Roman" w:cs="Times New Roman"/>
          <w:sz w:val="24"/>
          <w:szCs w:val="24"/>
        </w:rPr>
        <w:t>como</w:t>
      </w:r>
      <w:r w:rsidR="005D59B3">
        <w:rPr>
          <w:rFonts w:ascii="Times New Roman" w:hAnsi="Times New Roman" w:cs="Times New Roman"/>
          <w:sz w:val="24"/>
          <w:szCs w:val="24"/>
        </w:rPr>
        <w:t xml:space="preserve"> critério procedimental a natureza da obrigaçã</w:t>
      </w:r>
      <w:r w:rsidR="005D59B3" w:rsidRPr="005D59B3">
        <w:rPr>
          <w:rFonts w:ascii="Times New Roman" w:hAnsi="Times New Roman" w:cs="Times New Roman"/>
          <w:sz w:val="24"/>
          <w:szCs w:val="24"/>
        </w:rPr>
        <w:t xml:space="preserve">o </w:t>
      </w:r>
      <w:r w:rsidR="00BE4E9D" w:rsidRPr="005D59B3">
        <w:rPr>
          <w:rFonts w:ascii="Times New Roman" w:hAnsi="Times New Roman" w:cs="Times New Roman"/>
          <w:sz w:val="24"/>
          <w:szCs w:val="24"/>
        </w:rPr>
        <w:t>exeqüenda</w:t>
      </w:r>
      <w:r w:rsidR="005D59B3" w:rsidRPr="005D59B3">
        <w:rPr>
          <w:rFonts w:ascii="Times New Roman" w:hAnsi="Times New Roman" w:cs="Times New Roman"/>
          <w:sz w:val="24"/>
          <w:szCs w:val="24"/>
        </w:rPr>
        <w:t>:</w:t>
      </w:r>
      <w:r w:rsidR="005D59B3">
        <w:rPr>
          <w:rFonts w:ascii="Times New Roman" w:hAnsi="Times New Roman" w:cs="Times New Roman"/>
          <w:sz w:val="24"/>
          <w:szCs w:val="24"/>
        </w:rPr>
        <w:t xml:space="preserve"> f</w:t>
      </w:r>
      <w:r w:rsidR="005D59B3" w:rsidRPr="005D59B3">
        <w:rPr>
          <w:rFonts w:ascii="Times New Roman" w:hAnsi="Times New Roman" w:cs="Times New Roman"/>
          <w:sz w:val="24"/>
          <w:szCs w:val="24"/>
        </w:rPr>
        <w:t>az</w:t>
      </w:r>
      <w:r w:rsidR="005D59B3">
        <w:rPr>
          <w:rFonts w:ascii="Times New Roman" w:hAnsi="Times New Roman" w:cs="Times New Roman"/>
          <w:sz w:val="24"/>
          <w:szCs w:val="24"/>
        </w:rPr>
        <w:t>er ou não fazer; entregar ou pagar.</w:t>
      </w:r>
      <w:r w:rsidR="005D59B3" w:rsidRPr="00BE4E9D">
        <w:rPr>
          <w:rFonts w:ascii="Times New Roman" w:hAnsi="Times New Roman" w:cs="Times New Roman"/>
          <w:sz w:val="24"/>
          <w:szCs w:val="24"/>
        </w:rPr>
        <w:t xml:space="preserve"> Além </w:t>
      </w:r>
      <w:r w:rsidR="00BE4E9D" w:rsidRPr="00BE4E9D">
        <w:rPr>
          <w:rFonts w:ascii="Times New Roman" w:hAnsi="Times New Roman" w:cs="Times New Roman"/>
          <w:sz w:val="24"/>
          <w:szCs w:val="24"/>
        </w:rPr>
        <w:t>disso</w:t>
      </w:r>
      <w:r w:rsidR="00BE4E9D">
        <w:rPr>
          <w:rFonts w:ascii="Times New Roman" w:hAnsi="Times New Roman" w:cs="Times New Roman"/>
          <w:sz w:val="24"/>
          <w:szCs w:val="24"/>
        </w:rPr>
        <w:t>,</w:t>
      </w:r>
      <w:r w:rsidR="00BE4E9D" w:rsidRPr="00BE4E9D">
        <w:rPr>
          <w:rFonts w:ascii="Times New Roman" w:hAnsi="Times New Roman" w:cs="Times New Roman"/>
          <w:sz w:val="24"/>
          <w:szCs w:val="24"/>
        </w:rPr>
        <w:t xml:space="preserve"> o direito objetivo na execução civil é demonstrado por meio dos títulos executivos que podem ser de dois gêneros: judici</w:t>
      </w:r>
      <w:r w:rsidR="00F9198A">
        <w:rPr>
          <w:rFonts w:ascii="Times New Roman" w:hAnsi="Times New Roman" w:cs="Times New Roman"/>
          <w:sz w:val="24"/>
          <w:szCs w:val="24"/>
        </w:rPr>
        <w:t>al e extrajudicial.</w:t>
      </w:r>
    </w:p>
    <w:p w:rsidR="00E17E53" w:rsidRDefault="00F9198A" w:rsidP="007E5E4D">
      <w:pPr>
        <w:spacing w:after="120" w:line="360" w:lineRule="auto"/>
        <w:ind w:firstLine="1134"/>
        <w:jc w:val="both"/>
        <w:rPr>
          <w:rFonts w:ascii="Times New Roman" w:hAnsi="Times New Roman" w:cs="Times New Roman"/>
          <w:sz w:val="24"/>
          <w:szCs w:val="24"/>
        </w:rPr>
      </w:pPr>
      <w:r w:rsidRPr="00795ABE">
        <w:rPr>
          <w:rFonts w:ascii="Times New Roman" w:hAnsi="Times New Roman" w:cs="Times New Roman"/>
          <w:sz w:val="24"/>
          <w:szCs w:val="24"/>
        </w:rPr>
        <w:t xml:space="preserve">O </w:t>
      </w:r>
      <w:r w:rsidR="00C41D56">
        <w:rPr>
          <w:rFonts w:ascii="Times New Roman" w:hAnsi="Times New Roman" w:cs="Times New Roman"/>
          <w:sz w:val="24"/>
          <w:szCs w:val="24"/>
        </w:rPr>
        <w:t>título executivo judicial, previsto em lei pelo art. 475-N do CPC</w:t>
      </w:r>
      <w:r w:rsidR="005D59B3" w:rsidRPr="00795ABE">
        <w:rPr>
          <w:rFonts w:ascii="Times New Roman" w:hAnsi="Times New Roman" w:cs="Times New Roman"/>
          <w:sz w:val="24"/>
          <w:szCs w:val="24"/>
        </w:rPr>
        <w:t>,</w:t>
      </w:r>
      <w:r w:rsidR="00C41D56">
        <w:rPr>
          <w:rFonts w:ascii="Times New Roman" w:hAnsi="Times New Roman" w:cs="Times New Roman"/>
          <w:sz w:val="24"/>
          <w:szCs w:val="24"/>
        </w:rPr>
        <w:t xml:space="preserve"> é aquele</w:t>
      </w:r>
      <w:r w:rsidR="005D59B3" w:rsidRPr="00795ABE">
        <w:rPr>
          <w:rFonts w:ascii="Times New Roman" w:hAnsi="Times New Roman" w:cs="Times New Roman"/>
          <w:sz w:val="24"/>
          <w:szCs w:val="24"/>
        </w:rPr>
        <w:t xml:space="preserve"> formado mediante processo no qual se distribui a ampla defesa e o contraditório. Por sua vez, o</w:t>
      </w:r>
      <w:r w:rsidRPr="00795ABE">
        <w:rPr>
          <w:rFonts w:ascii="Times New Roman" w:hAnsi="Times New Roman" w:cs="Times New Roman"/>
          <w:sz w:val="24"/>
          <w:szCs w:val="24"/>
        </w:rPr>
        <w:t>s</w:t>
      </w:r>
      <w:r w:rsidR="005D59B3" w:rsidRPr="00795ABE">
        <w:rPr>
          <w:rFonts w:ascii="Times New Roman" w:hAnsi="Times New Roman" w:cs="Times New Roman"/>
          <w:sz w:val="24"/>
          <w:szCs w:val="24"/>
        </w:rPr>
        <w:t xml:space="preserve"> título</w:t>
      </w:r>
      <w:r w:rsidRPr="00795ABE">
        <w:rPr>
          <w:rFonts w:ascii="Times New Roman" w:hAnsi="Times New Roman" w:cs="Times New Roman"/>
          <w:sz w:val="24"/>
          <w:szCs w:val="24"/>
        </w:rPr>
        <w:t>s</w:t>
      </w:r>
      <w:r w:rsidR="005D59B3" w:rsidRPr="00795ABE">
        <w:rPr>
          <w:rFonts w:ascii="Times New Roman" w:hAnsi="Times New Roman" w:cs="Times New Roman"/>
          <w:sz w:val="24"/>
          <w:szCs w:val="24"/>
        </w:rPr>
        <w:t xml:space="preserve"> executivo</w:t>
      </w:r>
      <w:r w:rsidRPr="00795ABE">
        <w:rPr>
          <w:rFonts w:ascii="Times New Roman" w:hAnsi="Times New Roman" w:cs="Times New Roman"/>
          <w:sz w:val="24"/>
          <w:szCs w:val="24"/>
        </w:rPr>
        <w:t xml:space="preserve">s extrajudiciais </w:t>
      </w:r>
      <w:r w:rsidR="005D59B3" w:rsidRPr="00795ABE">
        <w:rPr>
          <w:rFonts w:ascii="Times New Roman" w:hAnsi="Times New Roman" w:cs="Times New Roman"/>
          <w:sz w:val="24"/>
          <w:szCs w:val="24"/>
        </w:rPr>
        <w:t>são aquel</w:t>
      </w:r>
      <w:r w:rsidRPr="00795ABE">
        <w:rPr>
          <w:rFonts w:ascii="Times New Roman" w:hAnsi="Times New Roman" w:cs="Times New Roman"/>
          <w:sz w:val="24"/>
          <w:szCs w:val="24"/>
        </w:rPr>
        <w:t xml:space="preserve">es previstos no Código em seu art. 585 e, </w:t>
      </w:r>
      <w:r w:rsidR="005D59B3" w:rsidRPr="00795ABE">
        <w:rPr>
          <w:rFonts w:ascii="Times New Roman" w:hAnsi="Times New Roman" w:cs="Times New Roman"/>
          <w:sz w:val="24"/>
          <w:szCs w:val="24"/>
        </w:rPr>
        <w:t>sua formação se dá independentemente de um processo no qual se configura os efeitos do contraditório.</w:t>
      </w:r>
    </w:p>
    <w:p w:rsidR="00E2173C" w:rsidRDefault="00E2173C" w:rsidP="007E5E4D">
      <w:pPr>
        <w:spacing w:after="120" w:line="360" w:lineRule="auto"/>
        <w:ind w:firstLine="1134"/>
        <w:jc w:val="both"/>
        <w:rPr>
          <w:rFonts w:ascii="Times New Roman" w:hAnsi="Times New Roman" w:cs="Times New Roman"/>
          <w:sz w:val="24"/>
          <w:szCs w:val="24"/>
        </w:rPr>
      </w:pPr>
    </w:p>
    <w:p w:rsidR="00E2173C" w:rsidRDefault="00E2173C" w:rsidP="00E2173C">
      <w:pPr>
        <w:spacing w:after="120"/>
        <w:jc w:val="both"/>
        <w:rPr>
          <w:rFonts w:ascii="Times New Roman" w:hAnsi="Times New Roman" w:cs="Times New Roman"/>
          <w:b/>
          <w:sz w:val="24"/>
          <w:szCs w:val="24"/>
        </w:rPr>
      </w:pPr>
      <w:r>
        <w:rPr>
          <w:rFonts w:ascii="Times New Roman" w:hAnsi="Times New Roman" w:cs="Times New Roman"/>
          <w:b/>
          <w:sz w:val="24"/>
          <w:szCs w:val="24"/>
        </w:rPr>
        <w:t>2.1 Espécies de execução</w:t>
      </w:r>
    </w:p>
    <w:p w:rsidR="00E2173C" w:rsidRDefault="00E2173C" w:rsidP="00E2173C">
      <w:pPr>
        <w:spacing w:after="120" w:line="240" w:lineRule="auto"/>
        <w:jc w:val="both"/>
        <w:rPr>
          <w:rFonts w:ascii="Times New Roman" w:hAnsi="Times New Roman" w:cs="Times New Roman"/>
          <w:b/>
          <w:sz w:val="24"/>
          <w:szCs w:val="24"/>
        </w:rPr>
      </w:pP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É mister que o </w:t>
      </w:r>
      <w:r>
        <w:rPr>
          <w:rFonts w:ascii="Times New Roman" w:hAnsi="Times New Roman" w:cs="Times New Roman"/>
          <w:i/>
          <w:sz w:val="24"/>
          <w:szCs w:val="24"/>
        </w:rPr>
        <w:t xml:space="preserve">caput </w:t>
      </w:r>
      <w:r>
        <w:rPr>
          <w:rFonts w:ascii="Times New Roman" w:hAnsi="Times New Roman" w:cs="Times New Roman"/>
          <w:sz w:val="24"/>
          <w:szCs w:val="24"/>
        </w:rPr>
        <w:t xml:space="preserve">do art. 461 limita o seu âmbito de incidência às obrigações de fazer e de não fazer. A rigor, </w:t>
      </w:r>
      <w:r w:rsidRPr="000E6529">
        <w:rPr>
          <w:rFonts w:ascii="Times New Roman" w:hAnsi="Times New Roman" w:cs="Times New Roman"/>
          <w:i/>
          <w:sz w:val="24"/>
          <w:szCs w:val="24"/>
        </w:rPr>
        <w:t>obrigação</w:t>
      </w:r>
      <w:r>
        <w:rPr>
          <w:rFonts w:ascii="Times New Roman" w:hAnsi="Times New Roman" w:cs="Times New Roman"/>
          <w:sz w:val="24"/>
          <w:szCs w:val="24"/>
        </w:rPr>
        <w:t xml:space="preserve"> é apenas uma espécie do gênero </w:t>
      </w:r>
      <w:r w:rsidRPr="000E6529">
        <w:rPr>
          <w:rFonts w:ascii="Times New Roman" w:hAnsi="Times New Roman" w:cs="Times New Roman"/>
          <w:i/>
          <w:sz w:val="24"/>
          <w:szCs w:val="24"/>
        </w:rPr>
        <w:t>dever jurídico</w:t>
      </w:r>
      <w:r>
        <w:rPr>
          <w:rFonts w:ascii="Times New Roman" w:hAnsi="Times New Roman" w:cs="Times New Roman"/>
          <w:i/>
          <w:sz w:val="24"/>
          <w:szCs w:val="24"/>
        </w:rPr>
        <w:t xml:space="preserve">. </w:t>
      </w:r>
      <w:r>
        <w:rPr>
          <w:rFonts w:ascii="Times New Roman" w:hAnsi="Times New Roman" w:cs="Times New Roman"/>
          <w:sz w:val="24"/>
          <w:szCs w:val="24"/>
        </w:rPr>
        <w:t>Trata-se de dever que tem sua gênese vinculada ao chamado direito obrigacional, no que se distingue de outros tipos de deveres, como aqueles vinculados aos direitos reais, aos direitos de família e aos direitos sucessórios (DIDIER JR., 2009, p.419).</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despeito disso, a menção que se faz no art. 461 deve ser interpretada da forma mais ampla possível, estendendo-se a todos os deveres jurídicos que tenham por objeto um fazer ou um não fazer, ainda que não tenham propriamente natureza obrigacional. Desta feita, o art. 461 do CPC tutela as execuções das obrigações de fazer e não fazer, ou seja, aquelas que têm por objeto imediato uma conduta positiva ou negativa do devedor e que têm por objeto mediato uma prestação de fato, assim entendida aquela que exige uma atividade pessoal do devedor (DIDIER JR., 2009, p.420-421).</w:t>
      </w:r>
    </w:p>
    <w:p w:rsidR="00E2173C" w:rsidRPr="008C6C0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 regras contidas no art. 461-A do CPC se prestam a regular o procedimento de efetivação das obrigações de da coisa distinta de dinheiro. Abrange, com isso, as obrigações de </w:t>
      </w:r>
      <w:r w:rsidRPr="004E746F">
        <w:rPr>
          <w:rFonts w:ascii="Times New Roman" w:hAnsi="Times New Roman" w:cs="Times New Roman"/>
          <w:i/>
          <w:sz w:val="24"/>
          <w:szCs w:val="24"/>
        </w:rPr>
        <w:t>restituir</w:t>
      </w:r>
      <w:r>
        <w:rPr>
          <w:rFonts w:ascii="Times New Roman" w:hAnsi="Times New Roman" w:cs="Times New Roman"/>
          <w:sz w:val="24"/>
          <w:szCs w:val="24"/>
        </w:rPr>
        <w:t xml:space="preserve">, bem assim as obrigações de dar </w:t>
      </w:r>
      <w:r w:rsidRPr="004E746F">
        <w:rPr>
          <w:rFonts w:ascii="Times New Roman" w:hAnsi="Times New Roman" w:cs="Times New Roman"/>
          <w:i/>
          <w:sz w:val="24"/>
          <w:szCs w:val="24"/>
        </w:rPr>
        <w:t>coisa certa</w:t>
      </w:r>
      <w:r>
        <w:rPr>
          <w:rFonts w:ascii="Times New Roman" w:hAnsi="Times New Roman" w:cs="Times New Roman"/>
          <w:sz w:val="24"/>
          <w:szCs w:val="24"/>
        </w:rPr>
        <w:t xml:space="preserve"> ou </w:t>
      </w:r>
      <w:r w:rsidRPr="004E746F">
        <w:rPr>
          <w:rFonts w:ascii="Times New Roman" w:hAnsi="Times New Roman" w:cs="Times New Roman"/>
          <w:i/>
          <w:sz w:val="24"/>
          <w:szCs w:val="24"/>
        </w:rPr>
        <w:t>incerta</w:t>
      </w:r>
      <w:r>
        <w:rPr>
          <w:rFonts w:ascii="Times New Roman" w:hAnsi="Times New Roman" w:cs="Times New Roman"/>
          <w:i/>
          <w:sz w:val="24"/>
          <w:szCs w:val="24"/>
        </w:rPr>
        <w:t xml:space="preserve">, fungível </w:t>
      </w:r>
      <w:r w:rsidRPr="008C6C0C">
        <w:rPr>
          <w:rFonts w:ascii="Times New Roman" w:hAnsi="Times New Roman" w:cs="Times New Roman"/>
          <w:sz w:val="24"/>
          <w:szCs w:val="24"/>
        </w:rPr>
        <w:t>ou</w:t>
      </w:r>
      <w:r>
        <w:rPr>
          <w:rFonts w:ascii="Times New Roman" w:hAnsi="Times New Roman" w:cs="Times New Roman"/>
          <w:i/>
          <w:sz w:val="24"/>
          <w:szCs w:val="24"/>
        </w:rPr>
        <w:t xml:space="preserve">infugível, móvel </w:t>
      </w:r>
      <w:r>
        <w:rPr>
          <w:rFonts w:ascii="Times New Roman" w:hAnsi="Times New Roman" w:cs="Times New Roman"/>
          <w:sz w:val="24"/>
          <w:szCs w:val="24"/>
        </w:rPr>
        <w:t xml:space="preserve">ou </w:t>
      </w:r>
      <w:r>
        <w:rPr>
          <w:rFonts w:ascii="Times New Roman" w:hAnsi="Times New Roman" w:cs="Times New Roman"/>
          <w:i/>
          <w:sz w:val="24"/>
          <w:szCs w:val="24"/>
        </w:rPr>
        <w:t xml:space="preserve">imóvel, </w:t>
      </w:r>
      <w:r>
        <w:rPr>
          <w:rFonts w:ascii="Times New Roman" w:hAnsi="Times New Roman" w:cs="Times New Roman"/>
          <w:sz w:val="24"/>
          <w:szCs w:val="24"/>
        </w:rPr>
        <w:t xml:space="preserve">desde que calçadas em título executivo judicial. Se a obrigação estiver contida em título executivo extrajudicial, o mecanismo de efetivação a ser utilizado é o previsto nos arts. 621 a 631 do CPC (DIDIER JR., 2009, p. 466). Mas, para que a tutela do direito material seja alcançada, é necessária a predisposição de meios de execução adequados, </w:t>
      </w:r>
      <w:r>
        <w:rPr>
          <w:rFonts w:ascii="Times New Roman" w:hAnsi="Times New Roman" w:cs="Times New Roman"/>
          <w:sz w:val="24"/>
          <w:szCs w:val="24"/>
        </w:rPr>
        <w:lastRenderedPageBreak/>
        <w:t>quando importam, especialmente, as normas dos §§ 2º e 3³ do art. 461-A (MARINONI, 2007, p. 204)</w:t>
      </w:r>
    </w:p>
    <w:p w:rsidR="00E2173C" w:rsidRDefault="00E2173C" w:rsidP="00E2173C">
      <w:pPr>
        <w:spacing w:after="120" w:line="360" w:lineRule="auto"/>
        <w:jc w:val="both"/>
        <w:rPr>
          <w:rFonts w:ascii="Times New Roman" w:hAnsi="Times New Roman" w:cs="Times New Roman"/>
          <w:b/>
          <w:sz w:val="24"/>
          <w:szCs w:val="24"/>
        </w:rPr>
      </w:pPr>
    </w:p>
    <w:p w:rsidR="00E2173C" w:rsidRDefault="00E2173C" w:rsidP="00E2173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2.1.1 Execução por quantia certa contra devedor solvente</w:t>
      </w:r>
    </w:p>
    <w:p w:rsidR="00E2173C" w:rsidRDefault="00E2173C" w:rsidP="00E2173C">
      <w:pPr>
        <w:spacing w:after="120" w:line="240" w:lineRule="auto"/>
        <w:jc w:val="both"/>
        <w:rPr>
          <w:rFonts w:ascii="Times New Roman" w:hAnsi="Times New Roman" w:cs="Times New Roman"/>
          <w:b/>
          <w:sz w:val="24"/>
          <w:szCs w:val="24"/>
        </w:rPr>
      </w:pP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Preliminarmente, ressalta-se que a demanda executiva, nos casos em que se vislumbra a execução num processo autônomo, deve ser instrumentalizada através de uma petição inicial.</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Nesse sentido, conforme preleciona Fredie Didier Jr. (2009, p. 506), apresentada a petição inicial, e desde que sobre a mesma o judiciário tenha feito um juízo positivo de admissibilidade, o sujeito passivo da execução (executado) deverá ser citado para, no prazo de três dias, pagar a prestação que lhe está sendo cobrada, conforme resta disposto no art. 652 do CPC. No entanto, a Lei Federal n. 11.382/2006 inovou, alterando a antiga redação do mencionado artigo (652, CPC), segundo a qual o executado deveria ser citado para, no prazo de 24 horas, pagar ou nomear bens à penhora. Após a aludida alteração de tal dispositivo, consoante o § 2º do art. 652, pode o exequente, na petição inicial, fazer a indicação dos bens do executado a serem penhorados.</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Neste viés, vale questionar: A partir de qual momento começa a transcorrer o prazo de três dias, para que o executado efetue o pagamento?</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Seguindo o entendimento que já era patente ao tempo em que vigia a antiga redação do art. 652 do CPC, não é compatível com os princípios da execução que seja aguardado a juntada do mandato aos do processo para que, somente a partir de tal feito, seja iniciado a fluência do prazo para o devido pagamento (DIDIER JR., 2009, p. 507).</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E quando houver a presença de litisconsórcio passivo?</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No entendimento do doutrinar Araken de Assis (2007, p. 581), o prazo para pagamento, nesse caso excepcional, começará a transcorrer a partir do momento em que todos os litisconsortes forem devidamente citados.</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Segundo o que dispõe o art. 652-A do CPC, em consonância com a Lei Federal n. 11.382/2006, o juiz determinará os honorários advocatícios a serem pagos pelo executado, conforme resta positivado o art. 20, § 4º do CPC.</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Todavia, caso o devedor, após ser citado, vir a pagar integralmente a dívida no prazo de três dias, o </w:t>
      </w:r>
      <w:r>
        <w:rPr>
          <w:rFonts w:ascii="Times New Roman" w:hAnsi="Times New Roman" w:cs="Times New Roman"/>
          <w:i/>
          <w:sz w:val="24"/>
          <w:szCs w:val="24"/>
        </w:rPr>
        <w:t xml:space="preserve">quantum </w:t>
      </w:r>
      <w:r>
        <w:rPr>
          <w:rFonts w:ascii="Times New Roman" w:hAnsi="Times New Roman" w:cs="Times New Roman"/>
          <w:sz w:val="24"/>
          <w:szCs w:val="24"/>
        </w:rPr>
        <w:t xml:space="preserve">de honorários fixado pelo magistrado será reduzido pela </w:t>
      </w:r>
      <w:r>
        <w:rPr>
          <w:rFonts w:ascii="Times New Roman" w:hAnsi="Times New Roman" w:cs="Times New Roman"/>
          <w:sz w:val="24"/>
          <w:szCs w:val="24"/>
        </w:rPr>
        <w:lastRenderedPageBreak/>
        <w:t>metade, haja vista que o intuito de tal procedimento é o cumprimento voluntário da dívida existente por parte do executado (DIDIER JR, 2009, p. 507).</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Destarte, segundo doutrina Fredie Didier Jr (2009, p. 508), uma vez citado, o executado poderá adotar uma das posturas a seguir: (I) pagar em três dias, tal como lhe autoriza o art. 652 do CPC, beneficiando-se da redução de que trata o art. 652-A do CPC; (II) não efetuar o pagamento nos três dias e apresentar embargos de devedor, no prazo de quinze dias, fluidos a partir da data da juntada aos autos do mandato de citação; (III) requerer, no prazo de quinze dias, o benefício ressalvado no art. 745-A do CPC; (IV) ficar inerte e não pagar nem apresentar embargos ou qualquer outra defesa pertinente.</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Outrossim, pode ocorrer a hipótese de o executado não ser encontrado durante a realização do ato citatório. Nesta hipótese, Fredie Didier Jr. assevera:</w:t>
      </w:r>
    </w:p>
    <w:p w:rsidR="00E2173C" w:rsidRDefault="00E2173C" w:rsidP="00E2173C">
      <w:pPr>
        <w:spacing w:after="120" w:line="240" w:lineRule="auto"/>
        <w:ind w:left="2268"/>
        <w:contextualSpacing/>
        <w:jc w:val="both"/>
        <w:rPr>
          <w:rFonts w:ascii="Times New Roman" w:hAnsi="Times New Roman" w:cs="Times New Roman"/>
          <w:sz w:val="20"/>
          <w:szCs w:val="20"/>
        </w:rPr>
      </w:pPr>
      <w:r w:rsidRPr="00B12112">
        <w:rPr>
          <w:rFonts w:ascii="Times New Roman" w:hAnsi="Times New Roman" w:cs="Times New Roman"/>
          <w:sz w:val="20"/>
          <w:szCs w:val="20"/>
        </w:rPr>
        <w:t>Nesse caso, o oficial de justiça tem autorização legal para arrestar-lhe tantos bens quantos bastem</w:t>
      </w:r>
      <w:r>
        <w:rPr>
          <w:rFonts w:ascii="Times New Roman" w:hAnsi="Times New Roman" w:cs="Times New Roman"/>
          <w:sz w:val="20"/>
          <w:szCs w:val="20"/>
        </w:rPr>
        <w:t xml:space="preserve"> para garantir a execução (653, CPC). Veja que a providência aqui é diferente daquela prevista no art. 652, § 1º, do CPC, sobre qual se falará no próximo item. Ali, pressupõe-se que o devedor tenha sido encontrado e citado, deixando escoar o prazo de três dias sem a realização do pagamento, caso em que o oficial de justiça poderá, desde logo, penhorar-lhe tantos bens quantos bastem para a garantia da execução. Aqui, pressupõe-se que o devedor </w:t>
      </w:r>
      <w:r>
        <w:rPr>
          <w:rFonts w:ascii="Times New Roman" w:hAnsi="Times New Roman" w:cs="Times New Roman"/>
          <w:i/>
          <w:sz w:val="20"/>
          <w:szCs w:val="20"/>
        </w:rPr>
        <w:t xml:space="preserve">não tenha sido encontrado </w:t>
      </w:r>
      <w:r>
        <w:rPr>
          <w:rFonts w:ascii="Times New Roman" w:hAnsi="Times New Roman" w:cs="Times New Roman"/>
          <w:sz w:val="20"/>
          <w:szCs w:val="20"/>
        </w:rPr>
        <w:t xml:space="preserve">e, por isso mesmo, não tenha sido citado </w:t>
      </w:r>
      <w:r w:rsidRPr="00E2173C">
        <w:rPr>
          <w:rFonts w:ascii="Times New Roman" w:hAnsi="Times New Roman" w:cs="Times New Roman"/>
          <w:sz w:val="20"/>
          <w:szCs w:val="20"/>
        </w:rPr>
        <w:t>(DIDIER JR, 2009, p. 508).</w:t>
      </w:r>
    </w:p>
    <w:p w:rsidR="00E2173C" w:rsidRDefault="00E2173C" w:rsidP="00E2173C">
      <w:pPr>
        <w:spacing w:after="120" w:line="240" w:lineRule="auto"/>
        <w:contextualSpacing/>
        <w:jc w:val="both"/>
        <w:rPr>
          <w:rFonts w:ascii="Times New Roman" w:hAnsi="Times New Roman" w:cs="Times New Roman"/>
          <w:sz w:val="20"/>
          <w:szCs w:val="20"/>
        </w:rPr>
      </w:pP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Nessa esteira, após a ocorrência da não localização do devedor e a existência de bens penhoráveis, a penhora deve ser realizada consequentemente com a apreensão e depósito dos bens, acompanhada da lavratura de um auto devidamente preenchido com os requisitos presentes no art. 665 do CPC (DIDIER JR, 2009, p. 509).</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Vale ressaltar que a penhora de bens pode ser dar por duas vias: por </w:t>
      </w:r>
      <w:r>
        <w:rPr>
          <w:rFonts w:ascii="Times New Roman" w:hAnsi="Times New Roman" w:cs="Times New Roman"/>
          <w:i/>
          <w:sz w:val="24"/>
          <w:szCs w:val="24"/>
        </w:rPr>
        <w:t>meio</w:t>
      </w:r>
      <w:r>
        <w:rPr>
          <w:rFonts w:ascii="Times New Roman" w:hAnsi="Times New Roman" w:cs="Times New Roman"/>
          <w:sz w:val="24"/>
          <w:szCs w:val="24"/>
        </w:rPr>
        <w:t xml:space="preserve"> ou por </w:t>
      </w:r>
      <w:r>
        <w:rPr>
          <w:rFonts w:ascii="Times New Roman" w:hAnsi="Times New Roman" w:cs="Times New Roman"/>
          <w:i/>
          <w:sz w:val="24"/>
          <w:szCs w:val="24"/>
        </w:rPr>
        <w:t xml:space="preserve">auto </w:t>
      </w:r>
      <w:r>
        <w:rPr>
          <w:rFonts w:ascii="Times New Roman" w:hAnsi="Times New Roman" w:cs="Times New Roman"/>
          <w:sz w:val="24"/>
          <w:szCs w:val="24"/>
        </w:rPr>
        <w:t xml:space="preserve">de penhora. O </w:t>
      </w:r>
      <w:r>
        <w:rPr>
          <w:rFonts w:ascii="Times New Roman" w:hAnsi="Times New Roman" w:cs="Times New Roman"/>
          <w:i/>
          <w:sz w:val="24"/>
          <w:szCs w:val="24"/>
        </w:rPr>
        <w:t xml:space="preserve">auto de penhora </w:t>
      </w:r>
      <w:r>
        <w:rPr>
          <w:rFonts w:ascii="Times New Roman" w:hAnsi="Times New Roman" w:cs="Times New Roman"/>
          <w:sz w:val="24"/>
          <w:szCs w:val="24"/>
        </w:rPr>
        <w:t xml:space="preserve">, é documento elaborado pelo oficial de justiça, relacionando os bens que encontrou e penhorou. O </w:t>
      </w:r>
      <w:r>
        <w:rPr>
          <w:rFonts w:ascii="Times New Roman" w:hAnsi="Times New Roman" w:cs="Times New Roman"/>
          <w:i/>
          <w:sz w:val="24"/>
          <w:szCs w:val="24"/>
        </w:rPr>
        <w:t xml:space="preserve">termo de penhora </w:t>
      </w:r>
      <w:r>
        <w:rPr>
          <w:rFonts w:ascii="Times New Roman" w:hAnsi="Times New Roman" w:cs="Times New Roman"/>
          <w:sz w:val="24"/>
          <w:szCs w:val="24"/>
        </w:rPr>
        <w:t>é documento assinado pelo próprio devedor, formado ao indicar bens à penhora que são aceitos pelo credor (MARINONI, 2007, p. 263).</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Outrossim, após apresentação e admissão do requerimento de execução, caberá ao magistrado competente, determinar a expedição do mandado de penhora. Após a Lei 11.232/2005, o exeqüente passou a ter direito de indicar os bens a penhora, ao contrário do que ocorria antes, tendo em vista que o réu era citado para </w:t>
      </w:r>
      <w:r>
        <w:rPr>
          <w:rFonts w:ascii="Times New Roman" w:hAnsi="Times New Roman" w:cs="Times New Roman"/>
          <w:i/>
          <w:sz w:val="24"/>
          <w:szCs w:val="24"/>
        </w:rPr>
        <w:t xml:space="preserve">pagar ou nomear </w:t>
      </w:r>
      <w:r>
        <w:rPr>
          <w:rFonts w:ascii="Times New Roman" w:hAnsi="Times New Roman" w:cs="Times New Roman"/>
          <w:sz w:val="24"/>
          <w:szCs w:val="24"/>
        </w:rPr>
        <w:t>bens à penhora (MARINONI, 2007, p. 263).</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Após ultrapassar o prazo de três dias para cumprimento voluntário da sentença, e não tendo efetuado o pagamento da dívida, ocorre o início da fase de execução forçada. Ao contrário do que acontece no procedimento de execução fundado em título judicial, a </w:t>
      </w:r>
      <w:r>
        <w:rPr>
          <w:rFonts w:ascii="Times New Roman" w:hAnsi="Times New Roman" w:cs="Times New Roman"/>
          <w:sz w:val="24"/>
          <w:szCs w:val="24"/>
        </w:rPr>
        <w:lastRenderedPageBreak/>
        <w:t>instauração desta segunda etapa (execução forçada) não depende de requerimento do exeqüente, pois nesse caso, prevalece a regra do impulso oficial (DIDIER JR, 2009, p. 513).</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Consoante a doutrina de Fredie Didier Jr (2009, p. 513), pode-se observar que a execução forçada divide-se em três fases: (I) fase inicial, em que se buscará realizar a penhora e a avaliação de bens que respondam pela dívida; (II) fase que se inicia com o oferecimento da defesa do executado; (III) fase final, caracterizada pela prática de atos de que sirvam à satisfação do direito do credor, como por exemplo a expropriação de bens e desconto na folha de salário.</w:t>
      </w:r>
    </w:p>
    <w:p w:rsidR="00E2173C" w:rsidRDefault="00E2173C" w:rsidP="00E2173C">
      <w:pPr>
        <w:spacing w:after="120" w:line="360" w:lineRule="auto"/>
        <w:contextualSpacing/>
        <w:jc w:val="both"/>
        <w:rPr>
          <w:rFonts w:ascii="Times New Roman" w:hAnsi="Times New Roman" w:cs="Times New Roman"/>
          <w:sz w:val="24"/>
          <w:szCs w:val="24"/>
        </w:rPr>
      </w:pPr>
    </w:p>
    <w:p w:rsidR="00E2173C" w:rsidRDefault="00E2173C" w:rsidP="00E2173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2.2 Execução de prestação alimentícia</w:t>
      </w:r>
    </w:p>
    <w:p w:rsidR="00E2173C" w:rsidRDefault="00E2173C" w:rsidP="00E2173C">
      <w:pPr>
        <w:spacing w:after="120" w:line="240" w:lineRule="auto"/>
        <w:jc w:val="both"/>
        <w:rPr>
          <w:rFonts w:ascii="Times New Roman" w:hAnsi="Times New Roman" w:cs="Times New Roman"/>
          <w:b/>
          <w:sz w:val="24"/>
          <w:szCs w:val="24"/>
        </w:rPr>
      </w:pP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Após análise da execução por quantia contra devedor solvente, passemos a discutir acerca da execução de prestação alimentícia, tendo em vista que o crédito alimentar demonstra-se sensível ao tempo e necessita da aplicação de um procedimento célere de execução para a sua devida satisfação.</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Por conseguinte, no que tange o credito alimentar, resta cristalino o entendimento do doutrinador Luiz Guilherme Marinoni:</w:t>
      </w:r>
    </w:p>
    <w:p w:rsidR="00E2173C" w:rsidRDefault="00E2173C" w:rsidP="00E2173C">
      <w:pPr>
        <w:spacing w:after="120"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Entende-se por alimentos o valor indispensável à manutenção da pessoa, à sua subsistência digna, assim entendida a importância necessária ao seu sustento, moradia, vestuário, saúde e, ainda, quando for o caso, à sua criação e educação. Tal crédito, todavia, não é fixado em valor determinado e único, já que as necessidades das pessoas não são as mesmas. Ao contrário, deve levar em consideração as demandas de cada um em particular, tomando em conta o meio social em que se inserem, de modo que o valor dos alimentos deve variar conforme o que se tenha como exigível para a manutenção de tais necessidades, </w:t>
      </w:r>
      <w:r w:rsidRPr="000258F2">
        <w:rPr>
          <w:rFonts w:ascii="Times New Roman" w:hAnsi="Times New Roman" w:cs="Times New Roman"/>
          <w:sz w:val="20"/>
          <w:szCs w:val="20"/>
        </w:rPr>
        <w:t>segundo o padrão de vida que tinha – ou deveria ter – o alimentando</w:t>
      </w:r>
      <w:r w:rsidRPr="00E2173C">
        <w:t xml:space="preserve"> </w:t>
      </w:r>
      <w:r>
        <w:t>(</w:t>
      </w:r>
      <w:r>
        <w:rPr>
          <w:rFonts w:ascii="Times New Roman" w:hAnsi="Times New Roman" w:cs="Times New Roman"/>
          <w:sz w:val="20"/>
          <w:szCs w:val="20"/>
        </w:rPr>
        <w:t>MARINONI, 2007, p. 371).</w:t>
      </w:r>
    </w:p>
    <w:p w:rsidR="00E2173C" w:rsidRDefault="00E2173C" w:rsidP="00E2173C">
      <w:pPr>
        <w:spacing w:after="120" w:line="240" w:lineRule="auto"/>
        <w:ind w:left="2268"/>
        <w:contextualSpacing/>
        <w:jc w:val="both"/>
        <w:rPr>
          <w:rFonts w:ascii="Times New Roman" w:hAnsi="Times New Roman" w:cs="Times New Roman"/>
          <w:sz w:val="20"/>
          <w:szCs w:val="20"/>
        </w:rPr>
      </w:pPr>
    </w:p>
    <w:p w:rsidR="00E2173C" w:rsidRDefault="00E2173C" w:rsidP="00E2173C">
      <w:pPr>
        <w:spacing w:after="120" w:line="240" w:lineRule="auto"/>
        <w:contextualSpacing/>
        <w:jc w:val="both"/>
        <w:rPr>
          <w:rFonts w:ascii="Times New Roman" w:hAnsi="Times New Roman" w:cs="Times New Roman"/>
          <w:sz w:val="20"/>
          <w:szCs w:val="20"/>
        </w:rPr>
      </w:pP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Deste modo, os créditos alimentares são classificados da seguinte forma: (I) quanto à sua origem; (II) quando à estabilidade; (III) quando à natureza; (IV) quanto ao momento.</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Pois bem, tal divisão pode ser melhor qualificada conforme preleciona Fredie Didier Jr (2009, p. 687-691), considerando que os créditos alimentares podem ser agrupados da seguinte forma:</w:t>
      </w:r>
      <w:r w:rsidRPr="000B3CEF">
        <w:rPr>
          <w:rFonts w:ascii="Times New Roman" w:hAnsi="Times New Roman" w:cs="Times New Roman"/>
          <w:i/>
          <w:sz w:val="24"/>
          <w:szCs w:val="24"/>
        </w:rPr>
        <w:t>quanto à sua origem</w:t>
      </w:r>
      <w:r>
        <w:rPr>
          <w:rFonts w:ascii="Times New Roman" w:hAnsi="Times New Roman" w:cs="Times New Roman"/>
          <w:sz w:val="24"/>
          <w:szCs w:val="24"/>
        </w:rPr>
        <w:t xml:space="preserve"> os créditos pode ser </w:t>
      </w:r>
      <w:r>
        <w:rPr>
          <w:rFonts w:ascii="Times New Roman" w:hAnsi="Times New Roman" w:cs="Times New Roman"/>
          <w:i/>
          <w:sz w:val="24"/>
          <w:szCs w:val="24"/>
        </w:rPr>
        <w:t>legítimos</w:t>
      </w:r>
      <w:r>
        <w:rPr>
          <w:rFonts w:ascii="Times New Roman" w:hAnsi="Times New Roman" w:cs="Times New Roman"/>
          <w:sz w:val="24"/>
          <w:szCs w:val="24"/>
        </w:rPr>
        <w:t xml:space="preserve"> (devidos por força de lei, tendo em vista o parentesco, matrimônio ou união estável); </w:t>
      </w:r>
      <w:r>
        <w:rPr>
          <w:rFonts w:ascii="Times New Roman" w:hAnsi="Times New Roman" w:cs="Times New Roman"/>
          <w:i/>
          <w:sz w:val="24"/>
          <w:szCs w:val="24"/>
        </w:rPr>
        <w:t xml:space="preserve">voluntários </w:t>
      </w:r>
      <w:r>
        <w:rPr>
          <w:rFonts w:ascii="Times New Roman" w:hAnsi="Times New Roman" w:cs="Times New Roman"/>
          <w:sz w:val="24"/>
          <w:szCs w:val="24"/>
        </w:rPr>
        <w:t xml:space="preserve">(devidos por força do negócio jurídico </w:t>
      </w:r>
      <w:r>
        <w:rPr>
          <w:rFonts w:ascii="Times New Roman" w:hAnsi="Times New Roman" w:cs="Times New Roman"/>
          <w:i/>
          <w:sz w:val="24"/>
          <w:szCs w:val="24"/>
        </w:rPr>
        <w:t xml:space="preserve">inter vivos </w:t>
      </w:r>
      <w:r>
        <w:rPr>
          <w:rFonts w:ascii="Times New Roman" w:hAnsi="Times New Roman" w:cs="Times New Roman"/>
          <w:sz w:val="24"/>
          <w:szCs w:val="24"/>
        </w:rPr>
        <w:t xml:space="preserve">ou </w:t>
      </w:r>
      <w:r>
        <w:rPr>
          <w:rFonts w:ascii="Times New Roman" w:hAnsi="Times New Roman" w:cs="Times New Roman"/>
          <w:i/>
          <w:sz w:val="24"/>
          <w:szCs w:val="24"/>
        </w:rPr>
        <w:t>mortis causa</w:t>
      </w:r>
      <w:r>
        <w:rPr>
          <w:rFonts w:ascii="Times New Roman" w:hAnsi="Times New Roman" w:cs="Times New Roman"/>
          <w:sz w:val="24"/>
          <w:szCs w:val="24"/>
        </w:rPr>
        <w:t>) e</w:t>
      </w:r>
      <w:r>
        <w:rPr>
          <w:rFonts w:ascii="Times New Roman" w:hAnsi="Times New Roman" w:cs="Times New Roman"/>
          <w:i/>
          <w:sz w:val="24"/>
          <w:szCs w:val="24"/>
        </w:rPr>
        <w:t>indenizativos</w:t>
      </w:r>
      <w:r>
        <w:rPr>
          <w:rFonts w:ascii="Times New Roman" w:hAnsi="Times New Roman" w:cs="Times New Roman"/>
          <w:sz w:val="24"/>
          <w:szCs w:val="24"/>
        </w:rPr>
        <w:t xml:space="preserve">(impostos como indenização por danos causados com a prática de atos ilícitos). </w:t>
      </w:r>
      <w:r>
        <w:rPr>
          <w:rFonts w:ascii="Times New Roman" w:hAnsi="Times New Roman" w:cs="Times New Roman"/>
          <w:i/>
          <w:sz w:val="24"/>
          <w:szCs w:val="24"/>
        </w:rPr>
        <w:t xml:space="preserve">Quanto à estabilidade </w:t>
      </w:r>
      <w:r>
        <w:rPr>
          <w:rFonts w:ascii="Times New Roman" w:hAnsi="Times New Roman" w:cs="Times New Roman"/>
          <w:sz w:val="24"/>
          <w:szCs w:val="24"/>
        </w:rPr>
        <w:t xml:space="preserve">os créditos podem ser </w:t>
      </w:r>
      <w:r>
        <w:rPr>
          <w:rFonts w:ascii="Times New Roman" w:hAnsi="Times New Roman" w:cs="Times New Roman"/>
          <w:i/>
          <w:sz w:val="24"/>
          <w:szCs w:val="24"/>
        </w:rPr>
        <w:t>definitivos</w:t>
      </w:r>
      <w:r>
        <w:rPr>
          <w:rFonts w:ascii="Times New Roman" w:hAnsi="Times New Roman" w:cs="Times New Roman"/>
          <w:sz w:val="24"/>
          <w:szCs w:val="24"/>
        </w:rPr>
        <w:t xml:space="preserve"> (determinados por decisão judicial e sujeito à execução definitiva); </w:t>
      </w:r>
      <w:r>
        <w:rPr>
          <w:rFonts w:ascii="Times New Roman" w:hAnsi="Times New Roman" w:cs="Times New Roman"/>
          <w:i/>
          <w:sz w:val="24"/>
          <w:szCs w:val="24"/>
        </w:rPr>
        <w:t xml:space="preserve">provisionais </w:t>
      </w:r>
      <w:r>
        <w:rPr>
          <w:rFonts w:ascii="Times New Roman" w:hAnsi="Times New Roman" w:cs="Times New Roman"/>
          <w:sz w:val="24"/>
          <w:szCs w:val="24"/>
        </w:rPr>
        <w:lastRenderedPageBreak/>
        <w:t>(fixados antes ou durante a ação em que pleiteiam alimentos definitivos) e</w:t>
      </w:r>
      <w:r>
        <w:rPr>
          <w:rFonts w:ascii="Times New Roman" w:hAnsi="Times New Roman" w:cs="Times New Roman"/>
          <w:i/>
          <w:sz w:val="24"/>
          <w:szCs w:val="24"/>
        </w:rPr>
        <w:t xml:space="preserve">provisórios </w:t>
      </w:r>
      <w:r>
        <w:rPr>
          <w:rFonts w:ascii="Times New Roman" w:hAnsi="Times New Roman" w:cs="Times New Roman"/>
          <w:sz w:val="24"/>
          <w:szCs w:val="24"/>
        </w:rPr>
        <w:t xml:space="preserve">(concedidos, de forma incidental, na própria ação em que se pleiteiam os alimentos definitivos). </w:t>
      </w:r>
      <w:r>
        <w:rPr>
          <w:rFonts w:ascii="Times New Roman" w:hAnsi="Times New Roman" w:cs="Times New Roman"/>
          <w:i/>
          <w:sz w:val="24"/>
          <w:szCs w:val="24"/>
        </w:rPr>
        <w:t xml:space="preserve">Quanto à natureza </w:t>
      </w:r>
      <w:r>
        <w:rPr>
          <w:rFonts w:ascii="Times New Roman" w:hAnsi="Times New Roman" w:cs="Times New Roman"/>
          <w:sz w:val="24"/>
          <w:szCs w:val="24"/>
        </w:rPr>
        <w:t xml:space="preserve">dividem-se os créditos alimentares em </w:t>
      </w:r>
      <w:r>
        <w:rPr>
          <w:rFonts w:ascii="Times New Roman" w:hAnsi="Times New Roman" w:cs="Times New Roman"/>
          <w:i/>
          <w:sz w:val="24"/>
          <w:szCs w:val="24"/>
        </w:rPr>
        <w:t xml:space="preserve">naturais </w:t>
      </w:r>
      <w:r>
        <w:rPr>
          <w:rFonts w:ascii="Times New Roman" w:hAnsi="Times New Roman" w:cs="Times New Roman"/>
          <w:sz w:val="24"/>
          <w:szCs w:val="24"/>
        </w:rPr>
        <w:t xml:space="preserve">(são indispensáveis para a satisfação das necessidades básicas do indivíduo) e </w:t>
      </w:r>
      <w:r>
        <w:rPr>
          <w:rFonts w:ascii="Times New Roman" w:hAnsi="Times New Roman" w:cs="Times New Roman"/>
          <w:i/>
          <w:sz w:val="24"/>
          <w:szCs w:val="24"/>
        </w:rPr>
        <w:t xml:space="preserve">civis </w:t>
      </w:r>
      <w:r>
        <w:rPr>
          <w:rFonts w:ascii="Times New Roman" w:hAnsi="Times New Roman" w:cs="Times New Roman"/>
          <w:sz w:val="24"/>
          <w:szCs w:val="24"/>
        </w:rPr>
        <w:t xml:space="preserve">(compreendem as necessidades morais e intelectuais do ser humano). E, por fim, os créditos alimentares </w:t>
      </w:r>
      <w:r>
        <w:rPr>
          <w:rFonts w:ascii="Times New Roman" w:hAnsi="Times New Roman" w:cs="Times New Roman"/>
          <w:i/>
          <w:sz w:val="24"/>
          <w:szCs w:val="24"/>
        </w:rPr>
        <w:t>quanto ao momento</w:t>
      </w:r>
      <w:r>
        <w:rPr>
          <w:rFonts w:ascii="Times New Roman" w:hAnsi="Times New Roman" w:cs="Times New Roman"/>
          <w:sz w:val="24"/>
          <w:szCs w:val="24"/>
        </w:rPr>
        <w:t xml:space="preserve"> dividem-se em </w:t>
      </w:r>
      <w:r>
        <w:rPr>
          <w:rFonts w:ascii="Times New Roman" w:hAnsi="Times New Roman" w:cs="Times New Roman"/>
          <w:i/>
          <w:sz w:val="24"/>
          <w:szCs w:val="24"/>
        </w:rPr>
        <w:t xml:space="preserve">futuros </w:t>
      </w:r>
      <w:r>
        <w:rPr>
          <w:rFonts w:ascii="Times New Roman" w:hAnsi="Times New Roman" w:cs="Times New Roman"/>
          <w:sz w:val="24"/>
          <w:szCs w:val="24"/>
        </w:rPr>
        <w:t xml:space="preserve">(devidos a partir do momento do trânsito em julgado da sentença, decisão antecipatória eficaz ou acordo firmado entre as partes) e </w:t>
      </w:r>
      <w:r>
        <w:rPr>
          <w:rFonts w:ascii="Times New Roman" w:hAnsi="Times New Roman" w:cs="Times New Roman"/>
          <w:i/>
          <w:sz w:val="24"/>
          <w:szCs w:val="24"/>
        </w:rPr>
        <w:t xml:space="preserve">pretéritos </w:t>
      </w:r>
      <w:r>
        <w:rPr>
          <w:rFonts w:ascii="Times New Roman" w:hAnsi="Times New Roman" w:cs="Times New Roman"/>
          <w:sz w:val="24"/>
          <w:szCs w:val="24"/>
        </w:rPr>
        <w:t>(são acumulados desde a sua cobrança em sede de execução).</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Nesse entendimento, conjetura-se que a execução de alimentos é considerada como uma modalidade de execução por quantia certa contra devedor solvente, consoante dispõe os arts. 732 a 735 do CPC bem como os arts. 16 a 19 da Lei 5.478/68.</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Todavia, restam presentes no Código de Processo Civil três meios para realização da dívida alimentícia em sede de execução: (i) desconto em folha (art. 734); (ii) expropriação (arts. 646 e 475-J); e (iii) coerção indireta (art. 733, § 1º).</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Feitas tais considerações, ressalta-se que o CPC não determina gradação entre os meios supra citados de tutela da obrigação alimentar. Isto exposto, nos termos da Lei 5.478/68, toca ao credor escolher livremente pelo mecanismo que lhe aprouver (MARINONI, 2007, p. 377).</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primeira técnica elencada pela Lei de Alimentos (art. 16 da Lei 5.478/68) para satisfação da execução alimentar é o desconto dos alimentos da remuneração recebida pelo devedor. Tal técnica demonstra-se bastante eficaz haja vista que o devedor fica praticamente impossibilitado de inadimplir a prestação devida, pois o montante devido é descontado na sua própria folha de pagamento (MARINONI, 2007, p. 378).</w:t>
      </w:r>
    </w:p>
    <w:p w:rsidR="00E2173C" w:rsidRDefault="00E2173C" w:rsidP="00E2173C">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Alui-se, segundo Fredie Didier Jr (2009, p. 694-695), que o devedor é intimado para, no prazo de três dias, pagar, provar que pagou ou justificar por que não o fez. Nesse sentido, feito o pagamento, o juiz deve dar fim ao feito e proferir a sentença. Caso o pagamento não tenha sido efetuado, o executado poderá apresentar defesa e alegar que: (i) já efetuou o pagamento ou (ii) impossibilidade de pagar. Caso seja comprovado o pagamento, o juiz deverá extinguir a execução por sentença, caso comprovada a impossibilidade temporária, o juiz não deverá extinguir o processo, mas sim dar seguimento ao mesmo com a determinação da penhora e demais atos atinentes à expropriação.</w:t>
      </w:r>
    </w:p>
    <w:p w:rsidR="0067498D" w:rsidRDefault="0067498D" w:rsidP="007E5E4D">
      <w:pPr>
        <w:spacing w:after="120" w:line="240" w:lineRule="auto"/>
        <w:ind w:firstLine="1134"/>
        <w:jc w:val="both"/>
        <w:rPr>
          <w:rFonts w:ascii="Times New Roman" w:hAnsi="Times New Roman" w:cs="Times New Roman"/>
          <w:sz w:val="24"/>
          <w:szCs w:val="24"/>
        </w:rPr>
      </w:pPr>
    </w:p>
    <w:p w:rsidR="00E2173C" w:rsidRDefault="00E2173C" w:rsidP="007E5E4D">
      <w:pPr>
        <w:spacing w:after="120" w:line="240" w:lineRule="auto"/>
        <w:ind w:firstLine="1134"/>
        <w:jc w:val="both"/>
        <w:rPr>
          <w:rFonts w:ascii="Times New Roman" w:hAnsi="Times New Roman" w:cs="Times New Roman"/>
          <w:sz w:val="24"/>
          <w:szCs w:val="24"/>
        </w:rPr>
      </w:pPr>
    </w:p>
    <w:p w:rsidR="0067498D" w:rsidRDefault="0067498D" w:rsidP="007E5E4D">
      <w:pPr>
        <w:spacing w:after="120" w:line="360" w:lineRule="auto"/>
        <w:jc w:val="both"/>
        <w:rPr>
          <w:rFonts w:ascii="Times New Roman" w:hAnsi="Times New Roman" w:cs="Times New Roman"/>
          <w:b/>
          <w:sz w:val="24"/>
          <w:szCs w:val="24"/>
        </w:rPr>
      </w:pPr>
      <w:r w:rsidRPr="0067498D">
        <w:rPr>
          <w:rFonts w:ascii="Times New Roman" w:hAnsi="Times New Roman" w:cs="Times New Roman"/>
          <w:b/>
          <w:sz w:val="24"/>
          <w:szCs w:val="24"/>
        </w:rPr>
        <w:lastRenderedPageBreak/>
        <w:t>3 NOÇÕES ACERCA DA LEI 11.232/05</w:t>
      </w:r>
    </w:p>
    <w:p w:rsidR="00BE0BEF" w:rsidRPr="0067498D" w:rsidRDefault="00BE0BEF" w:rsidP="007E5E4D">
      <w:pPr>
        <w:spacing w:after="120" w:line="240" w:lineRule="auto"/>
        <w:jc w:val="both"/>
        <w:rPr>
          <w:rFonts w:ascii="Times New Roman" w:hAnsi="Times New Roman" w:cs="Times New Roman"/>
          <w:b/>
          <w:sz w:val="24"/>
          <w:szCs w:val="24"/>
        </w:rPr>
      </w:pPr>
    </w:p>
    <w:p w:rsidR="0067498D" w:rsidRDefault="0067498D" w:rsidP="007E5E4D">
      <w:pPr>
        <w:pStyle w:val="NormalWeb"/>
        <w:spacing w:before="0" w:beforeAutospacing="0" w:after="120" w:afterAutospacing="0" w:line="360" w:lineRule="auto"/>
        <w:ind w:firstLine="1134"/>
        <w:contextualSpacing/>
        <w:jc w:val="both"/>
      </w:pPr>
      <w:r>
        <w:t xml:space="preserve">“Antes do advento da Lei 11.232/05, os títulos executivos, independente da origem, seguiriam processo de execução autônomo. Constavam inclusive os judiciais no artigo 584 do CPC, havendo por intermédio desta mesma Lei restados inseridos no artigo 475-N (...)” </w:t>
      </w:r>
      <w:r w:rsidRPr="00425A8B">
        <w:t>(STORM, 2010</w:t>
      </w:r>
      <w:r>
        <w:t xml:space="preserve">, p. 06). </w:t>
      </w:r>
    </w:p>
    <w:p w:rsidR="0067498D" w:rsidRPr="00D44BCE" w:rsidRDefault="0067498D" w:rsidP="007E5E4D">
      <w:pPr>
        <w:pStyle w:val="NormalWeb"/>
        <w:spacing w:before="0" w:beforeAutospacing="0" w:after="120" w:afterAutospacing="0" w:line="360" w:lineRule="auto"/>
        <w:ind w:firstLine="1134"/>
        <w:contextualSpacing/>
        <w:jc w:val="both"/>
      </w:pPr>
      <w:r>
        <w:t>Entretanto, com a referida legislação</w:t>
      </w:r>
      <w:r w:rsidRPr="00D44BCE">
        <w:t xml:space="preserve"> o disposto no artigo 5º, LXXVIII da Constituição Federal </w:t>
      </w:r>
      <w:r>
        <w:rPr>
          <w:shd w:val="clear" w:color="auto" w:fill="FAFAFA"/>
        </w:rPr>
        <w:t>“</w:t>
      </w:r>
      <w:r w:rsidRPr="00A914E6">
        <w:rPr>
          <w:shd w:val="clear" w:color="auto" w:fill="FFFFFF"/>
        </w:rPr>
        <w:t>busca por um rito mais célere e eficaz para as execuções de sentenças fulcradas em obrigação por quantia</w:t>
      </w:r>
      <w:r>
        <w:rPr>
          <w:shd w:val="clear" w:color="auto" w:fill="FFFFFF"/>
        </w:rPr>
        <w:t>” (SILVA, 2009,</w:t>
      </w:r>
      <w:r w:rsidRPr="00A914E6">
        <w:rPr>
          <w:shd w:val="clear" w:color="auto" w:fill="FFFFFF"/>
        </w:rPr>
        <w:t xml:space="preserve"> p.01</w:t>
      </w:r>
      <w:r w:rsidRPr="008F1D51">
        <w:rPr>
          <w:shd w:val="clear" w:color="auto" w:fill="FFFFFF"/>
        </w:rPr>
        <w:t>)</w:t>
      </w:r>
      <w:r>
        <w:rPr>
          <w:shd w:val="clear" w:color="auto" w:fill="FFFFFF"/>
        </w:rPr>
        <w:t xml:space="preserve"> a dispensa</w:t>
      </w:r>
      <w:r w:rsidRPr="00D44BCE">
        <w:rPr>
          <w:shd w:val="clear" w:color="auto" w:fill="FFFFFF"/>
        </w:rPr>
        <w:t xml:space="preserve"> </w:t>
      </w:r>
      <w:r>
        <w:rPr>
          <w:shd w:val="clear" w:color="auto" w:fill="FFFFFF"/>
        </w:rPr>
        <w:t>d</w:t>
      </w:r>
      <w:r w:rsidRPr="00D44BCE">
        <w:rPr>
          <w:shd w:val="clear" w:color="auto" w:fill="FFFFFF"/>
        </w:rPr>
        <w:t>a citação</w:t>
      </w:r>
      <w:r>
        <w:rPr>
          <w:shd w:val="clear" w:color="auto" w:fill="FFFFFF"/>
        </w:rPr>
        <w:t xml:space="preserve"> na fase executiva, de modo que a</w:t>
      </w:r>
      <w:r w:rsidRPr="00D44BCE">
        <w:rPr>
          <w:shd w:val="clear" w:color="auto" w:fill="FFFFFF"/>
        </w:rPr>
        <w:t xml:space="preserve"> </w:t>
      </w:r>
      <w:r>
        <w:rPr>
          <w:shd w:val="clear" w:color="auto" w:fill="FFFFFF"/>
        </w:rPr>
        <w:t>ter validade</w:t>
      </w:r>
      <w:r w:rsidRPr="00D44BCE">
        <w:rPr>
          <w:shd w:val="clear" w:color="auto" w:fill="FFFFFF"/>
        </w:rPr>
        <w:t xml:space="preserve"> a mesma</w:t>
      </w:r>
      <w:r>
        <w:rPr>
          <w:shd w:val="clear" w:color="auto" w:fill="FFFFFF"/>
        </w:rPr>
        <w:t xml:space="preserve"> da relação processual inicial</w:t>
      </w:r>
      <w:r w:rsidRPr="00D44BCE">
        <w:rPr>
          <w:shd w:val="clear" w:color="auto" w:fill="FFFFFF"/>
        </w:rPr>
        <w:t>.</w:t>
      </w:r>
    </w:p>
    <w:p w:rsidR="0067498D" w:rsidRDefault="0067498D" w:rsidP="007E5E4D">
      <w:pPr>
        <w:autoSpaceDE w:val="0"/>
        <w:autoSpaceDN w:val="0"/>
        <w:adjustRightInd w:val="0"/>
        <w:spacing w:after="120" w:line="240" w:lineRule="auto"/>
        <w:ind w:left="2268"/>
        <w:contextualSpacing/>
        <w:jc w:val="both"/>
        <w:rPr>
          <w:rFonts w:ascii="Times New Roman" w:hAnsi="Times New Roman" w:cs="Times New Roman"/>
          <w:sz w:val="20"/>
          <w:szCs w:val="20"/>
          <w:shd w:val="clear" w:color="auto" w:fill="FFFFFF"/>
        </w:rPr>
      </w:pPr>
      <w:r w:rsidRPr="0049278A">
        <w:rPr>
          <w:rFonts w:ascii="Times New Roman" w:hAnsi="Times New Roman" w:cs="Times New Roman"/>
          <w:sz w:val="20"/>
          <w:szCs w:val="20"/>
          <w:shd w:val="clear" w:color="auto" w:fill="FFFFFF"/>
        </w:rPr>
        <w:t>(...) iremos tratar daquela que mais tem sido comentada e gerado dúvidas sobre sua aplicabilidade, que é a Lei 11.232/05, que muitos chamam de</w:t>
      </w:r>
      <w:r w:rsidRPr="0049278A">
        <w:rPr>
          <w:rStyle w:val="apple-converted-space"/>
          <w:rFonts w:ascii="Times New Roman" w:hAnsi="Times New Roman" w:cs="Times New Roman"/>
          <w:sz w:val="20"/>
          <w:szCs w:val="20"/>
          <w:shd w:val="clear" w:color="auto" w:fill="FFFFFF"/>
        </w:rPr>
        <w:t> </w:t>
      </w:r>
      <w:r w:rsidRPr="0049278A">
        <w:rPr>
          <w:rStyle w:val="nfase"/>
          <w:rFonts w:ascii="Times New Roman" w:hAnsi="Times New Roman" w:cs="Times New Roman"/>
          <w:sz w:val="20"/>
          <w:szCs w:val="20"/>
          <w:shd w:val="clear" w:color="auto" w:fill="FFFFFF"/>
        </w:rPr>
        <w:t>“reforma da execução”</w:t>
      </w:r>
      <w:r w:rsidRPr="0049278A">
        <w:rPr>
          <w:rStyle w:val="apple-converted-space"/>
          <w:rFonts w:ascii="Times New Roman" w:hAnsi="Times New Roman" w:cs="Times New Roman"/>
          <w:sz w:val="20"/>
          <w:szCs w:val="20"/>
          <w:shd w:val="clear" w:color="auto" w:fill="FFFFFF"/>
        </w:rPr>
        <w:t> </w:t>
      </w:r>
      <w:r w:rsidRPr="0049278A">
        <w:rPr>
          <w:rFonts w:ascii="Times New Roman" w:hAnsi="Times New Roman" w:cs="Times New Roman"/>
          <w:sz w:val="20"/>
          <w:szCs w:val="20"/>
          <w:shd w:val="clear" w:color="auto" w:fill="FFFFFF"/>
        </w:rPr>
        <w:t>e até alguns arriscam a dizer sobre a</w:t>
      </w:r>
      <w:r w:rsidRPr="0049278A">
        <w:rPr>
          <w:rStyle w:val="apple-converted-space"/>
          <w:rFonts w:ascii="Times New Roman" w:hAnsi="Times New Roman" w:cs="Times New Roman"/>
          <w:sz w:val="20"/>
          <w:szCs w:val="20"/>
          <w:shd w:val="clear" w:color="auto" w:fill="FFFFFF"/>
        </w:rPr>
        <w:t> </w:t>
      </w:r>
      <w:r w:rsidRPr="0049278A">
        <w:rPr>
          <w:rStyle w:val="nfase"/>
          <w:rFonts w:ascii="Times New Roman" w:hAnsi="Times New Roman" w:cs="Times New Roman"/>
          <w:sz w:val="20"/>
          <w:szCs w:val="20"/>
          <w:shd w:val="clear" w:color="auto" w:fill="FFFFFF"/>
        </w:rPr>
        <w:t xml:space="preserve">“extinção do processo de execução”. (...) </w:t>
      </w:r>
      <w:r w:rsidRPr="0049278A">
        <w:rPr>
          <w:rFonts w:ascii="Times New Roman" w:hAnsi="Times New Roman" w:cs="Times New Roman"/>
          <w:sz w:val="20"/>
          <w:szCs w:val="20"/>
          <w:shd w:val="clear" w:color="auto" w:fill="FFFFFF"/>
        </w:rPr>
        <w:t>a denominada reforma da execução somente tratou das hipóteses de títulos judiciais, e ai sim, abolindo a execução de título executivo judicial, estando em plena vigência as normas do processo de execução, quando houver título executivo extrajudicial, muito embora esteja em tramitação o projeto de lei para também alterar o procedimento desta modalidade de execução. (...)</w:t>
      </w:r>
      <w:r>
        <w:rPr>
          <w:rFonts w:ascii="Times New Roman" w:hAnsi="Times New Roman" w:cs="Times New Roman"/>
          <w:sz w:val="20"/>
          <w:szCs w:val="20"/>
          <w:shd w:val="clear" w:color="auto" w:fill="FFFFFF"/>
        </w:rPr>
        <w:t xml:space="preserve"> </w:t>
      </w:r>
      <w:r w:rsidRPr="0049278A">
        <w:rPr>
          <w:rFonts w:ascii="Times New Roman" w:hAnsi="Times New Roman" w:cs="Times New Roman"/>
          <w:sz w:val="20"/>
          <w:szCs w:val="20"/>
          <w:shd w:val="clear" w:color="auto" w:fill="FFFFFF"/>
        </w:rPr>
        <w:t>Em outras palavras, não haverá mais um processo de execução autônomo quando estivermos na hipótese de uma sentença condenatória de quantia certa, e sim, um novo procedimento, o</w:t>
      </w:r>
      <w:r>
        <w:rPr>
          <w:rFonts w:ascii="Times New Roman" w:hAnsi="Times New Roman" w:cs="Times New Roman"/>
          <w:sz w:val="20"/>
          <w:szCs w:val="20"/>
          <w:shd w:val="clear" w:color="auto" w:fill="FFFFFF"/>
        </w:rPr>
        <w:t>u nos dizeres de Arruda Alvim</w:t>
      </w:r>
      <w:r w:rsidRPr="0049278A">
        <w:rPr>
          <w:rFonts w:ascii="Times New Roman" w:hAnsi="Times New Roman" w:cs="Times New Roman"/>
          <w:sz w:val="20"/>
          <w:szCs w:val="20"/>
          <w:shd w:val="clear" w:color="auto" w:fill="FFFFFF"/>
        </w:rPr>
        <w:t>,</w:t>
      </w:r>
      <w:r w:rsidRPr="0049278A">
        <w:rPr>
          <w:rStyle w:val="apple-converted-space"/>
          <w:rFonts w:ascii="Times New Roman" w:hAnsi="Times New Roman" w:cs="Times New Roman"/>
          <w:sz w:val="20"/>
          <w:szCs w:val="20"/>
          <w:shd w:val="clear" w:color="auto" w:fill="FFFFFF"/>
        </w:rPr>
        <w:t> </w:t>
      </w:r>
      <w:r w:rsidRPr="00087DB6">
        <w:rPr>
          <w:rStyle w:val="nfase"/>
          <w:rFonts w:ascii="Times New Roman" w:hAnsi="Times New Roman" w:cs="Times New Roman"/>
          <w:bCs/>
          <w:i w:val="0"/>
          <w:sz w:val="20"/>
          <w:szCs w:val="20"/>
          <w:shd w:val="clear" w:color="auto" w:fill="FFFFFF"/>
        </w:rPr>
        <w:t>“uma fase conseqüente à sentença condenatória, prosseguindo-se no mesmo processo”</w:t>
      </w:r>
      <w:r>
        <w:rPr>
          <w:rStyle w:val="nfase"/>
          <w:rFonts w:ascii="Times New Roman" w:hAnsi="Times New Roman" w:cs="Times New Roman"/>
          <w:bCs/>
          <w:i w:val="0"/>
          <w:sz w:val="20"/>
          <w:szCs w:val="20"/>
          <w:shd w:val="clear" w:color="auto" w:fill="FFFFFF"/>
        </w:rPr>
        <w:t xml:space="preserve"> </w:t>
      </w:r>
      <w:r>
        <w:rPr>
          <w:rFonts w:ascii="Times New Roman" w:hAnsi="Times New Roman" w:cs="Times New Roman"/>
          <w:color w:val="333333"/>
          <w:sz w:val="20"/>
          <w:szCs w:val="20"/>
          <w:shd w:val="clear" w:color="auto" w:fill="FFFFFF"/>
        </w:rPr>
        <w:t>(</w:t>
      </w:r>
      <w:r w:rsidRPr="00D44BCE">
        <w:rPr>
          <w:rFonts w:ascii="Times New Roman" w:hAnsi="Times New Roman" w:cs="Times New Roman"/>
          <w:sz w:val="20"/>
          <w:szCs w:val="20"/>
          <w:shd w:val="clear" w:color="auto" w:fill="FFFFFF"/>
        </w:rPr>
        <w:t>RIBEIRO, 2006</w:t>
      </w:r>
      <w:r>
        <w:rPr>
          <w:rFonts w:ascii="Times New Roman" w:hAnsi="Times New Roman" w:cs="Times New Roman"/>
          <w:sz w:val="20"/>
          <w:szCs w:val="20"/>
          <w:shd w:val="clear" w:color="auto" w:fill="FFFFFF"/>
        </w:rPr>
        <w:t>, p.02</w:t>
      </w:r>
      <w:r w:rsidRPr="00D44BCE">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67498D" w:rsidRPr="0067498D" w:rsidRDefault="0067498D" w:rsidP="007E5E4D">
      <w:pPr>
        <w:autoSpaceDE w:val="0"/>
        <w:autoSpaceDN w:val="0"/>
        <w:adjustRightInd w:val="0"/>
        <w:spacing w:after="120" w:line="240" w:lineRule="auto"/>
        <w:ind w:left="2268"/>
        <w:contextualSpacing/>
        <w:jc w:val="both"/>
        <w:rPr>
          <w:rFonts w:ascii="Times New Roman" w:hAnsi="Times New Roman" w:cs="Times New Roman"/>
          <w:sz w:val="24"/>
          <w:szCs w:val="24"/>
          <w:shd w:val="clear" w:color="auto" w:fill="FFFFFF"/>
        </w:rPr>
      </w:pPr>
    </w:p>
    <w:p w:rsidR="0067498D" w:rsidRDefault="0067498D" w:rsidP="007E5E4D">
      <w:pPr>
        <w:pStyle w:val="NormalWeb"/>
        <w:spacing w:before="0" w:beforeAutospacing="0" w:after="120" w:afterAutospacing="0" w:line="408" w:lineRule="atLeast"/>
        <w:ind w:firstLine="1134"/>
        <w:jc w:val="both"/>
        <w:rPr>
          <w:szCs w:val="20"/>
        </w:rPr>
      </w:pPr>
      <w:r w:rsidRPr="00D44BCE">
        <w:rPr>
          <w:szCs w:val="20"/>
        </w:rPr>
        <w:t xml:space="preserve">Além disso, a </w:t>
      </w:r>
      <w:r>
        <w:rPr>
          <w:szCs w:val="20"/>
        </w:rPr>
        <w:t xml:space="preserve">concretização do direito do credor (cumprimento da sentença) </w:t>
      </w:r>
      <w:r w:rsidRPr="00D44BCE">
        <w:rPr>
          <w:szCs w:val="20"/>
        </w:rPr>
        <w:t xml:space="preserve">é a grande </w:t>
      </w:r>
      <w:r>
        <w:rPr>
          <w:szCs w:val="20"/>
        </w:rPr>
        <w:t xml:space="preserve">pensamento que envolve a </w:t>
      </w:r>
      <w:r w:rsidRPr="00D44BCE">
        <w:rPr>
          <w:szCs w:val="20"/>
        </w:rPr>
        <w:t xml:space="preserve">nova lei, pois </w:t>
      </w:r>
      <w:r>
        <w:rPr>
          <w:szCs w:val="20"/>
        </w:rPr>
        <w:t xml:space="preserve">‘’ </w:t>
      </w:r>
      <w:r w:rsidRPr="00D44BCE">
        <w:rPr>
          <w:szCs w:val="20"/>
        </w:rPr>
        <w:t>se exigi</w:t>
      </w:r>
      <w:r>
        <w:rPr>
          <w:szCs w:val="20"/>
        </w:rPr>
        <w:t>r</w:t>
      </w:r>
      <w:r w:rsidRPr="00D44BCE">
        <w:rPr>
          <w:szCs w:val="20"/>
        </w:rPr>
        <w:t xml:space="preserve"> um novo processo de execução</w:t>
      </w:r>
      <w:r>
        <w:rPr>
          <w:szCs w:val="20"/>
        </w:rPr>
        <w:t>,</w:t>
      </w:r>
      <w:r w:rsidRPr="00D44BCE">
        <w:rPr>
          <w:szCs w:val="20"/>
        </w:rPr>
        <w:t xml:space="preserve"> quando obtido o título executivo judicial</w:t>
      </w:r>
      <w:r>
        <w:rPr>
          <w:szCs w:val="20"/>
        </w:rPr>
        <w:t xml:space="preserve"> era</w:t>
      </w:r>
      <w:r w:rsidRPr="00D44BCE">
        <w:rPr>
          <w:szCs w:val="20"/>
        </w:rPr>
        <w:t xml:space="preserve"> </w:t>
      </w:r>
      <w:r>
        <w:rPr>
          <w:szCs w:val="20"/>
        </w:rPr>
        <w:t>ir de</w:t>
      </w:r>
      <w:r w:rsidRPr="00D44BCE">
        <w:rPr>
          <w:szCs w:val="20"/>
        </w:rPr>
        <w:t xml:space="preserve"> frente contra </w:t>
      </w:r>
      <w:r w:rsidRPr="00425A8B">
        <w:rPr>
          <w:szCs w:val="20"/>
        </w:rPr>
        <w:t>a instrumentalidade do processo, acarretando uma nítida morosidade na entrega da prestação jurisdicional ‘’ (RIBEIRO, 2006</w:t>
      </w:r>
      <w:r>
        <w:rPr>
          <w:szCs w:val="20"/>
        </w:rPr>
        <w:t>, p. 08)</w:t>
      </w:r>
      <w:r w:rsidRPr="00D44BCE">
        <w:rPr>
          <w:szCs w:val="20"/>
        </w:rPr>
        <w:t>.</w:t>
      </w:r>
    </w:p>
    <w:p w:rsidR="0067498D" w:rsidRDefault="0067498D" w:rsidP="007E5E4D">
      <w:pPr>
        <w:pStyle w:val="NormalWeb"/>
        <w:spacing w:before="0" w:beforeAutospacing="0" w:after="120" w:afterAutospacing="0"/>
        <w:ind w:left="2268"/>
        <w:jc w:val="both"/>
        <w:rPr>
          <w:sz w:val="20"/>
          <w:szCs w:val="20"/>
        </w:rPr>
      </w:pPr>
      <w:r w:rsidRPr="00797D91">
        <w:rPr>
          <w:sz w:val="20"/>
          <w:szCs w:val="20"/>
        </w:rPr>
        <w:t>Dentre as alterações introduzidas pela lei em comento</w:t>
      </w:r>
      <w:r>
        <w:rPr>
          <w:sz w:val="20"/>
          <w:szCs w:val="20"/>
        </w:rPr>
        <w:t xml:space="preserve"> (..</w:t>
      </w:r>
      <w:r w:rsidRPr="00797D91">
        <w:rPr>
          <w:sz w:val="20"/>
          <w:szCs w:val="20"/>
        </w:rPr>
        <w:t xml:space="preserve">.), no processo de conhecimento, o novo conceito de sentença, a qual não será mais aquela que põe termo ao processo, sendo esta uma das situações que implicam nos artigos 267 e 269, do Código de Processo Civil (...) a concepção de sentença fixada no artigo 162, §1° </w:t>
      </w:r>
      <w:r w:rsidRPr="001A1207">
        <w:rPr>
          <w:b/>
          <w:sz w:val="20"/>
          <w:szCs w:val="20"/>
        </w:rPr>
        <w:t>agora passa a ser tratada pelo seu conteúdo, apta a aparelhar uma nova fase de procedimento</w:t>
      </w:r>
      <w:r w:rsidRPr="00797D91">
        <w:rPr>
          <w:sz w:val="20"/>
          <w:szCs w:val="20"/>
        </w:rPr>
        <w:t xml:space="preserve"> (...) (RIBEIRO, 2006, p. 03).</w:t>
      </w:r>
      <w:r>
        <w:rPr>
          <w:sz w:val="20"/>
          <w:szCs w:val="20"/>
        </w:rPr>
        <w:t xml:space="preserve"> (grifo nosso)</w:t>
      </w:r>
    </w:p>
    <w:p w:rsidR="0067498D" w:rsidRDefault="0067498D" w:rsidP="007E5E4D">
      <w:pPr>
        <w:spacing w:after="120" w:line="360" w:lineRule="auto"/>
        <w:contextualSpacing/>
        <w:jc w:val="both"/>
        <w:rPr>
          <w:rFonts w:ascii="Times New Roman" w:hAnsi="Times New Roman" w:cs="Times New Roman"/>
          <w:sz w:val="24"/>
          <w:szCs w:val="24"/>
        </w:rPr>
      </w:pPr>
    </w:p>
    <w:p w:rsidR="0067498D" w:rsidRDefault="0067498D" w:rsidP="007E5E4D">
      <w:pPr>
        <w:spacing w:after="120" w:line="360" w:lineRule="auto"/>
        <w:ind w:firstLine="1134"/>
        <w:contextualSpacing/>
        <w:jc w:val="both"/>
        <w:rPr>
          <w:rFonts w:ascii="Helvetica" w:hAnsi="Helvetica"/>
          <w:color w:val="000000"/>
          <w:shd w:val="clear" w:color="auto" w:fill="FFFFFF"/>
        </w:rPr>
      </w:pPr>
      <w:r w:rsidRPr="008F1D51">
        <w:rPr>
          <w:rFonts w:ascii="Times New Roman" w:hAnsi="Times New Roman" w:cs="Times New Roman"/>
          <w:sz w:val="24"/>
          <w:szCs w:val="24"/>
        </w:rPr>
        <w:t xml:space="preserve">Acerca das principais mudanças da Lei 11.232/05 no processo de execução </w:t>
      </w:r>
      <w:r>
        <w:rPr>
          <w:rFonts w:ascii="Times New Roman" w:hAnsi="Times New Roman" w:cs="Times New Roman"/>
          <w:sz w:val="24"/>
          <w:szCs w:val="24"/>
        </w:rPr>
        <w:t>a processualista Monika Storn comenta sucintamente:</w:t>
      </w:r>
    </w:p>
    <w:p w:rsidR="0067498D" w:rsidRPr="00635416" w:rsidRDefault="0067498D" w:rsidP="007E5E4D">
      <w:pPr>
        <w:spacing w:after="120" w:line="240" w:lineRule="auto"/>
        <w:ind w:left="2268"/>
        <w:contextualSpacing/>
        <w:jc w:val="both"/>
        <w:rPr>
          <w:rFonts w:ascii="Helvetica" w:hAnsi="Helvetica"/>
        </w:rPr>
      </w:pPr>
      <w:r w:rsidRPr="00635416">
        <w:rPr>
          <w:rFonts w:ascii="Times New Roman" w:hAnsi="Times New Roman" w:cs="Times New Roman"/>
          <w:sz w:val="20"/>
          <w:szCs w:val="24"/>
          <w:shd w:val="clear" w:color="auto" w:fill="FFFFFF"/>
        </w:rPr>
        <w:t>A referida Lei que alterou a forma de execução dos títulos executivos judiciais também criou o cumprimento da sentença. Para a compreensão da sistemática do cumprimento da sentença colaciona-se abaixo o art. 475-J,</w:t>
      </w:r>
      <w:r w:rsidRPr="00635416">
        <w:rPr>
          <w:rStyle w:val="apple-converted-space"/>
          <w:rFonts w:ascii="Times New Roman" w:hAnsi="Times New Roman" w:cs="Times New Roman"/>
          <w:sz w:val="20"/>
          <w:szCs w:val="24"/>
          <w:shd w:val="clear" w:color="auto" w:fill="FFFFFF"/>
        </w:rPr>
        <w:t> </w:t>
      </w:r>
      <w:r w:rsidRPr="00635416">
        <w:rPr>
          <w:rStyle w:val="nfase"/>
          <w:rFonts w:ascii="Times New Roman" w:hAnsi="Times New Roman" w:cs="Times New Roman"/>
          <w:sz w:val="20"/>
          <w:szCs w:val="24"/>
          <w:shd w:val="clear" w:color="auto" w:fill="FFFFFF"/>
        </w:rPr>
        <w:t>caput</w:t>
      </w:r>
      <w:r w:rsidRPr="00635416">
        <w:rPr>
          <w:rFonts w:ascii="Times New Roman" w:hAnsi="Times New Roman" w:cs="Times New Roman"/>
          <w:sz w:val="20"/>
          <w:szCs w:val="24"/>
          <w:shd w:val="clear" w:color="auto" w:fill="FFFFFF"/>
        </w:rPr>
        <w:t>, do CPC (...) Outra alteração considerável ao procedimento prevê que do auto de penhora e de avaliação o executado será intimado, para querendo, no prazo de 10 (dez) dias, oferecer impugnação (</w:t>
      </w:r>
      <w:hyperlink r:id="rId8" w:tooltip="Click to Continue &gt; by Coupon Server" w:history="1">
        <w:r w:rsidRPr="00635416">
          <w:rPr>
            <w:rStyle w:val="Hyperlink"/>
            <w:rFonts w:ascii="Times New Roman" w:hAnsi="Times New Roman" w:cs="Times New Roman"/>
            <w:color w:val="auto"/>
            <w:sz w:val="20"/>
            <w:szCs w:val="24"/>
          </w:rPr>
          <w:t>art</w:t>
        </w:r>
      </w:hyperlink>
      <w:r w:rsidRPr="00635416">
        <w:rPr>
          <w:rFonts w:ascii="Times New Roman" w:hAnsi="Times New Roman" w:cs="Times New Roman"/>
          <w:sz w:val="20"/>
          <w:szCs w:val="24"/>
          <w:shd w:val="clear" w:color="auto" w:fill="FFFFFF"/>
        </w:rPr>
        <w:t>. 475, § 1º), que, em regra geral, não terá efeito suspensivo (art. 475-</w:t>
      </w:r>
      <w:r w:rsidRPr="00635416">
        <w:rPr>
          <w:rFonts w:ascii="Times New Roman" w:hAnsi="Times New Roman" w:cs="Times New Roman"/>
          <w:sz w:val="20"/>
          <w:szCs w:val="24"/>
          <w:shd w:val="clear" w:color="auto" w:fill="FFFFFF"/>
        </w:rPr>
        <w:lastRenderedPageBreak/>
        <w:t>M). No entanto, a impugnação só poderá versar sobre as matérias definidas no rol taxativo do art. 475-L do CPC.(...)</w:t>
      </w:r>
      <w:r w:rsidRPr="00635416">
        <w:rPr>
          <w:rStyle w:val="apple-converted-space"/>
          <w:rFonts w:ascii="Times New Roman" w:hAnsi="Times New Roman" w:cs="Times New Roman"/>
          <w:sz w:val="20"/>
          <w:szCs w:val="24"/>
          <w:shd w:val="clear" w:color="auto" w:fill="FFFFFF"/>
        </w:rPr>
        <w:t> </w:t>
      </w:r>
      <w:r w:rsidRPr="00635416">
        <w:rPr>
          <w:rFonts w:ascii="Times New Roman" w:hAnsi="Times New Roman" w:cs="Times New Roman"/>
          <w:sz w:val="20"/>
          <w:szCs w:val="24"/>
          <w:shd w:val="clear" w:color="auto" w:fill="FFFFFF"/>
        </w:rPr>
        <w:t>pela Lei n. 11.232/05 foi a revogação do processo de execução de títulos judiciais e a criação de 02 (dois) novos capítulos</w:t>
      </w:r>
      <w:r>
        <w:rPr>
          <w:rFonts w:ascii="Times New Roman" w:hAnsi="Times New Roman" w:cs="Times New Roman"/>
          <w:sz w:val="20"/>
          <w:szCs w:val="24"/>
          <w:shd w:val="clear" w:color="auto" w:fill="FFFFFF"/>
        </w:rPr>
        <w:t>(...) (STORM, 2010, p. 08).</w:t>
      </w:r>
    </w:p>
    <w:p w:rsidR="0067498D" w:rsidRDefault="0067498D" w:rsidP="007E5E4D">
      <w:pPr>
        <w:spacing w:after="120" w:line="240" w:lineRule="auto"/>
        <w:contextualSpacing/>
        <w:jc w:val="both"/>
        <w:rPr>
          <w:rFonts w:ascii="Times New Roman" w:hAnsi="Times New Roman" w:cs="Times New Roman"/>
          <w:sz w:val="24"/>
          <w:szCs w:val="24"/>
        </w:rPr>
      </w:pPr>
    </w:p>
    <w:p w:rsidR="0067498D" w:rsidRPr="00635416" w:rsidRDefault="0067498D" w:rsidP="007E5E4D">
      <w:pPr>
        <w:spacing w:after="120" w:line="360" w:lineRule="auto"/>
        <w:ind w:firstLine="1134"/>
        <w:jc w:val="both"/>
        <w:rPr>
          <w:rFonts w:ascii="Helvetica" w:hAnsi="Helvetica"/>
        </w:rPr>
      </w:pPr>
      <w:r>
        <w:rPr>
          <w:rFonts w:ascii="Times New Roman" w:hAnsi="Times New Roman" w:cs="Times New Roman"/>
          <w:sz w:val="24"/>
          <w:szCs w:val="24"/>
        </w:rPr>
        <w:t>Logo, “</w:t>
      </w:r>
      <w:r w:rsidRPr="008F1D51">
        <w:rPr>
          <w:rFonts w:ascii="Times New Roman" w:hAnsi="Times New Roman" w:cs="Times New Roman"/>
          <w:sz w:val="24"/>
          <w:szCs w:val="24"/>
        </w:rPr>
        <w:t>o</w:t>
      </w:r>
      <w:r w:rsidRPr="008F1D51">
        <w:rPr>
          <w:rFonts w:ascii="Times New Roman" w:hAnsi="Times New Roman" w:cs="Times New Roman"/>
          <w:sz w:val="24"/>
          <w:szCs w:val="24"/>
          <w:shd w:val="clear" w:color="auto" w:fill="FFFFFF"/>
        </w:rPr>
        <w:t>s títulos executivos judiciais serão agora não propriamente executados, mas sim ‘cumpridos’. Por óbvio, tal guinada legal tem um fito imediato: a</w:t>
      </w:r>
      <w:r w:rsidRPr="008F1D51">
        <w:rPr>
          <w:rStyle w:val="apple-converted-space"/>
          <w:rFonts w:ascii="Times New Roman" w:hAnsi="Times New Roman" w:cs="Times New Roman"/>
          <w:sz w:val="24"/>
          <w:szCs w:val="24"/>
          <w:shd w:val="clear" w:color="auto" w:fill="FFFFFF"/>
        </w:rPr>
        <w:t> </w:t>
      </w:r>
      <w:r w:rsidRPr="008F1D51">
        <w:rPr>
          <w:rFonts w:ascii="Times New Roman" w:hAnsi="Times New Roman" w:cs="Times New Roman"/>
          <w:sz w:val="24"/>
          <w:szCs w:val="24"/>
        </w:rPr>
        <w:t>promoção</w:t>
      </w:r>
      <w:r w:rsidRPr="008F1D51">
        <w:rPr>
          <w:rStyle w:val="apple-converted-space"/>
          <w:rFonts w:ascii="Times New Roman" w:hAnsi="Times New Roman" w:cs="Times New Roman"/>
          <w:sz w:val="24"/>
          <w:szCs w:val="24"/>
          <w:shd w:val="clear" w:color="auto" w:fill="FFFFFF"/>
        </w:rPr>
        <w:t> </w:t>
      </w:r>
      <w:r w:rsidRPr="008F1D51">
        <w:rPr>
          <w:rFonts w:ascii="Times New Roman" w:hAnsi="Times New Roman" w:cs="Times New Roman"/>
          <w:sz w:val="24"/>
          <w:szCs w:val="24"/>
          <w:shd w:val="clear" w:color="auto" w:fill="FFFFFF"/>
        </w:rPr>
        <w:t>da celeridade e da efetivi</w:t>
      </w:r>
      <w:r>
        <w:rPr>
          <w:rFonts w:ascii="Times New Roman" w:hAnsi="Times New Roman" w:cs="Times New Roman"/>
          <w:sz w:val="24"/>
          <w:szCs w:val="24"/>
          <w:shd w:val="clear" w:color="auto" w:fill="FFFFFF"/>
        </w:rPr>
        <w:t>dade no processo civil pátrio”</w:t>
      </w:r>
      <w:r w:rsidRPr="008F1D51">
        <w:rPr>
          <w:rFonts w:ascii="Times New Roman" w:hAnsi="Times New Roman" w:cs="Times New Roman"/>
          <w:sz w:val="24"/>
          <w:szCs w:val="24"/>
          <w:shd w:val="clear" w:color="auto" w:fill="FFFFFF"/>
        </w:rPr>
        <w:t xml:space="preserve"> (SILVA, 2009, p. 03)</w:t>
      </w:r>
      <w:r>
        <w:rPr>
          <w:rFonts w:ascii="Times New Roman" w:hAnsi="Times New Roman" w:cs="Times New Roman"/>
          <w:sz w:val="24"/>
          <w:szCs w:val="24"/>
          <w:shd w:val="clear" w:color="auto" w:fill="FFFFFF"/>
        </w:rPr>
        <w:t xml:space="preserve"> que </w:t>
      </w:r>
      <w:r w:rsidRPr="008F1D51">
        <w:rPr>
          <w:rFonts w:ascii="Times New Roman" w:hAnsi="Times New Roman" w:cs="Times New Roman"/>
          <w:sz w:val="24"/>
          <w:szCs w:val="24"/>
          <w:shd w:val="clear" w:color="auto" w:fill="FFFFFF"/>
        </w:rPr>
        <w:t>estaria no cumprimento da sentença por quantia c</w:t>
      </w:r>
      <w:r>
        <w:rPr>
          <w:rFonts w:ascii="Times New Roman" w:hAnsi="Times New Roman" w:cs="Times New Roman"/>
          <w:sz w:val="24"/>
          <w:szCs w:val="24"/>
          <w:shd w:val="clear" w:color="auto" w:fill="FFFFFF"/>
        </w:rPr>
        <w:t>erta contra devedor solvente, “</w:t>
      </w:r>
      <w:r w:rsidRPr="008F1D51">
        <w:rPr>
          <w:rFonts w:ascii="Times New Roman" w:hAnsi="Times New Roman" w:cs="Times New Roman"/>
          <w:sz w:val="24"/>
          <w:szCs w:val="24"/>
          <w:shd w:val="clear" w:color="auto" w:fill="FFFFFF"/>
        </w:rPr>
        <w:t>(...) uma vez que o art. 461 não foi alterado pela Lei 11232/05 e continua em voga no que diz respeito às execuções para obrigação de faze</w:t>
      </w:r>
      <w:r>
        <w:rPr>
          <w:rFonts w:ascii="Times New Roman" w:hAnsi="Times New Roman" w:cs="Times New Roman"/>
          <w:sz w:val="24"/>
          <w:szCs w:val="24"/>
          <w:shd w:val="clear" w:color="auto" w:fill="FFFFFF"/>
        </w:rPr>
        <w:t>r, não fazer e entrega de coisa” (</w:t>
      </w:r>
      <w:r w:rsidRPr="008F1D51">
        <w:rPr>
          <w:rFonts w:ascii="Times New Roman" w:hAnsi="Times New Roman" w:cs="Times New Roman"/>
          <w:sz w:val="24"/>
          <w:szCs w:val="24"/>
          <w:shd w:val="clear" w:color="auto" w:fill="FFFFFF"/>
        </w:rPr>
        <w:t>SILVA, 2009, p. 03).</w:t>
      </w:r>
    </w:p>
    <w:p w:rsidR="0067498D" w:rsidRDefault="0067498D" w:rsidP="007E5E4D">
      <w:pPr>
        <w:spacing w:after="120" w:line="240" w:lineRule="auto"/>
        <w:contextualSpacing/>
        <w:jc w:val="both"/>
        <w:rPr>
          <w:rFonts w:ascii="Helvetica" w:hAnsi="Helvetica"/>
          <w:color w:val="000000"/>
        </w:rPr>
      </w:pPr>
    </w:p>
    <w:p w:rsidR="0067498D" w:rsidRDefault="0067498D" w:rsidP="007E5E4D">
      <w:pPr>
        <w:spacing w:after="120" w:line="240" w:lineRule="auto"/>
        <w:jc w:val="both"/>
        <w:rPr>
          <w:rFonts w:ascii="Times New Roman" w:hAnsi="Times New Roman" w:cs="Times New Roman"/>
          <w:b/>
          <w:sz w:val="24"/>
          <w:szCs w:val="24"/>
        </w:rPr>
      </w:pPr>
      <w:r w:rsidRPr="0067498D">
        <w:rPr>
          <w:rFonts w:ascii="Times New Roman" w:hAnsi="Times New Roman" w:cs="Times New Roman"/>
          <w:b/>
          <w:sz w:val="24"/>
          <w:szCs w:val="24"/>
        </w:rPr>
        <w:t>4 DIVERGÊNCIA</w:t>
      </w:r>
      <w:r>
        <w:rPr>
          <w:rFonts w:ascii="Times New Roman" w:hAnsi="Times New Roman" w:cs="Times New Roman"/>
          <w:b/>
          <w:sz w:val="24"/>
          <w:szCs w:val="24"/>
        </w:rPr>
        <w:t>S</w:t>
      </w:r>
      <w:r w:rsidRPr="0067498D">
        <w:rPr>
          <w:rFonts w:ascii="Times New Roman" w:hAnsi="Times New Roman" w:cs="Times New Roman"/>
          <w:b/>
          <w:sz w:val="24"/>
          <w:szCs w:val="24"/>
        </w:rPr>
        <w:t xml:space="preserve"> ENTRE A LEI 11.232/05 E O ARTIGO 732, CPC</w:t>
      </w:r>
    </w:p>
    <w:p w:rsidR="00BE0BEF" w:rsidRPr="0067498D" w:rsidRDefault="00BE0BEF" w:rsidP="007E5E4D">
      <w:pPr>
        <w:spacing w:after="120" w:line="240" w:lineRule="auto"/>
        <w:jc w:val="both"/>
        <w:rPr>
          <w:rFonts w:ascii="Times New Roman" w:hAnsi="Times New Roman" w:cs="Times New Roman"/>
          <w:b/>
          <w:sz w:val="24"/>
          <w:szCs w:val="24"/>
        </w:rPr>
      </w:pPr>
    </w:p>
    <w:p w:rsidR="007E5E4D" w:rsidRDefault="007E5E4D" w:rsidP="00C3788B">
      <w:pPr>
        <w:autoSpaceDE w:val="0"/>
        <w:autoSpaceDN w:val="0"/>
        <w:adjustRightInd w:val="0"/>
        <w:spacing w:after="120" w:line="360" w:lineRule="auto"/>
        <w:ind w:firstLine="113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Pode-se constatar a existência de um conflito aparente entre a Lei 11.232/05 – propõe o sincretismo processual – </w:t>
      </w:r>
      <w:r w:rsidR="00C3788B">
        <w:rPr>
          <w:rFonts w:ascii="Times New Roman" w:hAnsi="Times New Roman" w:cs="Times New Roman"/>
          <w:bCs/>
          <w:sz w:val="24"/>
          <w:szCs w:val="24"/>
        </w:rPr>
        <w:t>e o artigo 732 do CPC. Ademais</w:t>
      </w:r>
      <w:r>
        <w:rPr>
          <w:rFonts w:ascii="Times New Roman" w:hAnsi="Times New Roman" w:cs="Times New Roman"/>
          <w:bCs/>
          <w:sz w:val="24"/>
          <w:szCs w:val="24"/>
        </w:rPr>
        <w:t>, se observa uma redução no campo de incidência do referido artigo do CPC. (CARVALHO NETO, 2012).</w:t>
      </w:r>
    </w:p>
    <w:p w:rsidR="007E5E4D" w:rsidRDefault="007E5E4D" w:rsidP="007E5E4D">
      <w:pPr>
        <w:autoSpaceDE w:val="0"/>
        <w:autoSpaceDN w:val="0"/>
        <w:adjustRightInd w:val="0"/>
        <w:spacing w:after="120" w:line="240" w:lineRule="auto"/>
        <w:ind w:left="2268"/>
        <w:jc w:val="both"/>
        <w:rPr>
          <w:rFonts w:ascii="Times New Roman" w:hAnsi="Times New Roman" w:cs="Times New Roman"/>
          <w:sz w:val="20"/>
          <w:szCs w:val="20"/>
        </w:rPr>
      </w:pPr>
      <w:r w:rsidRPr="00D12EA7">
        <w:rPr>
          <w:rFonts w:ascii="Times New Roman" w:hAnsi="Times New Roman" w:cs="Times New Roman"/>
          <w:sz w:val="20"/>
          <w:szCs w:val="20"/>
        </w:rPr>
        <w:t>A partir da vigência da Lei 11.232/2005 não mais existe o processo de execução de título executivo</w:t>
      </w:r>
      <w:r>
        <w:rPr>
          <w:rFonts w:ascii="Times New Roman" w:hAnsi="Times New Roman" w:cs="Times New Roman"/>
          <w:sz w:val="20"/>
          <w:szCs w:val="20"/>
        </w:rPr>
        <w:t xml:space="preserve"> </w:t>
      </w:r>
      <w:r w:rsidRPr="00D12EA7">
        <w:rPr>
          <w:rFonts w:ascii="Times New Roman" w:hAnsi="Times New Roman" w:cs="Times New Roman"/>
          <w:sz w:val="20"/>
          <w:szCs w:val="20"/>
        </w:rPr>
        <w:t>judicial. Somente os títulos executivos extrajudiciais dispõem de procedimento autônomo, e isso com</w:t>
      </w:r>
      <w:r>
        <w:rPr>
          <w:rFonts w:ascii="Times New Roman" w:hAnsi="Times New Roman" w:cs="Times New Roman"/>
          <w:sz w:val="20"/>
          <w:szCs w:val="20"/>
        </w:rPr>
        <w:t xml:space="preserve"> </w:t>
      </w:r>
      <w:r w:rsidRPr="00D12EA7">
        <w:rPr>
          <w:rFonts w:ascii="Times New Roman" w:hAnsi="Times New Roman" w:cs="Times New Roman"/>
          <w:sz w:val="20"/>
          <w:szCs w:val="20"/>
        </w:rPr>
        <w:t>as alterações trazidas pela Lei 11.382/2006. Para o cumprimento da sentença condenatória por</w:t>
      </w:r>
      <w:r>
        <w:rPr>
          <w:rFonts w:ascii="Times New Roman" w:hAnsi="Times New Roman" w:cs="Times New Roman"/>
          <w:sz w:val="20"/>
          <w:szCs w:val="20"/>
        </w:rPr>
        <w:t xml:space="preserve"> </w:t>
      </w:r>
      <w:r w:rsidRPr="00D12EA7">
        <w:rPr>
          <w:rFonts w:ascii="Times New Roman" w:hAnsi="Times New Roman" w:cs="Times New Roman"/>
          <w:sz w:val="20"/>
          <w:szCs w:val="20"/>
        </w:rPr>
        <w:t xml:space="preserve">quantia basta o credor peticionar nos autos do processo de conhecimento. </w:t>
      </w:r>
      <w:r w:rsidRPr="00D12EA7">
        <w:rPr>
          <w:rFonts w:ascii="Times New Roman" w:hAnsi="Times New Roman" w:cs="Times New Roman"/>
          <w:i/>
          <w:iCs/>
          <w:sz w:val="20"/>
          <w:szCs w:val="20"/>
        </w:rPr>
        <w:t>Embora não exista mais</w:t>
      </w:r>
      <w:r>
        <w:rPr>
          <w:rFonts w:ascii="Times New Roman" w:hAnsi="Times New Roman" w:cs="Times New Roman"/>
          <w:i/>
          <w:iCs/>
          <w:sz w:val="20"/>
          <w:szCs w:val="20"/>
        </w:rPr>
        <w:t xml:space="preserve"> </w:t>
      </w:r>
      <w:r w:rsidRPr="00D12EA7">
        <w:rPr>
          <w:rFonts w:ascii="Times New Roman" w:hAnsi="Times New Roman" w:cs="Times New Roman"/>
          <w:i/>
          <w:iCs/>
          <w:sz w:val="20"/>
          <w:szCs w:val="20"/>
        </w:rPr>
        <w:t>ação de execução</w:t>
      </w:r>
      <w:r w:rsidRPr="00D12EA7">
        <w:rPr>
          <w:rFonts w:ascii="Times New Roman" w:hAnsi="Times New Roman" w:cs="Times New Roman"/>
          <w:sz w:val="20"/>
          <w:szCs w:val="20"/>
        </w:rPr>
        <w:t>, (...) (DIAS, 2007, pg. 03).</w:t>
      </w:r>
    </w:p>
    <w:p w:rsidR="007E5E4D" w:rsidRPr="00D12EA7" w:rsidRDefault="007E5E4D" w:rsidP="007E5E4D">
      <w:pPr>
        <w:autoSpaceDE w:val="0"/>
        <w:autoSpaceDN w:val="0"/>
        <w:adjustRightInd w:val="0"/>
        <w:spacing w:after="120" w:line="240" w:lineRule="auto"/>
        <w:ind w:left="2268"/>
        <w:jc w:val="both"/>
        <w:rPr>
          <w:rFonts w:ascii="Times New Roman" w:hAnsi="Times New Roman" w:cs="Times New Roman"/>
          <w:sz w:val="20"/>
          <w:szCs w:val="23"/>
        </w:rPr>
      </w:pPr>
    </w:p>
    <w:p w:rsidR="007E5E4D" w:rsidRDefault="007E5E4D" w:rsidP="007E5E4D">
      <w:pPr>
        <w:pStyle w:val="Default"/>
        <w:spacing w:after="120"/>
        <w:ind w:left="2268"/>
        <w:jc w:val="both"/>
        <w:rPr>
          <w:sz w:val="20"/>
          <w:szCs w:val="23"/>
        </w:rPr>
      </w:pPr>
      <w:r>
        <w:rPr>
          <w:sz w:val="20"/>
          <w:szCs w:val="23"/>
        </w:rPr>
        <w:t>(...)</w:t>
      </w:r>
      <w:r w:rsidRPr="004A6FCA">
        <w:rPr>
          <w:sz w:val="20"/>
          <w:szCs w:val="23"/>
        </w:rPr>
        <w:t xml:space="preserve"> Ocorre, no entanto, que a reforma do Código de Processo Civil, operada pela Lei nº 11.232/05, não observou o sistema da execução de alimentos, tratada nos artigos 732 a 735 do Código de Processo Civil. Dessa forma, tanto a doutrina quanto a jurisprudência foram questionadas sobre a aplicação ou não das regras do Cumprimento da Sentença à Execução de Alimentos (...) (CAMPOS, 20 [-?], p. 02).</w:t>
      </w:r>
    </w:p>
    <w:p w:rsidR="007E5E4D" w:rsidRPr="004A6FCA" w:rsidRDefault="007E5E4D" w:rsidP="007E5E4D">
      <w:pPr>
        <w:pStyle w:val="Default"/>
        <w:spacing w:after="120"/>
        <w:ind w:left="2268"/>
        <w:jc w:val="both"/>
        <w:rPr>
          <w:bCs/>
          <w:sz w:val="20"/>
        </w:rPr>
      </w:pPr>
    </w:p>
    <w:p w:rsidR="007E5E4D" w:rsidRDefault="007E5E4D" w:rsidP="00C3788B">
      <w:pPr>
        <w:autoSpaceDE w:val="0"/>
        <w:autoSpaceDN w:val="0"/>
        <w:adjustRightInd w:val="0"/>
        <w:spacing w:after="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desacordo</w:t>
      </w:r>
      <w:r w:rsidRPr="00C4764C">
        <w:rPr>
          <w:rFonts w:ascii="Times New Roman" w:hAnsi="Times New Roman" w:cs="Times New Roman"/>
          <w:bCs/>
          <w:sz w:val="24"/>
          <w:szCs w:val="24"/>
        </w:rPr>
        <w:t xml:space="preserve"> está quanto à escolha do procedimento a ser adotado em caso de descumprimento de sentença com prestação alimentícia.</w:t>
      </w:r>
      <w:r w:rsidR="00C3788B">
        <w:rPr>
          <w:rFonts w:ascii="Times New Roman" w:hAnsi="Times New Roman" w:cs="Times New Roman"/>
          <w:bCs/>
          <w:sz w:val="24"/>
          <w:szCs w:val="24"/>
        </w:rPr>
        <w:t xml:space="preserve"> “</w:t>
      </w:r>
      <w:r>
        <w:rPr>
          <w:rFonts w:ascii="Times New Roman" w:hAnsi="Times New Roman" w:cs="Times New Roman"/>
          <w:bCs/>
          <w:sz w:val="24"/>
          <w:szCs w:val="24"/>
        </w:rPr>
        <w:t xml:space="preserve">Parte da doutrina não aceita que a sentença </w:t>
      </w:r>
      <w:r w:rsidRPr="00F53F4F">
        <w:rPr>
          <w:rFonts w:ascii="Times New Roman" w:hAnsi="Times New Roman" w:cs="Times New Roman"/>
          <w:bCs/>
          <w:sz w:val="24"/>
          <w:szCs w:val="24"/>
        </w:rPr>
        <w:t>que fixa alimentos seja executada através do cumprimento de sentença. Afirma que a lei 11.232/05 não revogou expressamente o artigo 732 do CPC, portanto este ainda estaria em vigor</w:t>
      </w:r>
      <w:r w:rsidR="00C3788B">
        <w:rPr>
          <w:rFonts w:ascii="Times New Roman" w:hAnsi="Times New Roman" w:cs="Times New Roman"/>
          <w:bCs/>
          <w:sz w:val="24"/>
          <w:szCs w:val="24"/>
        </w:rPr>
        <w:t xml:space="preserve">” </w:t>
      </w:r>
      <w:r w:rsidRPr="00F53F4F">
        <w:rPr>
          <w:rFonts w:ascii="Times New Roman" w:hAnsi="Times New Roman" w:cs="Times New Roman"/>
          <w:bCs/>
          <w:sz w:val="24"/>
          <w:szCs w:val="24"/>
        </w:rPr>
        <w:t xml:space="preserve">(STORM, 2010, p. 09), como </w:t>
      </w:r>
      <w:r>
        <w:rPr>
          <w:rFonts w:ascii="Times New Roman" w:hAnsi="Times New Roman" w:cs="Times New Roman"/>
          <w:bCs/>
          <w:sz w:val="24"/>
          <w:szCs w:val="24"/>
        </w:rPr>
        <w:t>frisa</w:t>
      </w:r>
      <w:r w:rsidRPr="00F53F4F">
        <w:rPr>
          <w:rFonts w:ascii="Times New Roman" w:hAnsi="Times New Roman" w:cs="Times New Roman"/>
          <w:bCs/>
          <w:sz w:val="24"/>
          <w:szCs w:val="24"/>
        </w:rPr>
        <w:t xml:space="preserve"> </w:t>
      </w:r>
      <w:r w:rsidRPr="00425A8B">
        <w:rPr>
          <w:rFonts w:ascii="Times New Roman" w:hAnsi="Times New Roman" w:cs="Times New Roman"/>
          <w:bCs/>
          <w:sz w:val="24"/>
          <w:szCs w:val="24"/>
        </w:rPr>
        <w:t>Theodoro Júnior</w:t>
      </w:r>
      <w:r w:rsidRPr="00F53F4F">
        <w:rPr>
          <w:rFonts w:ascii="Times New Roman" w:hAnsi="Times New Roman" w:cs="Times New Roman"/>
          <w:bCs/>
          <w:sz w:val="24"/>
          <w:szCs w:val="24"/>
        </w:rPr>
        <w:t>:</w:t>
      </w:r>
    </w:p>
    <w:p w:rsidR="007E5E4D" w:rsidRPr="00F53F4F" w:rsidRDefault="007E5E4D" w:rsidP="007E5E4D">
      <w:pPr>
        <w:autoSpaceDE w:val="0"/>
        <w:autoSpaceDN w:val="0"/>
        <w:adjustRightInd w:val="0"/>
        <w:spacing w:after="120" w:line="240" w:lineRule="auto"/>
        <w:ind w:left="2268"/>
        <w:contextualSpacing/>
        <w:jc w:val="both"/>
        <w:rPr>
          <w:rFonts w:ascii="Times New Roman" w:hAnsi="Times New Roman" w:cs="Times New Roman"/>
          <w:b/>
          <w:bCs/>
          <w:sz w:val="20"/>
          <w:szCs w:val="20"/>
        </w:rPr>
      </w:pPr>
      <w:r w:rsidRPr="00F53F4F">
        <w:rPr>
          <w:rFonts w:ascii="Times New Roman" w:hAnsi="Times New Roman" w:cs="Times New Roman"/>
          <w:sz w:val="20"/>
          <w:szCs w:val="20"/>
          <w:shd w:val="clear" w:color="auto" w:fill="FFFFFF"/>
        </w:rPr>
        <w:t>Na hipótese do art.</w:t>
      </w:r>
      <w:r w:rsidRPr="00F53F4F">
        <w:rPr>
          <w:rStyle w:val="apple-converted-space"/>
          <w:rFonts w:ascii="Times New Roman" w:hAnsi="Times New Roman" w:cs="Times New Roman"/>
          <w:sz w:val="20"/>
          <w:szCs w:val="20"/>
          <w:shd w:val="clear" w:color="auto" w:fill="FFFFFF"/>
        </w:rPr>
        <w:t> </w:t>
      </w:r>
      <w:r w:rsidRPr="00F53F4F">
        <w:rPr>
          <w:rFonts w:ascii="Times New Roman" w:hAnsi="Times New Roman" w:cs="Times New Roman"/>
          <w:sz w:val="20"/>
          <w:szCs w:val="20"/>
        </w:rPr>
        <w:t>732 a</w:t>
      </w:r>
      <w:r w:rsidRPr="00F53F4F">
        <w:rPr>
          <w:rStyle w:val="apple-converted-space"/>
          <w:rFonts w:ascii="Times New Roman" w:hAnsi="Times New Roman" w:cs="Times New Roman"/>
          <w:sz w:val="20"/>
          <w:szCs w:val="20"/>
          <w:shd w:val="clear" w:color="auto" w:fill="FFFFFF"/>
        </w:rPr>
        <w:t> </w:t>
      </w:r>
      <w:r w:rsidRPr="00F53F4F">
        <w:rPr>
          <w:rFonts w:ascii="Times New Roman" w:hAnsi="Times New Roman" w:cs="Times New Roman"/>
          <w:sz w:val="20"/>
          <w:szCs w:val="20"/>
          <w:shd w:val="clear" w:color="auto" w:fill="FFFFFF"/>
        </w:rPr>
        <w:t>execução de sentença deve processar-se nos moldes do disposto no Capítulo IV do Título II do Livro II do Código de Processo Civil, onde se acha disciplinada a “a execução por quantia certa contra devedor solvente” (arts.</w:t>
      </w:r>
      <w:r w:rsidRPr="00F53F4F">
        <w:rPr>
          <w:rFonts w:ascii="Times New Roman" w:hAnsi="Times New Roman" w:cs="Times New Roman"/>
          <w:sz w:val="20"/>
          <w:szCs w:val="20"/>
        </w:rPr>
        <w:t>646 a</w:t>
      </w:r>
      <w:r w:rsidRPr="00F53F4F">
        <w:rPr>
          <w:rStyle w:val="apple-converted-space"/>
          <w:rFonts w:ascii="Times New Roman" w:hAnsi="Times New Roman" w:cs="Times New Roman"/>
          <w:sz w:val="20"/>
          <w:szCs w:val="20"/>
          <w:shd w:val="clear" w:color="auto" w:fill="FFFFFF"/>
        </w:rPr>
        <w:t> </w:t>
      </w:r>
      <w:r w:rsidRPr="00F53F4F">
        <w:rPr>
          <w:rFonts w:ascii="Times New Roman" w:hAnsi="Times New Roman" w:cs="Times New Roman"/>
          <w:sz w:val="20"/>
          <w:szCs w:val="20"/>
          <w:shd w:val="clear" w:color="auto" w:fill="FFFFFF"/>
        </w:rPr>
        <w:t>724), cuja instauração se dá por meio de</w:t>
      </w:r>
      <w:r w:rsidRPr="00F53F4F">
        <w:rPr>
          <w:rStyle w:val="apple-converted-space"/>
          <w:rFonts w:ascii="Times New Roman" w:hAnsi="Times New Roman" w:cs="Times New Roman"/>
          <w:sz w:val="20"/>
          <w:szCs w:val="20"/>
          <w:shd w:val="clear" w:color="auto" w:fill="FFFFFF"/>
        </w:rPr>
        <w:t> </w:t>
      </w:r>
      <w:r w:rsidRPr="00F53F4F">
        <w:rPr>
          <w:rStyle w:val="nfase"/>
          <w:rFonts w:ascii="Times New Roman" w:hAnsi="Times New Roman" w:cs="Times New Roman"/>
          <w:sz w:val="20"/>
          <w:szCs w:val="20"/>
          <w:shd w:val="clear" w:color="auto" w:fill="FFFFFF"/>
        </w:rPr>
        <w:t>citação</w:t>
      </w:r>
      <w:r w:rsidRPr="00F53F4F">
        <w:rPr>
          <w:rStyle w:val="apple-converted-space"/>
          <w:rFonts w:ascii="Times New Roman" w:hAnsi="Times New Roman" w:cs="Times New Roman"/>
          <w:sz w:val="20"/>
          <w:szCs w:val="20"/>
          <w:shd w:val="clear" w:color="auto" w:fill="FFFFFF"/>
        </w:rPr>
        <w:t> </w:t>
      </w:r>
      <w:r w:rsidRPr="00F53F4F">
        <w:rPr>
          <w:rFonts w:ascii="Times New Roman" w:hAnsi="Times New Roman" w:cs="Times New Roman"/>
          <w:sz w:val="20"/>
          <w:szCs w:val="20"/>
          <w:shd w:val="clear" w:color="auto" w:fill="FFFFFF"/>
        </w:rPr>
        <w:t>do devedor para pagar em 3 dias (art. 652,</w:t>
      </w:r>
      <w:r w:rsidRPr="00F53F4F">
        <w:rPr>
          <w:rStyle w:val="apple-converted-space"/>
          <w:rFonts w:ascii="Times New Roman" w:hAnsi="Times New Roman" w:cs="Times New Roman"/>
          <w:sz w:val="20"/>
          <w:szCs w:val="20"/>
          <w:shd w:val="clear" w:color="auto" w:fill="FFFFFF"/>
        </w:rPr>
        <w:t> </w:t>
      </w:r>
      <w:r w:rsidRPr="00F53F4F">
        <w:rPr>
          <w:rStyle w:val="nfase"/>
          <w:rFonts w:ascii="Times New Roman" w:hAnsi="Times New Roman" w:cs="Times New Roman"/>
          <w:sz w:val="20"/>
          <w:szCs w:val="20"/>
          <w:shd w:val="clear" w:color="auto" w:fill="FFFFFF"/>
        </w:rPr>
        <w:t>caput</w:t>
      </w:r>
      <w:r w:rsidRPr="00F53F4F">
        <w:rPr>
          <w:rFonts w:ascii="Times New Roman" w:hAnsi="Times New Roman" w:cs="Times New Roman"/>
          <w:sz w:val="20"/>
          <w:szCs w:val="20"/>
          <w:shd w:val="clear" w:color="auto" w:fill="FFFFFF"/>
        </w:rPr>
        <w:t>), sob pena de sofrer penhora (item, § 1º).</w:t>
      </w:r>
      <w:r w:rsidRPr="00F53F4F">
        <w:rPr>
          <w:rStyle w:val="apple-converted-space"/>
          <w:rFonts w:ascii="Times New Roman" w:hAnsi="Times New Roman" w:cs="Times New Roman"/>
          <w:sz w:val="20"/>
          <w:szCs w:val="20"/>
          <w:shd w:val="clear" w:color="auto" w:fill="FFFFFF"/>
        </w:rPr>
        <w:t> </w:t>
      </w:r>
      <w:r w:rsidRPr="00F53F4F">
        <w:rPr>
          <w:rFonts w:ascii="Times New Roman" w:hAnsi="Times New Roman" w:cs="Times New Roman"/>
          <w:sz w:val="20"/>
          <w:szCs w:val="20"/>
          <w:shd w:val="clear" w:color="auto" w:fill="FFFFFF"/>
        </w:rPr>
        <w:t>Como a Lei nº 11.232/05 não alterou o</w:t>
      </w:r>
      <w:r w:rsidRPr="00F53F4F">
        <w:rPr>
          <w:rStyle w:val="apple-converted-space"/>
          <w:rFonts w:ascii="Times New Roman" w:hAnsi="Times New Roman" w:cs="Times New Roman"/>
          <w:sz w:val="20"/>
          <w:szCs w:val="20"/>
          <w:shd w:val="clear" w:color="auto" w:fill="FFFFFF"/>
        </w:rPr>
        <w:t> </w:t>
      </w:r>
      <w:hyperlink r:id="rId9" w:tooltip="Click to Continue &gt; by Coupon Server" w:history="1">
        <w:r w:rsidRPr="00F53F4F">
          <w:rPr>
            <w:rStyle w:val="Hyperlink"/>
            <w:rFonts w:ascii="Times New Roman" w:hAnsi="Times New Roman" w:cs="Times New Roman"/>
            <w:color w:val="auto"/>
            <w:sz w:val="20"/>
            <w:szCs w:val="20"/>
            <w:u w:val="none"/>
            <w:shd w:val="clear" w:color="auto" w:fill="FFFFFF"/>
          </w:rPr>
          <w:t>art</w:t>
        </w:r>
      </w:hyperlink>
      <w:r>
        <w:rPr>
          <w:rFonts w:ascii="Times New Roman" w:hAnsi="Times New Roman" w:cs="Times New Roman"/>
          <w:sz w:val="20"/>
          <w:szCs w:val="20"/>
          <w:shd w:val="clear" w:color="auto" w:fill="FFFFFF"/>
        </w:rPr>
        <w:t xml:space="preserve">. 732 do CPC, </w:t>
      </w:r>
      <w:r w:rsidRPr="00F53F4F">
        <w:rPr>
          <w:rFonts w:ascii="Times New Roman" w:hAnsi="Times New Roman" w:cs="Times New Roman"/>
          <w:sz w:val="20"/>
          <w:szCs w:val="20"/>
          <w:shd w:val="clear" w:color="auto" w:fill="FFFFFF"/>
        </w:rPr>
        <w:t xml:space="preserve">continua prevalecendo nas ações de alimentos o primitivo sistema dual, em que acertamento e execução forçada reclamam o sucessivo manejo de duas ações separadas a autônomas: uma para </w:t>
      </w:r>
      <w:r w:rsidRPr="00F53F4F">
        <w:rPr>
          <w:rFonts w:ascii="Times New Roman" w:hAnsi="Times New Roman" w:cs="Times New Roman"/>
          <w:sz w:val="20"/>
          <w:szCs w:val="20"/>
          <w:shd w:val="clear" w:color="auto" w:fill="FFFFFF"/>
        </w:rPr>
        <w:lastRenderedPageBreak/>
        <w:t>condenar o devedor a prestar alimentos e outra para forçá-lo a cumprir a condenação.</w:t>
      </w:r>
      <w:r w:rsidRPr="00EC120C">
        <w:rPr>
          <w:rFonts w:ascii="Times New Roman" w:hAnsi="Times New Roman" w:cs="Times New Roman"/>
          <w:bCs/>
          <w:sz w:val="24"/>
          <w:szCs w:val="24"/>
        </w:rPr>
        <w:t xml:space="preserve"> </w:t>
      </w:r>
      <w:r w:rsidRPr="00EC120C">
        <w:rPr>
          <w:rFonts w:ascii="Times New Roman" w:hAnsi="Times New Roman" w:cs="Times New Roman"/>
          <w:bCs/>
          <w:sz w:val="20"/>
          <w:szCs w:val="24"/>
        </w:rPr>
        <w:t>(</w:t>
      </w:r>
      <w:r w:rsidRPr="00EC120C">
        <w:rPr>
          <w:rFonts w:ascii="Times New Roman" w:hAnsi="Times New Roman" w:cs="Times New Roman"/>
          <w:sz w:val="20"/>
          <w:szCs w:val="24"/>
          <w:shd w:val="clear" w:color="auto" w:fill="FFFFFF"/>
        </w:rPr>
        <w:t>2007, p. 416)</w:t>
      </w:r>
    </w:p>
    <w:p w:rsidR="007E5E4D" w:rsidRDefault="007E5E4D" w:rsidP="007E5E4D">
      <w:pPr>
        <w:shd w:val="clear" w:color="auto" w:fill="FFFFFF"/>
        <w:spacing w:after="120" w:line="240" w:lineRule="auto"/>
        <w:ind w:left="2268"/>
        <w:jc w:val="both"/>
        <w:rPr>
          <w:rFonts w:ascii="Arial" w:eastAsia="Times New Roman" w:hAnsi="Arial" w:cs="Arial"/>
          <w:color w:val="666666"/>
          <w:sz w:val="20"/>
          <w:szCs w:val="20"/>
          <w:lang w:eastAsia="pt-BR"/>
        </w:rPr>
      </w:pPr>
    </w:p>
    <w:p w:rsidR="007E5E4D" w:rsidRDefault="007E5E4D" w:rsidP="00C3788B">
      <w:pPr>
        <w:shd w:val="clear" w:color="auto" w:fill="FFFFFF"/>
        <w:spacing w:after="120" w:line="360" w:lineRule="auto"/>
        <w:ind w:firstLine="1134"/>
        <w:contextualSpacing/>
        <w:jc w:val="both"/>
        <w:rPr>
          <w:rFonts w:ascii="Times New Roman" w:eastAsia="Times New Roman" w:hAnsi="Times New Roman" w:cs="Times New Roman"/>
          <w:sz w:val="20"/>
          <w:szCs w:val="20"/>
          <w:lang w:eastAsia="pt-BR"/>
        </w:rPr>
      </w:pPr>
      <w:r>
        <w:rPr>
          <w:rFonts w:ascii="Times New Roman" w:hAnsi="Times New Roman" w:cs="Times New Roman"/>
          <w:sz w:val="24"/>
          <w:szCs w:val="24"/>
          <w:shd w:val="clear" w:color="auto" w:fill="FFFFFF"/>
        </w:rPr>
        <w:t xml:space="preserve">O posicionamento alguns magistrados do Tribunal de Santa Catarina é nesse sentido, como na 3° Câmara Cível, no julgado do Agravo de Instrumento em 19 de Março de 2008, tendo na relatoria Salete Silva, </w:t>
      </w:r>
      <w:r w:rsidRPr="004A6FCA">
        <w:rPr>
          <w:rFonts w:ascii="Times New Roman" w:hAnsi="Times New Roman" w:cs="Times New Roman"/>
          <w:i/>
          <w:sz w:val="24"/>
          <w:szCs w:val="24"/>
          <w:shd w:val="clear" w:color="auto" w:fill="FFFFFF"/>
        </w:rPr>
        <w:t>verbis</w:t>
      </w:r>
      <w:r>
        <w:rPr>
          <w:rFonts w:ascii="Times New Roman" w:hAnsi="Times New Roman" w:cs="Times New Roman"/>
          <w:sz w:val="24"/>
          <w:szCs w:val="24"/>
          <w:shd w:val="clear" w:color="auto" w:fill="FFFFFF"/>
        </w:rPr>
        <w:t>:</w:t>
      </w:r>
    </w:p>
    <w:p w:rsidR="007E5E4D" w:rsidRPr="00046ADF" w:rsidRDefault="007E5E4D" w:rsidP="007E5E4D">
      <w:pPr>
        <w:shd w:val="clear" w:color="auto" w:fill="FFFFFF"/>
        <w:spacing w:after="120" w:line="240" w:lineRule="auto"/>
        <w:ind w:left="2268"/>
        <w:contextualSpacing/>
        <w:jc w:val="both"/>
        <w:rPr>
          <w:rFonts w:ascii="Times New Roman" w:eastAsia="Times New Roman" w:hAnsi="Times New Roman" w:cs="Times New Roman"/>
          <w:sz w:val="20"/>
          <w:szCs w:val="20"/>
          <w:lang w:eastAsia="pt-BR"/>
        </w:rPr>
      </w:pPr>
      <w:r w:rsidRPr="00046ADF">
        <w:rPr>
          <w:rFonts w:ascii="Times New Roman" w:eastAsia="Times New Roman" w:hAnsi="Times New Roman" w:cs="Times New Roman"/>
          <w:sz w:val="20"/>
          <w:szCs w:val="20"/>
          <w:lang w:eastAsia="pt-BR"/>
        </w:rPr>
        <w:t>AGRAVO DE</w:t>
      </w:r>
      <w:r w:rsidRPr="00046ADF">
        <w:rPr>
          <w:rFonts w:ascii="Times New Roman" w:eastAsia="Times New Roman" w:hAnsi="Times New Roman" w:cs="Times New Roman"/>
          <w:b/>
          <w:bCs/>
          <w:sz w:val="20"/>
          <w:szCs w:val="20"/>
          <w:lang w:eastAsia="pt-BR"/>
        </w:rPr>
        <w:t> </w:t>
      </w:r>
      <w:r w:rsidRPr="00046ADF">
        <w:rPr>
          <w:rFonts w:ascii="Times New Roman" w:eastAsia="Times New Roman" w:hAnsi="Times New Roman" w:cs="Times New Roman"/>
          <w:sz w:val="20"/>
          <w:szCs w:val="20"/>
          <w:lang w:eastAsia="pt-BR"/>
        </w:rPr>
        <w:t>INSTRUMENTO - EXECUÇÃO DE ALIMENTOS - DECISÃO DECLINATÓRIA DA COMPETÊNCIA PARA O JUÍZO EM QUE CONSTITUÍDO OTÍTULO JUDICIAL - DÉBITOS PRETÉRITOS - SUBSISTÊNCIA DA NATUREZA ALIMENTAR DA VERBA - DEMANDA EXECUCIONAL AFEITA AO PROCEDIMENTO DO</w:t>
      </w:r>
      <w:r w:rsidRPr="00046ADF">
        <w:rPr>
          <w:rFonts w:ascii="Times New Roman" w:eastAsia="Times New Roman" w:hAnsi="Times New Roman" w:cs="Times New Roman"/>
          <w:b/>
          <w:bCs/>
          <w:sz w:val="20"/>
          <w:szCs w:val="20"/>
          <w:lang w:eastAsia="pt-BR"/>
        </w:rPr>
        <w:t> </w:t>
      </w:r>
      <w:r w:rsidRPr="00046ADF">
        <w:rPr>
          <w:rFonts w:ascii="Times New Roman" w:eastAsia="Times New Roman" w:hAnsi="Times New Roman" w:cs="Times New Roman"/>
          <w:sz w:val="20"/>
          <w:szCs w:val="20"/>
          <w:lang w:eastAsia="pt-BR"/>
        </w:rPr>
        <w:t>ART. 733 E SS. DO CPC - INAPLICABILIDADE, IN CASU, DA REGRA GERAL DO CUMPRIMENTO DE SENTENÇA (CPC, ART. 475-P) - PREVALÊNCIA DO FORO ESPECIAL DO DOMICÍLIO DO ALIMENTANDO (CPC, ART. 100, II).</w:t>
      </w:r>
    </w:p>
    <w:p w:rsidR="007E5E4D" w:rsidRPr="00046ADF" w:rsidRDefault="007E5E4D" w:rsidP="007E5E4D">
      <w:pPr>
        <w:shd w:val="clear" w:color="auto" w:fill="FFFFFF"/>
        <w:spacing w:after="120" w:line="240" w:lineRule="auto"/>
        <w:ind w:left="2268"/>
        <w:jc w:val="both"/>
        <w:rPr>
          <w:rFonts w:ascii="Arial" w:eastAsia="Times New Roman" w:hAnsi="Arial" w:cs="Arial"/>
          <w:color w:val="666666"/>
          <w:sz w:val="24"/>
          <w:szCs w:val="24"/>
          <w:lang w:eastAsia="pt-BR"/>
        </w:rPr>
      </w:pPr>
      <w:r w:rsidRPr="00046ADF">
        <w:rPr>
          <w:rFonts w:ascii="Times New Roman" w:eastAsia="Times New Roman" w:hAnsi="Times New Roman" w:cs="Times New Roman"/>
          <w:sz w:val="20"/>
          <w:szCs w:val="20"/>
          <w:lang w:eastAsia="pt-BR"/>
        </w:rPr>
        <w:t xml:space="preserve">As reformas processuais introduzidas pela Lei n. 11.232/05, notadamente no que se refere ao procedimento de cumprimento de sentença, não alteraram a disciplina da execução de alimentos, cujo rito a se observar ainda é o do art. 732 e seguintes do Código </w:t>
      </w:r>
      <w:r w:rsidRPr="00A67BA4">
        <w:rPr>
          <w:rFonts w:ascii="Times New Roman" w:eastAsia="Times New Roman" w:hAnsi="Times New Roman" w:cs="Times New Roman"/>
          <w:sz w:val="20"/>
          <w:szCs w:val="20"/>
          <w:lang w:eastAsia="pt-BR"/>
        </w:rPr>
        <w:t>Processo Civil. (TJSC – 3ª Câm. Cível, Agr. de Instr. n. 2007.012137-4, de Joinville, Rel. Salete Silva Sommariva, j. em 19.03.2008)</w:t>
      </w:r>
    </w:p>
    <w:p w:rsidR="007E5E4D" w:rsidRDefault="007E5E4D" w:rsidP="007E5E4D">
      <w:pPr>
        <w:autoSpaceDE w:val="0"/>
        <w:autoSpaceDN w:val="0"/>
        <w:adjustRightInd w:val="0"/>
        <w:spacing w:after="120" w:line="240" w:lineRule="auto"/>
        <w:jc w:val="center"/>
        <w:rPr>
          <w:rFonts w:ascii="Times New Roman" w:hAnsi="Times New Roman" w:cs="Times New Roman"/>
          <w:b/>
          <w:bCs/>
          <w:sz w:val="24"/>
          <w:szCs w:val="24"/>
        </w:rPr>
      </w:pPr>
    </w:p>
    <w:p w:rsidR="007E5E4D" w:rsidRPr="000F4013" w:rsidRDefault="007E5E4D" w:rsidP="007E5E4D">
      <w:pPr>
        <w:autoSpaceDE w:val="0"/>
        <w:autoSpaceDN w:val="0"/>
        <w:adjustRightInd w:val="0"/>
        <w:spacing w:after="120" w:line="360" w:lineRule="auto"/>
        <w:ind w:firstLine="1134"/>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Na</w:t>
      </w:r>
      <w:r w:rsidRPr="000F4013">
        <w:rPr>
          <w:rFonts w:ascii="Times New Roman" w:hAnsi="Times New Roman" w:cs="Times New Roman"/>
          <w:color w:val="000000"/>
          <w:sz w:val="23"/>
          <w:szCs w:val="23"/>
        </w:rPr>
        <w:t xml:space="preserve"> comarca de Belo Horizonte</w:t>
      </w:r>
      <w:r>
        <w:rPr>
          <w:rFonts w:ascii="Times New Roman" w:hAnsi="Times New Roman" w:cs="Times New Roman"/>
          <w:color w:val="000000"/>
          <w:sz w:val="23"/>
          <w:szCs w:val="23"/>
        </w:rPr>
        <w:t xml:space="preserve"> defende, por meio</w:t>
      </w:r>
      <w:r w:rsidRPr="000F4013">
        <w:rPr>
          <w:rFonts w:ascii="Times New Roman" w:hAnsi="Times New Roman" w:cs="Times New Roman"/>
          <w:color w:val="000000"/>
          <w:sz w:val="23"/>
          <w:szCs w:val="23"/>
        </w:rPr>
        <w:t xml:space="preserve"> da decisão interlocutória </w:t>
      </w:r>
      <w:r>
        <w:rPr>
          <w:rFonts w:ascii="Times New Roman" w:hAnsi="Times New Roman" w:cs="Times New Roman"/>
          <w:color w:val="000000"/>
          <w:sz w:val="23"/>
          <w:szCs w:val="23"/>
        </w:rPr>
        <w:t>do dia</w:t>
      </w:r>
      <w:r w:rsidRPr="000F4013">
        <w:rPr>
          <w:rFonts w:ascii="Times New Roman" w:hAnsi="Times New Roman" w:cs="Times New Roman"/>
          <w:color w:val="000000"/>
          <w:sz w:val="23"/>
          <w:szCs w:val="23"/>
        </w:rPr>
        <w:t xml:space="preserve"> 18 de janeiro de 2008, nos autos do procedimento de alimentos </w:t>
      </w:r>
      <w:r w:rsidRPr="00C3788B">
        <w:rPr>
          <w:rFonts w:ascii="Times New Roman" w:hAnsi="Times New Roman" w:cs="Times New Roman"/>
          <w:color w:val="000000"/>
          <w:sz w:val="24"/>
          <w:szCs w:val="24"/>
        </w:rPr>
        <w:t>nº. 0024.05.739.300-16</w:t>
      </w:r>
      <w:r w:rsidRPr="000F401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defende-se, </w:t>
      </w:r>
      <w:r w:rsidRPr="000F4013">
        <w:rPr>
          <w:rFonts w:ascii="Times New Roman" w:hAnsi="Times New Roman" w:cs="Times New Roman"/>
          <w:i/>
          <w:iCs/>
          <w:color w:val="000000"/>
          <w:sz w:val="23"/>
          <w:szCs w:val="23"/>
        </w:rPr>
        <w:t>verbis</w:t>
      </w:r>
      <w:r w:rsidRPr="000F4013">
        <w:rPr>
          <w:rFonts w:ascii="Times New Roman" w:hAnsi="Times New Roman" w:cs="Times New Roman"/>
          <w:color w:val="000000"/>
          <w:sz w:val="23"/>
          <w:szCs w:val="23"/>
        </w:rPr>
        <w:t xml:space="preserve">: </w:t>
      </w:r>
    </w:p>
    <w:p w:rsidR="007E5E4D" w:rsidRPr="000F4013" w:rsidRDefault="007E5E4D" w:rsidP="007E5E4D">
      <w:pPr>
        <w:autoSpaceDE w:val="0"/>
        <w:autoSpaceDN w:val="0"/>
        <w:adjustRightInd w:val="0"/>
        <w:spacing w:after="120" w:line="240" w:lineRule="auto"/>
        <w:ind w:left="2340"/>
        <w:contextualSpacing/>
        <w:jc w:val="both"/>
        <w:rPr>
          <w:rFonts w:ascii="Times New Roman" w:hAnsi="Times New Roman" w:cs="Times New Roman"/>
          <w:color w:val="000000"/>
          <w:sz w:val="20"/>
          <w:szCs w:val="20"/>
        </w:rPr>
      </w:pPr>
      <w:r w:rsidRPr="000F4013">
        <w:rPr>
          <w:rFonts w:ascii="Times New Roman" w:hAnsi="Times New Roman" w:cs="Times New Roman"/>
          <w:color w:val="000000"/>
          <w:sz w:val="20"/>
          <w:szCs w:val="20"/>
        </w:rPr>
        <w:t xml:space="preserve">Face à nova sistemática adotada nas Varas de Família, onde todas as execuções deverão correr em autos apartados, determino que se proceda ao desentranhamento da petição e documentos de fls. 61/81, entregando-os ao ilustre advogado subscritor, sob recibo, para que providencie a regular distribuição da execução. </w:t>
      </w:r>
      <w:r w:rsidR="00C3788B">
        <w:rPr>
          <w:rFonts w:ascii="Times New Roman" w:hAnsi="Times New Roman" w:cs="Times New Roman"/>
          <w:color w:val="000000"/>
          <w:sz w:val="20"/>
          <w:szCs w:val="20"/>
        </w:rPr>
        <w:t>(CAMPOS, 2009</w:t>
      </w:r>
      <w:r>
        <w:rPr>
          <w:rFonts w:ascii="Times New Roman" w:hAnsi="Times New Roman" w:cs="Times New Roman"/>
          <w:color w:val="000000"/>
          <w:sz w:val="20"/>
          <w:szCs w:val="20"/>
        </w:rPr>
        <w:t>, p. 08-07).</w:t>
      </w:r>
    </w:p>
    <w:p w:rsidR="007E5E4D" w:rsidRDefault="007E5E4D" w:rsidP="007E5E4D">
      <w:pPr>
        <w:autoSpaceDE w:val="0"/>
        <w:autoSpaceDN w:val="0"/>
        <w:adjustRightInd w:val="0"/>
        <w:spacing w:after="120" w:line="360" w:lineRule="auto"/>
        <w:ind w:firstLine="709"/>
        <w:contextualSpacing/>
        <w:jc w:val="both"/>
        <w:rPr>
          <w:rFonts w:ascii="Times New Roman" w:hAnsi="Times New Roman" w:cs="Times New Roman"/>
          <w:bCs/>
          <w:sz w:val="24"/>
          <w:szCs w:val="24"/>
        </w:rPr>
      </w:pPr>
    </w:p>
    <w:p w:rsidR="007E5E4D" w:rsidRDefault="007E5E4D" w:rsidP="007E5E4D">
      <w:pPr>
        <w:autoSpaceDE w:val="0"/>
        <w:autoSpaceDN w:val="0"/>
        <w:adjustRightInd w:val="0"/>
        <w:spacing w:after="120" w:line="360" w:lineRule="auto"/>
        <w:ind w:firstLine="1134"/>
        <w:contextualSpacing/>
        <w:jc w:val="both"/>
        <w:rPr>
          <w:rFonts w:ascii="Times New Roman" w:hAnsi="Times New Roman" w:cs="Times New Roman"/>
          <w:bCs/>
          <w:sz w:val="24"/>
          <w:szCs w:val="24"/>
        </w:rPr>
      </w:pPr>
      <w:r>
        <w:rPr>
          <w:rFonts w:ascii="Times New Roman" w:hAnsi="Times New Roman" w:cs="Times New Roman"/>
          <w:bCs/>
          <w:sz w:val="24"/>
          <w:szCs w:val="24"/>
        </w:rPr>
        <w:t>Assim sendo, posiciona-se Maria Berenice Dias acerca desta vertente doutrinária e jurisprudencial:</w:t>
      </w:r>
    </w:p>
    <w:p w:rsidR="007E5E4D" w:rsidRDefault="007E5E4D" w:rsidP="007E5E4D">
      <w:pPr>
        <w:autoSpaceDE w:val="0"/>
        <w:autoSpaceDN w:val="0"/>
        <w:adjustRightInd w:val="0"/>
        <w:spacing w:after="120" w:line="240" w:lineRule="auto"/>
        <w:ind w:left="2268"/>
        <w:jc w:val="both"/>
        <w:rPr>
          <w:rFonts w:ascii="Times New Roman" w:hAnsi="Times New Roman" w:cs="Times New Roman"/>
          <w:sz w:val="20"/>
          <w:szCs w:val="20"/>
        </w:rPr>
      </w:pPr>
      <w:r w:rsidRPr="00A23CE7">
        <w:rPr>
          <w:rFonts w:ascii="Times New Roman" w:hAnsi="Times New Roman" w:cs="Times New Roman"/>
          <w:sz w:val="20"/>
          <w:szCs w:val="20"/>
        </w:rPr>
        <w:t>Sob o fundamento de que o ordenamento jurídico não admite revogação tácita, boa parte da doutrina sustenta que, em se tratando de obrigação alimentar, continua em vigor o procedimento executório anterior. A justificativa é a ausência de qualquer referência à obrigação alimentar nas novas regras de cumprimento de sentença, inseridas nos Capítulos IX e X do Título VIII do Livro I: "Do Processo de Conhecimento" (arts. 475-A a 475-R do CPC (LGL\1973\5))</w:t>
      </w:r>
      <w:r>
        <w:rPr>
          <w:rFonts w:ascii="Times New Roman" w:hAnsi="Times New Roman" w:cs="Times New Roman"/>
          <w:sz w:val="20"/>
          <w:szCs w:val="20"/>
        </w:rPr>
        <w:t xml:space="preserve"> (DIAS, 2007, p.06).</w:t>
      </w:r>
    </w:p>
    <w:p w:rsidR="007E5E4D" w:rsidRDefault="007E5E4D" w:rsidP="007E5E4D">
      <w:pPr>
        <w:autoSpaceDE w:val="0"/>
        <w:autoSpaceDN w:val="0"/>
        <w:adjustRightInd w:val="0"/>
        <w:spacing w:after="120" w:line="360" w:lineRule="auto"/>
        <w:ind w:firstLine="1134"/>
        <w:contextualSpacing/>
        <w:jc w:val="both"/>
        <w:rPr>
          <w:rFonts w:ascii="Times New Roman" w:hAnsi="Times New Roman" w:cs="Times New Roman"/>
          <w:bCs/>
          <w:sz w:val="24"/>
          <w:szCs w:val="24"/>
        </w:rPr>
      </w:pPr>
    </w:p>
    <w:p w:rsidR="007E5E4D" w:rsidRPr="00046ADF" w:rsidRDefault="007E5E4D" w:rsidP="007E5E4D">
      <w:pPr>
        <w:autoSpaceDE w:val="0"/>
        <w:autoSpaceDN w:val="0"/>
        <w:adjustRightInd w:val="0"/>
        <w:spacing w:after="120" w:line="360" w:lineRule="auto"/>
        <w:ind w:firstLine="1134"/>
        <w:contextualSpacing/>
        <w:jc w:val="both"/>
        <w:rPr>
          <w:rFonts w:ascii="Times New Roman" w:hAnsi="Times New Roman" w:cs="Times New Roman"/>
          <w:bCs/>
          <w:sz w:val="24"/>
          <w:szCs w:val="24"/>
        </w:rPr>
      </w:pPr>
      <w:r>
        <w:rPr>
          <w:rFonts w:ascii="Times New Roman" w:hAnsi="Times New Roman" w:cs="Times New Roman"/>
          <w:bCs/>
          <w:sz w:val="24"/>
          <w:szCs w:val="24"/>
        </w:rPr>
        <w:t>Lado c</w:t>
      </w:r>
      <w:r w:rsidR="00C3788B">
        <w:rPr>
          <w:rFonts w:ascii="Times New Roman" w:hAnsi="Times New Roman" w:cs="Times New Roman"/>
          <w:bCs/>
          <w:sz w:val="24"/>
          <w:szCs w:val="24"/>
        </w:rPr>
        <w:t>ontrário tem quem defenda que “</w:t>
      </w:r>
      <w:r>
        <w:rPr>
          <w:rFonts w:ascii="Times New Roman" w:hAnsi="Times New Roman" w:cs="Times New Roman"/>
          <w:bCs/>
          <w:sz w:val="24"/>
          <w:szCs w:val="24"/>
        </w:rPr>
        <w:t>(...) apesar da Lei n° 11.232/05 não haver revogado expressamente o artigo 732 do CPC, restou revogado-o tacitamente, pois criou o cumprimento da sentença para a execução dos títulos executivos judiciais, classificação da qual a s</w:t>
      </w:r>
      <w:r w:rsidR="00C3788B">
        <w:rPr>
          <w:rFonts w:ascii="Times New Roman" w:hAnsi="Times New Roman" w:cs="Times New Roman"/>
          <w:bCs/>
          <w:sz w:val="24"/>
          <w:szCs w:val="24"/>
        </w:rPr>
        <w:t>entença de alimentos faz parte”</w:t>
      </w:r>
      <w:r>
        <w:rPr>
          <w:rFonts w:ascii="Times New Roman" w:hAnsi="Times New Roman" w:cs="Times New Roman"/>
          <w:bCs/>
          <w:sz w:val="24"/>
          <w:szCs w:val="24"/>
        </w:rPr>
        <w:t xml:space="preserve"> (STORM, 2010, p. 10).</w:t>
      </w:r>
    </w:p>
    <w:p w:rsidR="007E5E4D" w:rsidRDefault="007E5E4D" w:rsidP="007E5E4D">
      <w:pPr>
        <w:autoSpaceDE w:val="0"/>
        <w:autoSpaceDN w:val="0"/>
        <w:adjustRightInd w:val="0"/>
        <w:spacing w:after="120" w:line="240" w:lineRule="auto"/>
        <w:ind w:left="2268"/>
        <w:jc w:val="both"/>
        <w:rPr>
          <w:rFonts w:ascii="Times New Roman" w:hAnsi="Times New Roman" w:cs="Times New Roman"/>
          <w:sz w:val="20"/>
          <w:szCs w:val="20"/>
          <w:shd w:val="clear" w:color="auto" w:fill="FFFFFF"/>
        </w:rPr>
      </w:pPr>
      <w:r w:rsidRPr="00046ADF">
        <w:rPr>
          <w:rFonts w:ascii="Times New Roman" w:hAnsi="Times New Roman" w:cs="Times New Roman"/>
          <w:sz w:val="20"/>
          <w:szCs w:val="20"/>
          <w:shd w:val="clear" w:color="auto" w:fill="FFFFFF"/>
        </w:rPr>
        <w:t xml:space="preserve">As sentenças – definitivas ou não – dão ensejo à fase de cumprimento. Extinta a execução dos títulos executivos judiciais (L. 11.232/05), o adimplemento das obrigações impostas por sentença foi substituído por mecanismo mais ágil – que </w:t>
      </w:r>
      <w:r w:rsidRPr="00425A8B">
        <w:rPr>
          <w:rFonts w:ascii="Times New Roman" w:hAnsi="Times New Roman" w:cs="Times New Roman"/>
          <w:sz w:val="20"/>
          <w:szCs w:val="20"/>
          <w:shd w:val="clear" w:color="auto" w:fill="FFFFFF"/>
        </w:rPr>
        <w:t xml:space="preserve">dispensa nova ação, nova citação, não comporta embargos etc. (CPC 475-I). Ocorreu a alteração da carga de eficácia da sentença, que de condenatória </w:t>
      </w:r>
      <w:r w:rsidRPr="00425A8B">
        <w:rPr>
          <w:rFonts w:ascii="Times New Roman" w:hAnsi="Times New Roman" w:cs="Times New Roman"/>
          <w:sz w:val="20"/>
          <w:szCs w:val="20"/>
          <w:shd w:val="clear" w:color="auto" w:fill="FFFFFF"/>
        </w:rPr>
        <w:lastRenderedPageBreak/>
        <w:t>transformou-se</w:t>
      </w:r>
      <w:r w:rsidRPr="00425A8B">
        <w:rPr>
          <w:rStyle w:val="apple-converted-space"/>
          <w:rFonts w:ascii="Times New Roman" w:hAnsi="Times New Roman" w:cs="Times New Roman"/>
          <w:sz w:val="20"/>
          <w:szCs w:val="20"/>
          <w:shd w:val="clear" w:color="auto" w:fill="FFFFFF"/>
        </w:rPr>
        <w:t> </w:t>
      </w:r>
      <w:r w:rsidRPr="00425A8B">
        <w:rPr>
          <w:rFonts w:ascii="Times New Roman" w:hAnsi="Times New Roman" w:cs="Times New Roman"/>
          <w:sz w:val="20"/>
          <w:szCs w:val="20"/>
          <w:shd w:val="clear" w:color="auto" w:fill="FFFFFF"/>
        </w:rPr>
        <w:t>em executiva. Daí</w:t>
      </w:r>
      <w:r w:rsidRPr="00425A8B">
        <w:rPr>
          <w:rStyle w:val="apple-converted-space"/>
          <w:rFonts w:ascii="Times New Roman" w:hAnsi="Times New Roman" w:cs="Times New Roman"/>
          <w:sz w:val="20"/>
          <w:szCs w:val="20"/>
          <w:shd w:val="clear" w:color="auto" w:fill="FFFFFF"/>
        </w:rPr>
        <w:t> </w:t>
      </w:r>
      <w:r w:rsidRPr="00425A8B">
        <w:rPr>
          <w:rFonts w:ascii="Times New Roman" w:hAnsi="Times New Roman" w:cs="Times New Roman"/>
          <w:sz w:val="20"/>
          <w:szCs w:val="20"/>
          <w:shd w:val="clear" w:color="auto" w:fill="FFFFFF"/>
        </w:rPr>
        <w:t>ter sido dispensado o processo executório. A mudança atinge toda e qualquer sentença, até a que impõe obrigação alimentar</w:t>
      </w:r>
      <w:r w:rsidRPr="00425A8B">
        <w:rPr>
          <w:rStyle w:val="apple-converted-space"/>
          <w:rFonts w:ascii="Times New Roman" w:hAnsi="Times New Roman" w:cs="Times New Roman"/>
          <w:sz w:val="20"/>
          <w:szCs w:val="20"/>
          <w:shd w:val="clear" w:color="auto" w:fill="FFFFFF"/>
        </w:rPr>
        <w:t> </w:t>
      </w:r>
      <w:r w:rsidRPr="00425A8B">
        <w:rPr>
          <w:rFonts w:ascii="Times New Roman" w:hAnsi="Times New Roman" w:cs="Times New Roman"/>
          <w:sz w:val="20"/>
          <w:szCs w:val="20"/>
          <w:shd w:val="clear" w:color="auto" w:fill="FFFFFF"/>
        </w:rPr>
        <w:t>(DIAS, 2007, p. 497).</w:t>
      </w:r>
    </w:p>
    <w:p w:rsidR="007E5E4D" w:rsidRPr="00046ADF" w:rsidRDefault="007E5E4D" w:rsidP="007E5E4D">
      <w:pPr>
        <w:autoSpaceDE w:val="0"/>
        <w:autoSpaceDN w:val="0"/>
        <w:adjustRightInd w:val="0"/>
        <w:spacing w:after="120" w:line="240" w:lineRule="auto"/>
        <w:ind w:left="2268"/>
        <w:jc w:val="both"/>
        <w:rPr>
          <w:rFonts w:ascii="Times New Roman" w:hAnsi="Times New Roman" w:cs="Times New Roman"/>
          <w:b/>
          <w:bCs/>
          <w:sz w:val="24"/>
          <w:szCs w:val="24"/>
        </w:rPr>
      </w:pPr>
    </w:p>
    <w:p w:rsidR="007E5E4D" w:rsidRDefault="00C3788B" w:rsidP="007E5E4D">
      <w:pPr>
        <w:autoSpaceDE w:val="0"/>
        <w:autoSpaceDN w:val="0"/>
        <w:adjustRightInd w:val="0"/>
        <w:spacing w:after="120" w:line="240" w:lineRule="auto"/>
        <w:ind w:firstLine="1134"/>
        <w:jc w:val="both"/>
        <w:rPr>
          <w:rFonts w:ascii="Times New Roman" w:hAnsi="Times New Roman" w:cs="Times New Roman"/>
          <w:color w:val="000000"/>
          <w:sz w:val="23"/>
          <w:szCs w:val="23"/>
        </w:rPr>
      </w:pPr>
      <w:r>
        <w:rPr>
          <w:rFonts w:ascii="Times New Roman" w:hAnsi="Times New Roman" w:cs="Times New Roman"/>
          <w:color w:val="000000"/>
          <w:sz w:val="23"/>
          <w:szCs w:val="23"/>
        </w:rPr>
        <w:t>Outrossim</w:t>
      </w:r>
      <w:r w:rsidR="007E5E4D">
        <w:rPr>
          <w:rFonts w:ascii="Times New Roman" w:hAnsi="Times New Roman" w:cs="Times New Roman"/>
          <w:color w:val="000000"/>
          <w:sz w:val="23"/>
          <w:szCs w:val="23"/>
        </w:rPr>
        <w:t>, Araken de Assis defende</w:t>
      </w:r>
      <w:r w:rsidR="007E5E4D" w:rsidRPr="000F4013">
        <w:rPr>
          <w:rFonts w:ascii="Times New Roman" w:hAnsi="Times New Roman" w:cs="Times New Roman"/>
          <w:color w:val="000000"/>
          <w:sz w:val="23"/>
          <w:szCs w:val="23"/>
        </w:rPr>
        <w:t xml:space="preserve">: </w:t>
      </w:r>
    </w:p>
    <w:p w:rsidR="007E5E4D" w:rsidRDefault="007E5E4D" w:rsidP="007E5E4D">
      <w:pPr>
        <w:autoSpaceDE w:val="0"/>
        <w:autoSpaceDN w:val="0"/>
        <w:adjustRightInd w:val="0"/>
        <w:spacing w:after="120" w:line="240" w:lineRule="auto"/>
        <w:ind w:left="2268"/>
        <w:jc w:val="both"/>
        <w:rPr>
          <w:rFonts w:ascii="Times New Roman" w:hAnsi="Times New Roman" w:cs="Times New Roman"/>
          <w:sz w:val="20"/>
          <w:szCs w:val="20"/>
        </w:rPr>
      </w:pPr>
      <w:r w:rsidRPr="000F4013">
        <w:rPr>
          <w:rFonts w:ascii="Times New Roman" w:hAnsi="Times New Roman" w:cs="Times New Roman"/>
          <w:color w:val="000000"/>
          <w:sz w:val="20"/>
          <w:szCs w:val="20"/>
        </w:rPr>
        <w:t xml:space="preserve">O legislador reformista não se atreveu a modificar o capítulo V. Exemplo frisante deste singular tratamento desponta na predisposição de vários meios executórios. Nada obstante, na condição de crédito pecuniário, os alimentos comportam execução através da via expropriativa comum (art. 647), cujo rito se diferencia em alguns aspectos secundários. Isto decorre do disposto no art. 732, que é relativo a alimentos definitivos, e do art. 735, que concerne aos provisionais. Conforme já explicado, não se aplica o art. 475-J e demais disposições da lei 11.232/05 à execução de alimentos. O legislador reformista não se atreveu a modificar o capítulo V (da execução de prestação alimentícia) do título II do livro II e as </w:t>
      </w:r>
      <w:r w:rsidRPr="000F4013">
        <w:rPr>
          <w:rFonts w:ascii="Times New Roman" w:hAnsi="Times New Roman" w:cs="Times New Roman"/>
          <w:sz w:val="20"/>
          <w:szCs w:val="20"/>
        </w:rPr>
        <w:t>remissões ao Capítulo IV do mesmo livro II (do processo de Execução). (2006, p. 884).</w:t>
      </w:r>
    </w:p>
    <w:p w:rsidR="00C3788B" w:rsidRPr="000F4013" w:rsidRDefault="00C3788B" w:rsidP="007E5E4D">
      <w:pPr>
        <w:autoSpaceDE w:val="0"/>
        <w:autoSpaceDN w:val="0"/>
        <w:adjustRightInd w:val="0"/>
        <w:spacing w:after="120" w:line="240" w:lineRule="auto"/>
        <w:ind w:left="2268"/>
        <w:jc w:val="both"/>
        <w:rPr>
          <w:rFonts w:ascii="Times New Roman" w:hAnsi="Times New Roman" w:cs="Times New Roman"/>
          <w:bCs/>
          <w:sz w:val="24"/>
          <w:szCs w:val="24"/>
        </w:rPr>
      </w:pPr>
    </w:p>
    <w:p w:rsidR="007E5E4D" w:rsidRDefault="00C3788B" w:rsidP="007E5E4D">
      <w:pPr>
        <w:autoSpaceDE w:val="0"/>
        <w:autoSpaceDN w:val="0"/>
        <w:adjustRightInd w:val="0"/>
        <w:spacing w:after="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Todavia</w:t>
      </w:r>
      <w:r w:rsidR="007E5E4D">
        <w:rPr>
          <w:rFonts w:ascii="Times New Roman" w:hAnsi="Times New Roman" w:cs="Times New Roman"/>
          <w:bCs/>
          <w:sz w:val="24"/>
          <w:szCs w:val="24"/>
        </w:rPr>
        <w:t>, acrescenta-se ainda que com o advento do artigo 475-J no Código de Processo Civil, os alimentos inadimplidos passariam a ser executados por meio do rito de cumprimento de sentença, quando oriundos de titulo executivo judicial e assim continuaria a cumprir o rito do artigo 732 do CPC. (CARVALHO NETO, 2012). Conclui Campos:</w:t>
      </w:r>
    </w:p>
    <w:p w:rsidR="007E5E4D" w:rsidRPr="00D12EA7" w:rsidRDefault="007E5E4D" w:rsidP="007E5E4D">
      <w:pPr>
        <w:pStyle w:val="Default"/>
        <w:spacing w:after="120"/>
        <w:ind w:left="2268"/>
        <w:jc w:val="both"/>
        <w:rPr>
          <w:sz w:val="20"/>
          <w:szCs w:val="23"/>
        </w:rPr>
      </w:pPr>
      <w:r w:rsidRPr="00D12EA7">
        <w:rPr>
          <w:sz w:val="20"/>
          <w:szCs w:val="23"/>
        </w:rPr>
        <w:t>Na atualidade, a melhor interpretação é aquela que garante ao jurisdicionado a mais adequada prestação jurisdicional, isto é, deve-se atentar para uma interpretação sistemática e teleológica, harmonizando os institutos jurídicos e proporcionando o melhor resultado prático do provimento. Dessa forma tem-se que, não obstante o esquecimento momentâneo do legislador reformista</w:t>
      </w:r>
      <w:r w:rsidRPr="00A23CE7">
        <w:rPr>
          <w:sz w:val="20"/>
          <w:szCs w:val="23"/>
          <w:u w:val="single"/>
        </w:rPr>
        <w:t>, a melhor interpretação é aquela que comporta a aplicação das regras do art. 475-J às dívidas alimentícias, levando a admitir uma revogação tácita das letras do art. 732 do CPC</w:t>
      </w:r>
      <w:r w:rsidRPr="00D12EA7">
        <w:rPr>
          <w:sz w:val="20"/>
          <w:szCs w:val="23"/>
        </w:rPr>
        <w:t>. (...) (20[-?], p.09)</w:t>
      </w:r>
      <w:r>
        <w:rPr>
          <w:sz w:val="20"/>
          <w:szCs w:val="23"/>
        </w:rPr>
        <w:t xml:space="preserve"> (grifo nosso).</w:t>
      </w:r>
    </w:p>
    <w:p w:rsidR="007E5E4D" w:rsidRDefault="007E5E4D" w:rsidP="007E5E4D">
      <w:pPr>
        <w:autoSpaceDE w:val="0"/>
        <w:autoSpaceDN w:val="0"/>
        <w:adjustRightInd w:val="0"/>
        <w:spacing w:after="120" w:line="360" w:lineRule="auto"/>
        <w:ind w:firstLine="709"/>
        <w:contextualSpacing/>
        <w:jc w:val="both"/>
        <w:rPr>
          <w:rFonts w:ascii="Times New Roman" w:hAnsi="Times New Roman" w:cs="Times New Roman"/>
          <w:bCs/>
          <w:sz w:val="24"/>
          <w:szCs w:val="24"/>
        </w:rPr>
      </w:pPr>
    </w:p>
    <w:p w:rsidR="007E5E4D" w:rsidRDefault="007E5E4D" w:rsidP="007E5E4D">
      <w:pPr>
        <w:autoSpaceDE w:val="0"/>
        <w:autoSpaceDN w:val="0"/>
        <w:adjustRightInd w:val="0"/>
        <w:spacing w:after="120" w:line="360" w:lineRule="auto"/>
        <w:ind w:firstLine="1134"/>
        <w:contextualSpacing/>
        <w:jc w:val="both"/>
        <w:rPr>
          <w:rFonts w:ascii="Times New Roman" w:hAnsi="Times New Roman" w:cs="Times New Roman"/>
          <w:bCs/>
          <w:sz w:val="24"/>
          <w:szCs w:val="24"/>
        </w:rPr>
      </w:pPr>
      <w:r w:rsidRPr="00425A8B">
        <w:rPr>
          <w:rFonts w:ascii="Times New Roman" w:hAnsi="Times New Roman" w:cs="Times New Roman"/>
          <w:bCs/>
          <w:sz w:val="24"/>
          <w:szCs w:val="24"/>
        </w:rPr>
        <w:t xml:space="preserve">Logo, </w:t>
      </w:r>
      <w:r>
        <w:rPr>
          <w:rFonts w:ascii="Times New Roman" w:hAnsi="Times New Roman" w:cs="Times New Roman"/>
          <w:bCs/>
          <w:sz w:val="24"/>
          <w:szCs w:val="24"/>
        </w:rPr>
        <w:t>“(...) a sentença que fixa alimentos, por ser titulo executivo judicial e por reconhecer obrigação de pagar quantia, também deverá ser processada através da forma estabelecida pelo 475-J e seguintes, introduzidos pela lei 11.232/05” (STORM, 2010, p. 10).</w:t>
      </w:r>
    </w:p>
    <w:p w:rsidR="0067498D" w:rsidRDefault="0067498D" w:rsidP="007E5E4D">
      <w:pPr>
        <w:spacing w:after="120" w:line="360" w:lineRule="auto"/>
        <w:ind w:firstLine="1134"/>
        <w:jc w:val="both"/>
        <w:rPr>
          <w:rFonts w:ascii="Times New Roman" w:hAnsi="Times New Roman" w:cs="Times New Roman"/>
          <w:sz w:val="24"/>
          <w:szCs w:val="24"/>
        </w:rPr>
      </w:pPr>
    </w:p>
    <w:p w:rsidR="00DE6A2F" w:rsidRDefault="00DE6A2F" w:rsidP="007E5E4D">
      <w:pPr>
        <w:autoSpaceDE w:val="0"/>
        <w:autoSpaceDN w:val="0"/>
        <w:adjustRightInd w:val="0"/>
        <w:spacing w:after="120" w:line="240" w:lineRule="auto"/>
        <w:jc w:val="center"/>
        <w:rPr>
          <w:rFonts w:ascii="Times New Roman" w:hAnsi="Times New Roman" w:cs="Times New Roman"/>
          <w:b/>
          <w:bCs/>
          <w:sz w:val="24"/>
          <w:szCs w:val="24"/>
        </w:rPr>
      </w:pPr>
    </w:p>
    <w:p w:rsidR="00DE6A2F" w:rsidRDefault="00DE6A2F" w:rsidP="007E5E4D">
      <w:pPr>
        <w:autoSpaceDE w:val="0"/>
        <w:autoSpaceDN w:val="0"/>
        <w:adjustRightInd w:val="0"/>
        <w:spacing w:after="120" w:line="240" w:lineRule="auto"/>
        <w:jc w:val="center"/>
        <w:rPr>
          <w:rFonts w:ascii="Times New Roman" w:hAnsi="Times New Roman" w:cs="Times New Roman"/>
          <w:b/>
          <w:bCs/>
          <w:sz w:val="24"/>
          <w:szCs w:val="24"/>
        </w:rPr>
      </w:pPr>
    </w:p>
    <w:p w:rsidR="00DE6A2F" w:rsidRDefault="00DE6A2F" w:rsidP="007E5E4D">
      <w:pPr>
        <w:autoSpaceDE w:val="0"/>
        <w:autoSpaceDN w:val="0"/>
        <w:adjustRightInd w:val="0"/>
        <w:spacing w:after="120" w:line="240" w:lineRule="auto"/>
        <w:jc w:val="center"/>
        <w:rPr>
          <w:rFonts w:ascii="Times New Roman" w:hAnsi="Times New Roman" w:cs="Times New Roman"/>
          <w:b/>
          <w:bCs/>
          <w:sz w:val="24"/>
          <w:szCs w:val="24"/>
        </w:rPr>
      </w:pPr>
    </w:p>
    <w:p w:rsidR="00DE6A2F" w:rsidRDefault="00DE6A2F" w:rsidP="007E5E4D">
      <w:pPr>
        <w:autoSpaceDE w:val="0"/>
        <w:autoSpaceDN w:val="0"/>
        <w:adjustRightInd w:val="0"/>
        <w:spacing w:after="120" w:line="240" w:lineRule="auto"/>
        <w:jc w:val="center"/>
        <w:rPr>
          <w:rFonts w:ascii="Times New Roman" w:hAnsi="Times New Roman" w:cs="Times New Roman"/>
          <w:b/>
          <w:bCs/>
          <w:sz w:val="24"/>
          <w:szCs w:val="24"/>
        </w:rPr>
      </w:pPr>
    </w:p>
    <w:p w:rsidR="007E5E4D" w:rsidRDefault="007E5E4D" w:rsidP="007E5E4D">
      <w:pPr>
        <w:spacing w:after="120" w:line="360" w:lineRule="auto"/>
        <w:jc w:val="both"/>
        <w:rPr>
          <w:rFonts w:ascii="Times New Roman" w:eastAsia="Times New Roman" w:hAnsi="Times New Roman" w:cs="Times New Roman"/>
          <w:b/>
          <w:sz w:val="24"/>
          <w:szCs w:val="24"/>
          <w:lang w:eastAsia="pt-BR"/>
        </w:rPr>
      </w:pPr>
    </w:p>
    <w:p w:rsidR="007E5E4D" w:rsidRDefault="007E5E4D" w:rsidP="007E5E4D">
      <w:pPr>
        <w:spacing w:after="120" w:line="360" w:lineRule="auto"/>
        <w:jc w:val="both"/>
        <w:rPr>
          <w:rFonts w:ascii="Times New Roman" w:eastAsia="Times New Roman" w:hAnsi="Times New Roman" w:cs="Times New Roman"/>
          <w:b/>
          <w:sz w:val="24"/>
          <w:szCs w:val="24"/>
          <w:lang w:eastAsia="pt-BR"/>
        </w:rPr>
      </w:pPr>
    </w:p>
    <w:p w:rsidR="007E5E4D" w:rsidRDefault="007E5E4D" w:rsidP="007E5E4D">
      <w:pPr>
        <w:spacing w:after="120" w:line="360" w:lineRule="auto"/>
        <w:jc w:val="both"/>
        <w:rPr>
          <w:rFonts w:ascii="Times New Roman" w:eastAsia="Times New Roman" w:hAnsi="Times New Roman" w:cs="Times New Roman"/>
          <w:b/>
          <w:sz w:val="24"/>
          <w:szCs w:val="24"/>
          <w:lang w:eastAsia="pt-BR"/>
        </w:rPr>
      </w:pPr>
    </w:p>
    <w:p w:rsidR="007E5E4D" w:rsidRDefault="007E5E4D" w:rsidP="007E5E4D">
      <w:pPr>
        <w:spacing w:after="120" w:line="360" w:lineRule="auto"/>
        <w:jc w:val="both"/>
        <w:rPr>
          <w:rFonts w:ascii="Times New Roman" w:eastAsia="Times New Roman" w:hAnsi="Times New Roman" w:cs="Times New Roman"/>
          <w:b/>
          <w:sz w:val="24"/>
          <w:szCs w:val="24"/>
          <w:lang w:eastAsia="pt-BR"/>
        </w:rPr>
      </w:pPr>
    </w:p>
    <w:p w:rsidR="00C7570A" w:rsidRDefault="00C7570A" w:rsidP="007E5E4D">
      <w:pPr>
        <w:spacing w:after="120" w:line="360" w:lineRule="auto"/>
        <w:jc w:val="both"/>
        <w:rPr>
          <w:rFonts w:ascii="Times New Roman" w:eastAsia="Times New Roman" w:hAnsi="Times New Roman" w:cs="Times New Roman"/>
          <w:b/>
          <w:sz w:val="24"/>
          <w:szCs w:val="24"/>
          <w:lang w:eastAsia="pt-BR"/>
        </w:rPr>
      </w:pPr>
      <w:r w:rsidRPr="00C7570A">
        <w:rPr>
          <w:rFonts w:ascii="Times New Roman" w:eastAsia="Times New Roman" w:hAnsi="Times New Roman" w:cs="Times New Roman"/>
          <w:b/>
          <w:sz w:val="24"/>
          <w:szCs w:val="24"/>
          <w:lang w:eastAsia="pt-BR"/>
        </w:rPr>
        <w:lastRenderedPageBreak/>
        <w:t>CONCLUSÃO</w:t>
      </w:r>
    </w:p>
    <w:p w:rsidR="00BE0BEF" w:rsidRPr="00C7570A" w:rsidRDefault="00BE0BEF" w:rsidP="007E5E4D">
      <w:pPr>
        <w:spacing w:after="120" w:line="240" w:lineRule="auto"/>
        <w:jc w:val="both"/>
        <w:rPr>
          <w:rFonts w:ascii="Times New Roman" w:eastAsia="Times New Roman" w:hAnsi="Times New Roman" w:cs="Times New Roman"/>
          <w:b/>
          <w:sz w:val="24"/>
          <w:szCs w:val="24"/>
          <w:lang w:eastAsia="pt-BR"/>
        </w:rPr>
      </w:pPr>
    </w:p>
    <w:p w:rsidR="00C7570A" w:rsidRDefault="00C7570A" w:rsidP="007E5E4D">
      <w:pPr>
        <w:spacing w:after="120" w:line="360" w:lineRule="auto"/>
        <w:ind w:firstLine="1134"/>
        <w:jc w:val="both"/>
        <w:rPr>
          <w:rFonts w:ascii="Times New Roman" w:eastAsia="Times New Roman" w:hAnsi="Times New Roman" w:cs="Times New Roman"/>
          <w:sz w:val="24"/>
          <w:szCs w:val="24"/>
          <w:lang w:eastAsia="pt-BR"/>
        </w:rPr>
      </w:pPr>
      <w:r w:rsidRPr="00C4764C">
        <w:rPr>
          <w:rFonts w:ascii="Times New Roman" w:eastAsia="Times New Roman" w:hAnsi="Times New Roman" w:cs="Times New Roman"/>
          <w:sz w:val="24"/>
          <w:szCs w:val="24"/>
          <w:lang w:eastAsia="pt-BR"/>
        </w:rPr>
        <w:t>A execução por quantia certa tem por objetivo expropriar bens do devedor para satisfazer o direito do credor (art. 646), consubstanciado no título executivo judicial ou extrajudicial. Por força</w:t>
      </w:r>
      <w:r>
        <w:rPr>
          <w:rFonts w:ascii="Times New Roman" w:eastAsia="Times New Roman" w:hAnsi="Times New Roman" w:cs="Times New Roman"/>
          <w:sz w:val="24"/>
          <w:szCs w:val="24"/>
          <w:lang w:eastAsia="pt-BR"/>
        </w:rPr>
        <w:t xml:space="preserve"> das alterações promovidas pela Lei</w:t>
      </w:r>
      <w:r w:rsidRPr="00C4764C">
        <w:rPr>
          <w:rFonts w:ascii="Times New Roman" w:eastAsia="Times New Roman" w:hAnsi="Times New Roman" w:cs="Times New Roman"/>
          <w:sz w:val="24"/>
          <w:szCs w:val="24"/>
          <w:lang w:eastAsia="pt-BR"/>
        </w:rPr>
        <w:t xml:space="preserve"> 11.232</w:t>
      </w:r>
      <w:r>
        <w:rPr>
          <w:rFonts w:ascii="Times New Roman" w:eastAsia="Times New Roman" w:hAnsi="Times New Roman" w:cs="Times New Roman"/>
          <w:sz w:val="24"/>
          <w:szCs w:val="24"/>
          <w:lang w:eastAsia="pt-BR"/>
        </w:rPr>
        <w:t>/2005</w:t>
      </w:r>
      <w:r w:rsidRPr="00C4764C">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sz w:val="24"/>
          <w:szCs w:val="24"/>
          <w:lang w:eastAsia="pt-BR"/>
        </w:rPr>
        <w:t>as demais que a precederam</w:t>
      </w:r>
      <w:r w:rsidRPr="00C4764C">
        <w:rPr>
          <w:rFonts w:ascii="Times New Roman" w:eastAsia="Times New Roman" w:hAnsi="Times New Roman" w:cs="Times New Roman"/>
          <w:sz w:val="24"/>
          <w:szCs w:val="24"/>
          <w:lang w:eastAsia="pt-BR"/>
        </w:rPr>
        <w:t>, os procedimentos executivos têm algumas diferenças, conforme se baseiem em título judicial ou extrajudicial, especialmente quanto à forma de defesa do devedor, mas a partir de certo momento procedimental (depois da avaliação) seguem um rito comum.</w:t>
      </w:r>
    </w:p>
    <w:p w:rsidR="006D3E54" w:rsidRDefault="005F50D6" w:rsidP="007E5E4D">
      <w:pPr>
        <w:spacing w:after="120" w:line="360" w:lineRule="auto"/>
        <w:ind w:firstLine="1134"/>
        <w:jc w:val="both"/>
        <w:rPr>
          <w:rFonts w:ascii="Times New Roman" w:eastAsia="Times New Roman" w:hAnsi="Times New Roman" w:cs="Times New Roman"/>
          <w:sz w:val="24"/>
          <w:szCs w:val="24"/>
          <w:lang w:eastAsia="pt-BR"/>
        </w:rPr>
      </w:pPr>
      <w:r w:rsidRPr="006D3E54">
        <w:rPr>
          <w:rFonts w:ascii="Times New Roman" w:hAnsi="Times New Roman" w:cs="Times New Roman"/>
          <w:sz w:val="24"/>
          <w:szCs w:val="24"/>
        </w:rPr>
        <w:t xml:space="preserve">Os alimentos </w:t>
      </w:r>
      <w:r w:rsidR="00175236" w:rsidRPr="006D3E54">
        <w:rPr>
          <w:rFonts w:ascii="Times New Roman" w:hAnsi="Times New Roman" w:cs="Times New Roman"/>
          <w:sz w:val="24"/>
          <w:szCs w:val="24"/>
        </w:rPr>
        <w:t>fazem referência a</w:t>
      </w:r>
      <w:r w:rsidRPr="006D3E54">
        <w:rPr>
          <w:rFonts w:ascii="Times New Roman" w:hAnsi="Times New Roman" w:cs="Times New Roman"/>
          <w:sz w:val="24"/>
          <w:szCs w:val="24"/>
        </w:rPr>
        <w:t xml:space="preserve"> prestação voltada à satisfação das necessidades básicas </w:t>
      </w:r>
      <w:r w:rsidR="00175236" w:rsidRPr="006D3E54">
        <w:rPr>
          <w:rFonts w:ascii="Times New Roman" w:hAnsi="Times New Roman" w:cs="Times New Roman"/>
          <w:sz w:val="24"/>
          <w:szCs w:val="24"/>
        </w:rPr>
        <w:t>do indivíduo que</w:t>
      </w:r>
      <w:r w:rsidRPr="006D3E54">
        <w:rPr>
          <w:rFonts w:ascii="Times New Roman" w:hAnsi="Times New Roman" w:cs="Times New Roman"/>
          <w:sz w:val="24"/>
          <w:szCs w:val="24"/>
        </w:rPr>
        <w:t xml:space="preserve"> não pode custeá-las. </w:t>
      </w:r>
      <w:r w:rsidR="00175236" w:rsidRPr="006D3E54">
        <w:rPr>
          <w:rFonts w:ascii="Times New Roman" w:hAnsi="Times New Roman" w:cs="Times New Roman"/>
          <w:sz w:val="24"/>
          <w:szCs w:val="24"/>
        </w:rPr>
        <w:t>Aqueles normalm</w:t>
      </w:r>
      <w:r w:rsidRPr="006D3E54">
        <w:rPr>
          <w:rFonts w:ascii="Times New Roman" w:hAnsi="Times New Roman" w:cs="Times New Roman"/>
          <w:sz w:val="24"/>
          <w:szCs w:val="24"/>
        </w:rPr>
        <w:t xml:space="preserve">ente se expressam </w:t>
      </w:r>
      <w:r w:rsidR="00175236" w:rsidRPr="006D3E54">
        <w:rPr>
          <w:rFonts w:ascii="Times New Roman" w:hAnsi="Times New Roman" w:cs="Times New Roman"/>
          <w:sz w:val="24"/>
          <w:szCs w:val="24"/>
        </w:rPr>
        <w:t>sob a forma de</w:t>
      </w:r>
      <w:r w:rsidRPr="006D3E54">
        <w:rPr>
          <w:rFonts w:ascii="Times New Roman" w:hAnsi="Times New Roman" w:cs="Times New Roman"/>
          <w:sz w:val="24"/>
          <w:szCs w:val="24"/>
        </w:rPr>
        <w:t xml:space="preserve"> crédito pecuniário, </w:t>
      </w:r>
      <w:r w:rsidR="00175236" w:rsidRPr="006D3E54">
        <w:rPr>
          <w:rFonts w:ascii="Times New Roman" w:hAnsi="Times New Roman" w:cs="Times New Roman"/>
          <w:sz w:val="24"/>
          <w:szCs w:val="24"/>
        </w:rPr>
        <w:t xml:space="preserve">entretanto </w:t>
      </w:r>
      <w:r w:rsidRPr="006D3E54">
        <w:rPr>
          <w:rFonts w:ascii="Times New Roman" w:hAnsi="Times New Roman" w:cs="Times New Roman"/>
          <w:sz w:val="24"/>
          <w:szCs w:val="24"/>
        </w:rPr>
        <w:t xml:space="preserve">sua fixação, excepcionalmente, </w:t>
      </w:r>
      <w:r w:rsidR="00175236" w:rsidRPr="006D3E54">
        <w:rPr>
          <w:rFonts w:ascii="Times New Roman" w:hAnsi="Times New Roman" w:cs="Times New Roman"/>
          <w:sz w:val="24"/>
          <w:szCs w:val="24"/>
        </w:rPr>
        <w:t>pode</w:t>
      </w:r>
      <w:r w:rsidRPr="006D3E54">
        <w:rPr>
          <w:rFonts w:ascii="Times New Roman" w:hAnsi="Times New Roman" w:cs="Times New Roman"/>
          <w:sz w:val="24"/>
          <w:szCs w:val="24"/>
        </w:rPr>
        <w:t xml:space="preserve"> ser feita de outras </w:t>
      </w:r>
      <w:r w:rsidR="00175236" w:rsidRPr="006D3E54">
        <w:rPr>
          <w:rFonts w:ascii="Times New Roman" w:hAnsi="Times New Roman" w:cs="Times New Roman"/>
          <w:sz w:val="24"/>
          <w:szCs w:val="24"/>
        </w:rPr>
        <w:t>maneiras</w:t>
      </w:r>
      <w:r w:rsidRPr="006D3E54">
        <w:rPr>
          <w:rFonts w:ascii="Times New Roman" w:hAnsi="Times New Roman" w:cs="Times New Roman"/>
          <w:sz w:val="24"/>
          <w:szCs w:val="24"/>
        </w:rPr>
        <w:t xml:space="preserve">, mediante a imposição de um fazer ou até mesmo da entrega de coisa. </w:t>
      </w:r>
      <w:r w:rsidR="00404FD2" w:rsidRPr="006D3E54">
        <w:rPr>
          <w:rFonts w:ascii="Times New Roman" w:hAnsi="Times New Roman" w:cs="Times New Roman"/>
          <w:sz w:val="24"/>
          <w:szCs w:val="24"/>
        </w:rPr>
        <w:t xml:space="preserve">O procedimento para a execução de obrigação alimentar encontra-se expresso no </w:t>
      </w:r>
      <w:r w:rsidR="00404FD2" w:rsidRPr="006D3E54">
        <w:rPr>
          <w:rFonts w:ascii="Times New Roman" w:hAnsi="Times New Roman" w:cs="Times New Roman"/>
          <w:sz w:val="24"/>
          <w:szCs w:val="24"/>
        </w:rPr>
        <w:t>Capítulo V do Titulo II do Livro II,</w:t>
      </w:r>
      <w:r w:rsidR="00404FD2" w:rsidRPr="006D3E54">
        <w:rPr>
          <w:rFonts w:ascii="Times New Roman" w:hAnsi="Times New Roman" w:cs="Times New Roman"/>
          <w:sz w:val="24"/>
          <w:szCs w:val="24"/>
        </w:rPr>
        <w:t xml:space="preserve"> </w:t>
      </w:r>
      <w:r w:rsidR="006D3E54" w:rsidRPr="006D3E54">
        <w:rPr>
          <w:rFonts w:ascii="Times New Roman" w:hAnsi="Times New Roman" w:cs="Times New Roman"/>
          <w:sz w:val="24"/>
          <w:szCs w:val="24"/>
        </w:rPr>
        <w:t xml:space="preserve">do CPC, </w:t>
      </w:r>
      <w:r w:rsidR="00404FD2" w:rsidRPr="006D3E54">
        <w:rPr>
          <w:rFonts w:ascii="Times New Roman" w:hAnsi="Times New Roman" w:cs="Times New Roman"/>
          <w:sz w:val="24"/>
          <w:szCs w:val="24"/>
        </w:rPr>
        <w:t>que trata "Da Execução de Prestação Alimentícia"</w:t>
      </w:r>
      <w:r w:rsidR="006D3E54" w:rsidRPr="006D3E54">
        <w:rPr>
          <w:rFonts w:ascii="Times New Roman" w:hAnsi="Times New Roman" w:cs="Times New Roman"/>
          <w:sz w:val="24"/>
          <w:szCs w:val="24"/>
        </w:rPr>
        <w:t>, como este não foi</w:t>
      </w:r>
      <w:r w:rsidR="00404FD2" w:rsidRPr="006D3E54">
        <w:rPr>
          <w:rFonts w:ascii="Times New Roman" w:hAnsi="Times New Roman" w:cs="Times New Roman"/>
          <w:sz w:val="24"/>
          <w:szCs w:val="24"/>
        </w:rPr>
        <w:t xml:space="preserve"> </w:t>
      </w:r>
      <w:r w:rsidR="006D3E54" w:rsidRPr="006D3E54">
        <w:rPr>
          <w:rFonts w:ascii="Times New Roman" w:hAnsi="Times New Roman" w:cs="Times New Roman"/>
          <w:sz w:val="24"/>
          <w:szCs w:val="24"/>
        </w:rPr>
        <w:t>expressamente revogado ou alterado</w:t>
      </w:r>
      <w:r w:rsidR="00404FD2" w:rsidRPr="006D3E54">
        <w:rPr>
          <w:rFonts w:ascii="Times New Roman" w:hAnsi="Times New Roman" w:cs="Times New Roman"/>
          <w:sz w:val="24"/>
          <w:szCs w:val="24"/>
        </w:rPr>
        <w:t xml:space="preserve"> </w:t>
      </w:r>
      <w:r w:rsidR="006D3E54" w:rsidRPr="006D3E54">
        <w:rPr>
          <w:rFonts w:ascii="Times New Roman" w:hAnsi="Times New Roman" w:cs="Times New Roman"/>
          <w:sz w:val="24"/>
          <w:szCs w:val="24"/>
        </w:rPr>
        <w:t xml:space="preserve">pela </w:t>
      </w:r>
      <w:r w:rsidR="006D3E54" w:rsidRPr="006D3E54">
        <w:rPr>
          <w:rFonts w:ascii="Times New Roman" w:eastAsia="Times New Roman" w:hAnsi="Times New Roman" w:cs="Times New Roman"/>
          <w:sz w:val="24"/>
          <w:szCs w:val="24"/>
          <w:lang w:eastAsia="pt-BR"/>
        </w:rPr>
        <w:t xml:space="preserve">Lei 11.232/05 </w:t>
      </w:r>
      <w:r w:rsidR="006D3E54" w:rsidRPr="006D3E54">
        <w:rPr>
          <w:rFonts w:ascii="Times New Roman" w:hAnsi="Times New Roman" w:cs="Times New Roman"/>
          <w:sz w:val="24"/>
          <w:szCs w:val="24"/>
        </w:rPr>
        <w:t xml:space="preserve">a </w:t>
      </w:r>
      <w:r w:rsidR="00404FD2" w:rsidRPr="006D3E54">
        <w:rPr>
          <w:rFonts w:ascii="Times New Roman" w:hAnsi="Times New Roman" w:cs="Times New Roman"/>
          <w:sz w:val="24"/>
          <w:szCs w:val="24"/>
        </w:rPr>
        <w:t xml:space="preserve">aplicação </w:t>
      </w:r>
      <w:r w:rsidR="006D3E54" w:rsidRPr="006D3E54">
        <w:rPr>
          <w:rFonts w:ascii="Times New Roman" w:hAnsi="Times New Roman" w:cs="Times New Roman"/>
          <w:sz w:val="24"/>
          <w:szCs w:val="24"/>
        </w:rPr>
        <w:t>de uma norma em detrimento da outra vem sendo debatida em sede doutrinária.</w:t>
      </w:r>
    </w:p>
    <w:p w:rsidR="007E5E4D" w:rsidRPr="007E5E4D" w:rsidRDefault="006D3E54" w:rsidP="007E5E4D">
      <w:pPr>
        <w:spacing w:after="12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Uma parte da doutrina defende a não revogação visto que não foi objeto de alteração, pois a recente norma não atentou contra o assunto tratado em tal dispositivo, assim, não foi a intenção do legislador modificar a execução dos alimentos, já que quando assim quer, o faz expressamente. Contudo, há quem defenda que houve a revogação mesmo que tacitamente, pois incluiu a sentença de cumprimento de títulos executivos judiciais na classificação em que a sentença de alimentos está incluída.</w:t>
      </w:r>
      <w:r w:rsidR="00F23C26">
        <w:rPr>
          <w:rFonts w:ascii="Times New Roman" w:eastAsia="Times New Roman" w:hAnsi="Times New Roman" w:cs="Times New Roman"/>
          <w:sz w:val="24"/>
          <w:szCs w:val="24"/>
          <w:lang w:eastAsia="pt-BR"/>
        </w:rPr>
        <w:t xml:space="preserve"> Este último posicionamento parece mais sensato que o primeiro, ao passo que a morosidade processual não se </w:t>
      </w:r>
      <w:r w:rsidR="00F23C26" w:rsidRPr="007E5E4D">
        <w:rPr>
          <w:rFonts w:ascii="Times New Roman" w:eastAsia="Times New Roman" w:hAnsi="Times New Roman" w:cs="Times New Roman"/>
          <w:sz w:val="24"/>
          <w:szCs w:val="24"/>
          <w:lang w:eastAsia="pt-BR"/>
        </w:rPr>
        <w:t>justifica em um tipo de prestação tão urgente ao ser humano como a de natureza alimentícia.</w:t>
      </w:r>
      <w:r w:rsidR="007E5E4D" w:rsidRPr="007E5E4D">
        <w:rPr>
          <w:rFonts w:ascii="Times New Roman" w:eastAsia="Times New Roman" w:hAnsi="Times New Roman" w:cs="Times New Roman"/>
          <w:sz w:val="24"/>
          <w:szCs w:val="24"/>
          <w:lang w:eastAsia="pt-BR"/>
        </w:rPr>
        <w:t xml:space="preserve"> </w:t>
      </w:r>
      <w:r w:rsidR="007E5E4D" w:rsidRPr="007E5E4D">
        <w:rPr>
          <w:rFonts w:ascii="Times New Roman" w:hAnsi="Times New Roman" w:cs="Times New Roman"/>
          <w:sz w:val="23"/>
          <w:szCs w:val="23"/>
        </w:rPr>
        <w:t xml:space="preserve">Tratar os novos dispositivos da referida Lei mantendo, concomitantemente, parte do sistema das execuções do art. 732 do CPC pode trazer, na prática, apenas a substituição do </w:t>
      </w:r>
      <w:r w:rsidR="007E5E4D" w:rsidRPr="007E5E4D">
        <w:rPr>
          <w:rFonts w:ascii="Times New Roman" w:hAnsi="Times New Roman" w:cs="Times New Roman"/>
          <w:i/>
          <w:iCs/>
          <w:sz w:val="23"/>
          <w:szCs w:val="23"/>
        </w:rPr>
        <w:t xml:space="preserve">nomen iuris </w:t>
      </w:r>
      <w:r w:rsidR="007E5E4D" w:rsidRPr="007E5E4D">
        <w:rPr>
          <w:rFonts w:ascii="Times New Roman" w:hAnsi="Times New Roman" w:cs="Times New Roman"/>
          <w:sz w:val="23"/>
          <w:szCs w:val="23"/>
        </w:rPr>
        <w:t>sem atingir o objetivo central que é a celeridade e a efetividade que se almeja na execução de alimentos.</w:t>
      </w:r>
    </w:p>
    <w:p w:rsidR="006D3E54" w:rsidRDefault="006D3E54" w:rsidP="007E5E4D">
      <w:pPr>
        <w:spacing w:after="12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Conclui-se que </w:t>
      </w:r>
      <w:r w:rsidR="00F23C26">
        <w:rPr>
          <w:rFonts w:ascii="Times New Roman" w:eastAsia="Times New Roman" w:hAnsi="Times New Roman" w:cs="Times New Roman"/>
          <w:sz w:val="24"/>
          <w:szCs w:val="24"/>
          <w:lang w:eastAsia="pt-BR"/>
        </w:rPr>
        <w:t>diante dos novos instrumentos processuais faz-se necessária a observância, por parte dos aplicadores do Direito, ao escopo para qual o processo é destinado em detrimento de apenas se aterem às formalidades do texto jurídico propriamente dito. Caso contrário o cumprimento dos princípios e objetivos do processo estaria sendo obstado pelo pela própria literalidade do texto jurídico.</w:t>
      </w:r>
    </w:p>
    <w:p w:rsidR="00EB4D88" w:rsidRPr="00EB4D88" w:rsidRDefault="00EB4D88" w:rsidP="007E5E4D">
      <w:pPr>
        <w:autoSpaceDE w:val="0"/>
        <w:autoSpaceDN w:val="0"/>
        <w:adjustRightInd w:val="0"/>
        <w:spacing w:after="120" w:line="240" w:lineRule="auto"/>
        <w:jc w:val="center"/>
        <w:rPr>
          <w:rFonts w:ascii="Times New Roman" w:hAnsi="Times New Roman" w:cs="Times New Roman"/>
          <w:b/>
          <w:bCs/>
          <w:sz w:val="24"/>
          <w:szCs w:val="24"/>
        </w:rPr>
      </w:pPr>
      <w:r w:rsidRPr="00EB4D88">
        <w:rPr>
          <w:rFonts w:ascii="Times New Roman" w:hAnsi="Times New Roman" w:cs="Times New Roman"/>
          <w:b/>
          <w:bCs/>
          <w:sz w:val="24"/>
          <w:szCs w:val="24"/>
        </w:rPr>
        <w:lastRenderedPageBreak/>
        <w:t>REFERÊNCIAS</w:t>
      </w:r>
    </w:p>
    <w:p w:rsidR="00EB4D88" w:rsidRDefault="00EB4D88" w:rsidP="007E5E4D">
      <w:pPr>
        <w:autoSpaceDE w:val="0"/>
        <w:autoSpaceDN w:val="0"/>
        <w:adjustRightInd w:val="0"/>
        <w:spacing w:after="120" w:line="240" w:lineRule="auto"/>
        <w:rPr>
          <w:rFonts w:ascii="Times New Roman" w:hAnsi="Times New Roman" w:cs="Times New Roman"/>
          <w:bCs/>
          <w:sz w:val="24"/>
          <w:szCs w:val="24"/>
        </w:rPr>
      </w:pPr>
    </w:p>
    <w:p w:rsidR="00EB4D88" w:rsidRDefault="00EB4D88" w:rsidP="007E5E4D">
      <w:pPr>
        <w:autoSpaceDE w:val="0"/>
        <w:autoSpaceDN w:val="0"/>
        <w:adjustRightInd w:val="0"/>
        <w:spacing w:after="120" w:line="240" w:lineRule="auto"/>
        <w:rPr>
          <w:rFonts w:ascii="Times New Roman" w:hAnsi="Times New Roman" w:cs="Times New Roman"/>
          <w:bCs/>
          <w:sz w:val="24"/>
          <w:szCs w:val="24"/>
        </w:rPr>
      </w:pPr>
      <w:r w:rsidRPr="00944842">
        <w:rPr>
          <w:rFonts w:ascii="Times New Roman" w:hAnsi="Times New Roman" w:cs="Times New Roman"/>
          <w:bCs/>
          <w:sz w:val="24"/>
          <w:szCs w:val="24"/>
        </w:rPr>
        <w:t xml:space="preserve">ASSIS, Araken de. </w:t>
      </w:r>
      <w:r w:rsidRPr="00944842">
        <w:rPr>
          <w:rFonts w:ascii="Times New Roman" w:hAnsi="Times New Roman" w:cs="Times New Roman"/>
          <w:b/>
          <w:bCs/>
          <w:sz w:val="24"/>
          <w:szCs w:val="24"/>
        </w:rPr>
        <w:t>Manual da Execução.</w:t>
      </w:r>
      <w:r w:rsidRPr="00944842">
        <w:rPr>
          <w:rFonts w:ascii="Times New Roman" w:hAnsi="Times New Roman" w:cs="Times New Roman"/>
          <w:bCs/>
          <w:sz w:val="24"/>
          <w:szCs w:val="24"/>
        </w:rPr>
        <w:t xml:space="preserve"> 11ª ed. São Paulo: Revista dos Tribunais, 2006.</w:t>
      </w:r>
    </w:p>
    <w:p w:rsidR="00E2173C" w:rsidRDefault="00E2173C" w:rsidP="00E2173C">
      <w:pPr>
        <w:spacing w:line="360" w:lineRule="auto"/>
        <w:rPr>
          <w:rFonts w:ascii="Times New Roman" w:hAnsi="Times New Roman" w:cs="Times New Roman"/>
          <w:sz w:val="24"/>
          <w:szCs w:val="24"/>
        </w:rPr>
      </w:pPr>
    </w:p>
    <w:p w:rsidR="00E2173C" w:rsidRPr="001434ED" w:rsidRDefault="00E2173C" w:rsidP="00E2173C">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b/>
          <w:sz w:val="24"/>
          <w:szCs w:val="24"/>
        </w:rPr>
        <w:t>Manual da execução</w:t>
      </w:r>
      <w:r>
        <w:rPr>
          <w:rFonts w:ascii="Times New Roman" w:hAnsi="Times New Roman" w:cs="Times New Roman"/>
          <w:sz w:val="24"/>
          <w:szCs w:val="24"/>
        </w:rPr>
        <w:t>. 11 ed. São Paulo: RT, 2007.</w:t>
      </w:r>
    </w:p>
    <w:p w:rsidR="00E2173C" w:rsidRDefault="00E2173C" w:rsidP="007E5E4D">
      <w:pPr>
        <w:spacing w:after="120" w:line="240" w:lineRule="auto"/>
        <w:contextualSpacing/>
        <w:rPr>
          <w:rFonts w:ascii="Times New Roman" w:hAnsi="Times New Roman" w:cs="Times New Roman"/>
          <w:sz w:val="24"/>
          <w:szCs w:val="24"/>
        </w:rPr>
      </w:pPr>
    </w:p>
    <w:p w:rsidR="00C7570A" w:rsidRDefault="00C7570A" w:rsidP="007E5E4D">
      <w:pPr>
        <w:spacing w:after="120" w:line="240" w:lineRule="auto"/>
        <w:contextualSpacing/>
        <w:rPr>
          <w:rFonts w:ascii="Times New Roman" w:hAnsi="Times New Roman" w:cs="Times New Roman"/>
          <w:sz w:val="24"/>
          <w:szCs w:val="24"/>
          <w:shd w:val="clear" w:color="auto" w:fill="FFFFFF"/>
        </w:rPr>
      </w:pPr>
      <w:r w:rsidRPr="00DF16FC">
        <w:rPr>
          <w:rFonts w:ascii="Times New Roman" w:hAnsi="Times New Roman" w:cs="Times New Roman"/>
          <w:sz w:val="24"/>
          <w:szCs w:val="24"/>
        </w:rPr>
        <w:t xml:space="preserve">BRASIL. </w:t>
      </w:r>
      <w:r w:rsidRPr="00DF16FC">
        <w:rPr>
          <w:rFonts w:ascii="Times New Roman" w:hAnsi="Times New Roman" w:cs="Times New Roman"/>
          <w:b/>
          <w:bCs/>
          <w:sz w:val="24"/>
          <w:szCs w:val="24"/>
          <w:shd w:val="clear" w:color="auto" w:fill="FFFFFF"/>
        </w:rPr>
        <w:t xml:space="preserve">Constituição da República Federativa do Brasil de 1988. </w:t>
      </w:r>
      <w:r w:rsidRPr="00DF16FC">
        <w:rPr>
          <w:rFonts w:ascii="Times New Roman" w:hAnsi="Times New Roman" w:cs="Times New Roman"/>
          <w:bCs/>
          <w:sz w:val="24"/>
          <w:szCs w:val="24"/>
          <w:shd w:val="clear" w:color="auto" w:fill="FFFFFF"/>
        </w:rPr>
        <w:t>Dispõe sobre</w:t>
      </w:r>
      <w:r w:rsidRPr="00DF16FC">
        <w:rPr>
          <w:rFonts w:ascii="Times New Roman" w:hAnsi="Times New Roman" w:cs="Times New Roman"/>
          <w:b/>
          <w:bCs/>
          <w:sz w:val="24"/>
          <w:szCs w:val="24"/>
          <w:shd w:val="clear" w:color="auto" w:fill="FFFFFF"/>
        </w:rPr>
        <w:t xml:space="preserve"> i</w:t>
      </w:r>
      <w:r w:rsidRPr="00DF16FC">
        <w:rPr>
          <w:rFonts w:ascii="Times New Roman" w:hAnsi="Times New Roman" w:cs="Times New Roman"/>
          <w:sz w:val="24"/>
          <w:szCs w:val="24"/>
          <w:shd w:val="clear" w:color="auto" w:fill="FFFFFF"/>
        </w:rPr>
        <w:t>nstituir um Esta</w:t>
      </w:r>
      <w:r>
        <w:rPr>
          <w:rFonts w:ascii="Times New Roman" w:hAnsi="Times New Roman" w:cs="Times New Roman"/>
          <w:sz w:val="24"/>
          <w:szCs w:val="24"/>
          <w:shd w:val="clear" w:color="auto" w:fill="FFFFFF"/>
        </w:rPr>
        <w:t>do Democrático. Disponível em: &lt;</w:t>
      </w:r>
      <w:r w:rsidRPr="00DF16FC">
        <w:rPr>
          <w:rFonts w:ascii="Times New Roman" w:hAnsi="Times New Roman" w:cs="Times New Roman"/>
          <w:sz w:val="24"/>
          <w:szCs w:val="24"/>
          <w:shd w:val="clear" w:color="auto" w:fill="FFFFFF"/>
        </w:rPr>
        <w:t xml:space="preserve">http://www.planalto.gov.br/ccivil_03/constituicao/constituicao.htm &gt; Acesso em </w:t>
      </w:r>
      <w:r>
        <w:rPr>
          <w:rFonts w:ascii="Times New Roman" w:hAnsi="Times New Roman" w:cs="Times New Roman"/>
          <w:sz w:val="24"/>
          <w:szCs w:val="24"/>
          <w:shd w:val="clear" w:color="auto" w:fill="FFFFFF"/>
        </w:rPr>
        <w:t>27 de abril de 2014</w:t>
      </w:r>
      <w:r w:rsidRPr="00DF16FC">
        <w:rPr>
          <w:rFonts w:ascii="Times New Roman" w:hAnsi="Times New Roman" w:cs="Times New Roman"/>
          <w:sz w:val="24"/>
          <w:szCs w:val="24"/>
          <w:shd w:val="clear" w:color="auto" w:fill="FFFFFF"/>
        </w:rPr>
        <w:t>.</w:t>
      </w:r>
    </w:p>
    <w:p w:rsidR="00C7570A" w:rsidRDefault="00C7570A" w:rsidP="007E5E4D">
      <w:pPr>
        <w:spacing w:after="120" w:line="240" w:lineRule="auto"/>
        <w:contextualSpacing/>
        <w:rPr>
          <w:rFonts w:ascii="Times New Roman" w:hAnsi="Times New Roman" w:cs="Times New Roman"/>
          <w:sz w:val="24"/>
          <w:szCs w:val="24"/>
          <w:shd w:val="clear" w:color="auto" w:fill="FFFFFF"/>
        </w:rPr>
      </w:pPr>
    </w:p>
    <w:p w:rsidR="00C7570A" w:rsidRDefault="00C7570A" w:rsidP="007E5E4D">
      <w:pPr>
        <w:autoSpaceDE w:val="0"/>
        <w:autoSpaceDN w:val="0"/>
        <w:adjustRightInd w:val="0"/>
        <w:spacing w:after="120" w:line="240" w:lineRule="auto"/>
        <w:contextualSpacing/>
        <w:rPr>
          <w:rFonts w:ascii="Times New Roman" w:hAnsi="Times New Roman" w:cs="Times New Roman"/>
          <w:sz w:val="24"/>
          <w:szCs w:val="24"/>
        </w:rPr>
      </w:pPr>
      <w:r w:rsidRPr="00A914E6">
        <w:rPr>
          <w:rFonts w:ascii="Times New Roman" w:hAnsi="Times New Roman" w:cs="Times New Roman"/>
          <w:bCs/>
          <w:sz w:val="24"/>
          <w:szCs w:val="24"/>
        </w:rPr>
        <w:t xml:space="preserve">BRASIL. </w:t>
      </w:r>
      <w:r w:rsidRPr="00A914E6">
        <w:rPr>
          <w:rFonts w:ascii="Times New Roman" w:hAnsi="Times New Roman" w:cs="Times New Roman"/>
          <w:b/>
          <w:bCs/>
          <w:sz w:val="24"/>
          <w:szCs w:val="24"/>
        </w:rPr>
        <w:t>Lei 11.232 de 22 de Dezembro de 2005</w:t>
      </w:r>
      <w:r w:rsidRPr="00A914E6">
        <w:rPr>
          <w:rFonts w:ascii="Times New Roman" w:hAnsi="Times New Roman" w:cs="Times New Roman"/>
          <w:bCs/>
          <w:sz w:val="24"/>
          <w:szCs w:val="24"/>
        </w:rPr>
        <w:t xml:space="preserve">. Dispõe sobre </w:t>
      </w:r>
      <w:r w:rsidRPr="00A914E6">
        <w:rPr>
          <w:rFonts w:ascii="Times New Roman" w:hAnsi="Times New Roman" w:cs="Times New Roman"/>
          <w:sz w:val="24"/>
          <w:szCs w:val="24"/>
        </w:rPr>
        <w:t>alterar a Lei n</w:t>
      </w:r>
      <w:r w:rsidRPr="00A914E6">
        <w:rPr>
          <w:rFonts w:ascii="Times New Roman" w:hAnsi="Times New Roman" w:cs="Times New Roman"/>
          <w:sz w:val="24"/>
          <w:szCs w:val="24"/>
          <w:vertAlign w:val="superscript"/>
        </w:rPr>
        <w:t>o</w:t>
      </w:r>
      <w:r w:rsidRPr="00A914E6">
        <w:rPr>
          <w:rStyle w:val="apple-converted-space"/>
          <w:rFonts w:ascii="Times New Roman" w:hAnsi="Times New Roman" w:cs="Times New Roman"/>
          <w:sz w:val="24"/>
          <w:szCs w:val="24"/>
        </w:rPr>
        <w:t> </w:t>
      </w:r>
      <w:r w:rsidRPr="00A914E6">
        <w:rPr>
          <w:rFonts w:ascii="Times New Roman" w:hAnsi="Times New Roman" w:cs="Times New Roman"/>
          <w:sz w:val="24"/>
          <w:szCs w:val="24"/>
        </w:rPr>
        <w:t>5.869, de 11 de janeiro de 1973 – Código de Processo Civil, para estabelecer a fase de cumprimento das sentenças no processo de conhecimento e revogar dispositivos relativos à execução fundada em título judicial. Disponível em</w:t>
      </w:r>
      <w:r>
        <w:rPr>
          <w:rFonts w:ascii="Times New Roman" w:hAnsi="Times New Roman" w:cs="Times New Roman"/>
          <w:sz w:val="24"/>
          <w:szCs w:val="24"/>
        </w:rPr>
        <w:t>:</w:t>
      </w:r>
      <w:r w:rsidRPr="00A914E6">
        <w:rPr>
          <w:rFonts w:ascii="Times New Roman" w:hAnsi="Times New Roman" w:cs="Times New Roman"/>
          <w:sz w:val="24"/>
          <w:szCs w:val="24"/>
        </w:rPr>
        <w:t xml:space="preserve"> &lt; http://www.planalto.gov.br/ccivil_03/_ato2004-2006/2005/lei/l11232.htm &gt; Acesso em 27 de abril de 2014.</w:t>
      </w:r>
    </w:p>
    <w:p w:rsidR="00C7570A" w:rsidRPr="00A914E6" w:rsidRDefault="00C7570A" w:rsidP="007E5E4D">
      <w:pPr>
        <w:autoSpaceDE w:val="0"/>
        <w:autoSpaceDN w:val="0"/>
        <w:adjustRightInd w:val="0"/>
        <w:spacing w:after="120" w:line="240" w:lineRule="auto"/>
        <w:contextualSpacing/>
        <w:rPr>
          <w:rFonts w:ascii="Times New Roman" w:hAnsi="Times New Roman" w:cs="Times New Roman"/>
          <w:bCs/>
          <w:sz w:val="24"/>
          <w:szCs w:val="24"/>
        </w:rPr>
      </w:pPr>
    </w:p>
    <w:p w:rsidR="00C7570A" w:rsidRDefault="00C7570A" w:rsidP="007E5E4D">
      <w:pPr>
        <w:autoSpaceDE w:val="0"/>
        <w:autoSpaceDN w:val="0"/>
        <w:adjustRightInd w:val="0"/>
        <w:spacing w:after="120" w:line="240" w:lineRule="auto"/>
        <w:contextualSpacing/>
        <w:rPr>
          <w:rFonts w:ascii="Times New Roman" w:hAnsi="Times New Roman" w:cs="Times New Roman"/>
          <w:sz w:val="24"/>
          <w:szCs w:val="24"/>
          <w:shd w:val="clear" w:color="auto" w:fill="FFFFFF"/>
        </w:rPr>
      </w:pPr>
      <w:r w:rsidRPr="00A914E6">
        <w:rPr>
          <w:rFonts w:ascii="Times New Roman" w:hAnsi="Times New Roman" w:cs="Times New Roman"/>
          <w:sz w:val="24"/>
          <w:szCs w:val="24"/>
          <w:shd w:val="clear" w:color="auto" w:fill="FFFFFF"/>
        </w:rPr>
        <w:t xml:space="preserve">BRASIL. </w:t>
      </w:r>
      <w:r w:rsidRPr="00A914E6">
        <w:rPr>
          <w:rFonts w:ascii="Times New Roman" w:hAnsi="Times New Roman" w:cs="Times New Roman"/>
          <w:b/>
          <w:sz w:val="24"/>
          <w:szCs w:val="24"/>
          <w:shd w:val="clear" w:color="auto" w:fill="FFFFFF"/>
        </w:rPr>
        <w:t>Tribunal de Justiça de Santa Catarina</w:t>
      </w:r>
      <w:r w:rsidRPr="00A914E6">
        <w:rPr>
          <w:rFonts w:ascii="Times New Roman" w:hAnsi="Times New Roman" w:cs="Times New Roman"/>
          <w:sz w:val="24"/>
          <w:szCs w:val="24"/>
          <w:shd w:val="clear" w:color="auto" w:fill="FFFFFF"/>
        </w:rPr>
        <w:t>. AÇÃO DE EXECUÇÃO DE ALIMENTOS. OBSERVÂNCIA DO RITO DO</w:t>
      </w:r>
      <w:r w:rsidRPr="00A914E6">
        <w:rPr>
          <w:rStyle w:val="apple-converted-space"/>
          <w:rFonts w:ascii="Times New Roman" w:hAnsi="Times New Roman" w:cs="Times New Roman"/>
          <w:sz w:val="24"/>
          <w:szCs w:val="24"/>
          <w:shd w:val="clear" w:color="auto" w:fill="FFFFFF"/>
        </w:rPr>
        <w:t> </w:t>
      </w:r>
      <w:r w:rsidRPr="00A914E6">
        <w:rPr>
          <w:rFonts w:ascii="Times New Roman" w:hAnsi="Times New Roman" w:cs="Times New Roman"/>
          <w:sz w:val="24"/>
          <w:szCs w:val="24"/>
        </w:rPr>
        <w:t>ART</w:t>
      </w:r>
      <w:r w:rsidRPr="00A914E6">
        <w:rPr>
          <w:rFonts w:ascii="Times New Roman" w:hAnsi="Times New Roman" w:cs="Times New Roman"/>
          <w:sz w:val="24"/>
          <w:szCs w:val="24"/>
          <w:shd w:val="clear" w:color="auto" w:fill="FFFFFF"/>
        </w:rPr>
        <w:t xml:space="preserve">. 732 DO CPC. Agravo de Instrumento n. 2007.012137-4, de Joinville, Relatora: Salete Silva Sommariva. Florianópolis, 19 </w:t>
      </w:r>
      <w:r>
        <w:rPr>
          <w:rFonts w:ascii="Times New Roman" w:hAnsi="Times New Roman" w:cs="Times New Roman"/>
          <w:sz w:val="24"/>
          <w:szCs w:val="24"/>
          <w:shd w:val="clear" w:color="auto" w:fill="FFFFFF"/>
        </w:rPr>
        <w:t>de março de 2008. Disponível em: &lt;</w:t>
      </w:r>
      <w:r w:rsidRPr="00A914E6">
        <w:rPr>
          <w:rFonts w:ascii="Times New Roman" w:hAnsi="Times New Roman" w:cs="Times New Roman"/>
          <w:sz w:val="24"/>
          <w:szCs w:val="24"/>
          <w:shd w:val="clear" w:color="auto" w:fill="FFFFFF"/>
        </w:rPr>
        <w:t>http://app.tjsc.jus.br/jurisprudencia/acnaintegra!html.action?qID=AAAGxaAAHAAAoNwAAC&amp;qTodas=2007.012137-4&amp;qFrase=&amp;qUma=&amp;qCor=FF0000</w:t>
      </w:r>
      <w:r>
        <w:rPr>
          <w:rFonts w:ascii="Times New Roman" w:hAnsi="Times New Roman" w:cs="Times New Roman"/>
          <w:sz w:val="24"/>
          <w:szCs w:val="24"/>
          <w:shd w:val="clear" w:color="auto" w:fill="FFFFFF"/>
        </w:rPr>
        <w:t xml:space="preserve"> &gt;</w:t>
      </w:r>
      <w:r w:rsidRPr="00A914E6">
        <w:rPr>
          <w:rFonts w:ascii="Times New Roman" w:hAnsi="Times New Roman" w:cs="Times New Roman"/>
          <w:sz w:val="24"/>
          <w:szCs w:val="24"/>
          <w:shd w:val="clear" w:color="auto" w:fill="FFFFFF"/>
        </w:rPr>
        <w:t xml:space="preserve"> Acesso em: </w:t>
      </w:r>
      <w:r>
        <w:rPr>
          <w:rFonts w:ascii="Times New Roman" w:hAnsi="Times New Roman" w:cs="Times New Roman"/>
          <w:sz w:val="24"/>
          <w:szCs w:val="24"/>
          <w:shd w:val="clear" w:color="auto" w:fill="FFFFFF"/>
        </w:rPr>
        <w:t>27 de abril de 2014</w:t>
      </w:r>
      <w:r w:rsidRPr="00A914E6">
        <w:rPr>
          <w:rFonts w:ascii="Times New Roman" w:hAnsi="Times New Roman" w:cs="Times New Roman"/>
          <w:sz w:val="24"/>
          <w:szCs w:val="24"/>
          <w:shd w:val="clear" w:color="auto" w:fill="FFFFFF"/>
        </w:rPr>
        <w:t>.</w:t>
      </w:r>
    </w:p>
    <w:p w:rsidR="00C7570A" w:rsidRDefault="00C7570A" w:rsidP="007E5E4D">
      <w:pPr>
        <w:autoSpaceDE w:val="0"/>
        <w:autoSpaceDN w:val="0"/>
        <w:adjustRightInd w:val="0"/>
        <w:spacing w:after="120" w:line="240" w:lineRule="auto"/>
        <w:rPr>
          <w:rFonts w:ascii="Times New Roman" w:hAnsi="Times New Roman" w:cs="Times New Roman"/>
          <w:bCs/>
          <w:sz w:val="24"/>
          <w:szCs w:val="24"/>
        </w:rPr>
      </w:pPr>
    </w:p>
    <w:p w:rsidR="007E5E4D" w:rsidRDefault="007E5E4D" w:rsidP="007E5E4D">
      <w:pPr>
        <w:pStyle w:val="NormalWeb"/>
        <w:spacing w:before="0" w:beforeAutospacing="0" w:after="120" w:afterAutospacing="0"/>
        <w:contextualSpacing/>
        <w:rPr>
          <w:bCs/>
        </w:rPr>
      </w:pPr>
      <w:r>
        <w:rPr>
          <w:bCs/>
        </w:rPr>
        <w:t xml:space="preserve">CAMPOS, Felipe de Almeida. </w:t>
      </w:r>
      <w:r>
        <w:rPr>
          <w:b/>
          <w:bCs/>
        </w:rPr>
        <w:t>A nova sistemática da Lei n° 11.232/05 e a execução de alimentos no Código de Processo Civil.</w:t>
      </w:r>
      <w:r>
        <w:rPr>
          <w:bCs/>
        </w:rPr>
        <w:t xml:space="preserve"> </w:t>
      </w:r>
      <w:r w:rsidR="00C3788B">
        <w:rPr>
          <w:bCs/>
        </w:rPr>
        <w:t xml:space="preserve">2009. </w:t>
      </w:r>
      <w:r>
        <w:rPr>
          <w:bCs/>
        </w:rPr>
        <w:t>Disponível em:  &lt;</w:t>
      </w:r>
      <w:r w:rsidRPr="00A23CE7">
        <w:rPr>
          <w:bCs/>
        </w:rPr>
        <w:t>http://www.domtotal.com/direito/uploads/pdf/2c746bcf1e5443e9964bf0b9424e1184.pdf</w:t>
      </w:r>
      <w:r>
        <w:rPr>
          <w:bCs/>
        </w:rPr>
        <w:t xml:space="preserve"> &gt; Acesso em 27 de abril de 2014.</w:t>
      </w:r>
    </w:p>
    <w:p w:rsidR="007E5E4D" w:rsidRDefault="007E5E4D" w:rsidP="007E5E4D">
      <w:pPr>
        <w:pStyle w:val="NormalWeb"/>
        <w:spacing w:before="0" w:beforeAutospacing="0" w:after="120" w:afterAutospacing="0"/>
        <w:rPr>
          <w:bCs/>
        </w:rPr>
      </w:pPr>
    </w:p>
    <w:p w:rsidR="00EB4D88" w:rsidRDefault="00EB4D88" w:rsidP="007E5E4D">
      <w:pPr>
        <w:pStyle w:val="NormalWeb"/>
        <w:spacing w:before="0" w:beforeAutospacing="0" w:after="120" w:afterAutospacing="0"/>
        <w:rPr>
          <w:color w:val="000000"/>
        </w:rPr>
      </w:pPr>
      <w:r w:rsidRPr="00944842">
        <w:rPr>
          <w:bCs/>
        </w:rPr>
        <w:t xml:space="preserve">CARVALHO NETO, Carlos José de. </w:t>
      </w:r>
      <w:r w:rsidRPr="00944842">
        <w:rPr>
          <w:b/>
          <w:bCs/>
        </w:rPr>
        <w:t xml:space="preserve">A execução de alimentos face a não revogação expressa do art. 732 do CPC: cumprimento de sentença ou procedimento da execução por título extrajudicial? </w:t>
      </w:r>
      <w:r w:rsidRPr="00944842">
        <w:rPr>
          <w:color w:val="000000"/>
        </w:rPr>
        <w:t>In:</w:t>
      </w:r>
      <w:r w:rsidRPr="00944842">
        <w:rPr>
          <w:rStyle w:val="apple-converted-space"/>
          <w:color w:val="000000"/>
        </w:rPr>
        <w:t> </w:t>
      </w:r>
      <w:r w:rsidRPr="00944842">
        <w:rPr>
          <w:rStyle w:val="Forte"/>
          <w:color w:val="000000"/>
        </w:rPr>
        <w:t>Âmbito Jurídico</w:t>
      </w:r>
      <w:r w:rsidRPr="00944842">
        <w:rPr>
          <w:b/>
          <w:color w:val="000000"/>
        </w:rPr>
        <w:t xml:space="preserve">, </w:t>
      </w:r>
      <w:r w:rsidRPr="00944842">
        <w:rPr>
          <w:color w:val="000000"/>
        </w:rPr>
        <w:t>Rio Grande, XV, n. 101, jun 2012. Disponível em: &lt;http://www.ambito-juridico.com.br/site/index.php/?n_link=revista_artigos_leitura&amp;artigo_id=11784&amp;revista_caderno=21&gt; Acesso em 01 de abr. de 2014.</w:t>
      </w:r>
    </w:p>
    <w:p w:rsidR="00DF6681" w:rsidRDefault="00DF6681" w:rsidP="007E5E4D">
      <w:pPr>
        <w:pStyle w:val="NormalWeb"/>
        <w:spacing w:before="0" w:beforeAutospacing="0" w:after="120" w:afterAutospacing="0"/>
        <w:rPr>
          <w:color w:val="000000"/>
        </w:rPr>
      </w:pPr>
    </w:p>
    <w:p w:rsidR="00EB4D88" w:rsidRDefault="00DF6681" w:rsidP="007E5E4D">
      <w:pPr>
        <w:pStyle w:val="NormalWeb"/>
        <w:spacing w:before="0" w:beforeAutospacing="0" w:after="120" w:afterAutospacing="0"/>
        <w:rPr>
          <w:color w:val="000000"/>
        </w:rPr>
      </w:pPr>
      <w:r>
        <w:rPr>
          <w:color w:val="000000"/>
        </w:rPr>
        <w:t xml:space="preserve">DIAS, </w:t>
      </w:r>
      <w:r w:rsidRPr="00DF6681">
        <w:rPr>
          <w:color w:val="000000"/>
        </w:rPr>
        <w:t>Maria Berenice</w:t>
      </w:r>
      <w:r>
        <w:rPr>
          <w:color w:val="000000"/>
        </w:rPr>
        <w:t>. A execução d</w:t>
      </w:r>
      <w:r w:rsidRPr="00DF6681">
        <w:rPr>
          <w:color w:val="000000"/>
        </w:rPr>
        <w:t>o</w:t>
      </w:r>
      <w:r>
        <w:rPr>
          <w:color w:val="000000"/>
        </w:rPr>
        <w:t>s alimentos frente às reformas d</w:t>
      </w:r>
      <w:r w:rsidRPr="00DF6681">
        <w:rPr>
          <w:color w:val="000000"/>
        </w:rPr>
        <w:t>o CPC</w:t>
      </w:r>
      <w:r>
        <w:rPr>
          <w:color w:val="000000"/>
        </w:rPr>
        <w:t xml:space="preserve">. In: Revista de Processo. vol. 146. p. 113. </w:t>
      </w:r>
      <w:r w:rsidRPr="00DF6681">
        <w:rPr>
          <w:color w:val="000000"/>
        </w:rPr>
        <w:t>Abr / 2007</w:t>
      </w:r>
      <w:r>
        <w:rPr>
          <w:color w:val="000000"/>
        </w:rPr>
        <w:t>.</w:t>
      </w:r>
    </w:p>
    <w:p w:rsidR="00DF6681" w:rsidRDefault="00DF6681" w:rsidP="007E5E4D">
      <w:pPr>
        <w:pStyle w:val="NormalWeb"/>
        <w:spacing w:before="0" w:beforeAutospacing="0" w:after="120" w:afterAutospacing="0"/>
        <w:rPr>
          <w:bCs/>
        </w:rPr>
      </w:pPr>
    </w:p>
    <w:p w:rsidR="00EB4D88" w:rsidRDefault="00EB4D88" w:rsidP="007E5E4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DIDIER JR., Fredie. </w:t>
      </w:r>
      <w:r>
        <w:rPr>
          <w:rFonts w:ascii="Times New Roman" w:hAnsi="Times New Roman" w:cs="Times New Roman"/>
          <w:b/>
          <w:sz w:val="24"/>
          <w:szCs w:val="24"/>
        </w:rPr>
        <w:t>Curso de direito processual civil</w:t>
      </w:r>
      <w:r>
        <w:rPr>
          <w:rFonts w:ascii="Times New Roman" w:hAnsi="Times New Roman" w:cs="Times New Roman"/>
          <w:sz w:val="24"/>
          <w:szCs w:val="24"/>
        </w:rPr>
        <w:t>. Vol. 05. Salvador: Editora Juspodivm, 2009.</w:t>
      </w:r>
      <w:bookmarkStart w:id="0" w:name="_GoBack"/>
      <w:bookmarkEnd w:id="0"/>
    </w:p>
    <w:p w:rsidR="00EB4D88" w:rsidRDefault="00EB4D88" w:rsidP="007E5E4D">
      <w:pPr>
        <w:spacing w:after="120" w:line="240" w:lineRule="auto"/>
        <w:rPr>
          <w:rFonts w:ascii="Times New Roman" w:hAnsi="Times New Roman" w:cs="Times New Roman"/>
          <w:sz w:val="24"/>
          <w:szCs w:val="24"/>
        </w:rPr>
      </w:pPr>
    </w:p>
    <w:p w:rsidR="00EB4D88" w:rsidRDefault="00C7570A" w:rsidP="007E5E4D">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______</w:t>
      </w:r>
      <w:r w:rsidR="00EB4D88">
        <w:rPr>
          <w:rFonts w:ascii="Times New Roman" w:hAnsi="Times New Roman" w:cs="Times New Roman"/>
          <w:sz w:val="24"/>
          <w:szCs w:val="24"/>
        </w:rPr>
        <w:t xml:space="preserve">. </w:t>
      </w:r>
      <w:r w:rsidR="00EB4D88">
        <w:rPr>
          <w:rFonts w:ascii="Times New Roman" w:hAnsi="Times New Roman" w:cs="Times New Roman"/>
          <w:b/>
          <w:sz w:val="24"/>
          <w:szCs w:val="24"/>
        </w:rPr>
        <w:t>Curso de direito processual civil</w:t>
      </w:r>
      <w:r w:rsidR="00EB4D88">
        <w:rPr>
          <w:rFonts w:ascii="Times New Roman" w:hAnsi="Times New Roman" w:cs="Times New Roman"/>
          <w:sz w:val="24"/>
          <w:szCs w:val="24"/>
        </w:rPr>
        <w:t>. Vol. 05. Salvador: Editora Juspodivm, 2011.</w:t>
      </w:r>
    </w:p>
    <w:p w:rsidR="00EB4D88" w:rsidRDefault="00EB4D88" w:rsidP="007E5E4D">
      <w:pPr>
        <w:spacing w:after="120" w:line="240" w:lineRule="auto"/>
        <w:rPr>
          <w:rFonts w:ascii="Times New Roman" w:hAnsi="Times New Roman" w:cs="Times New Roman"/>
          <w:sz w:val="24"/>
          <w:szCs w:val="24"/>
        </w:rPr>
      </w:pPr>
    </w:p>
    <w:p w:rsidR="00EB4D88" w:rsidRDefault="00EB4D88" w:rsidP="007E5E4D">
      <w:pPr>
        <w:spacing w:after="120" w:line="240" w:lineRule="auto"/>
        <w:rPr>
          <w:rFonts w:ascii="Times New Roman" w:hAnsi="Times New Roman" w:cs="Times New Roman"/>
          <w:sz w:val="24"/>
          <w:szCs w:val="24"/>
        </w:rPr>
      </w:pPr>
      <w:r>
        <w:rPr>
          <w:rFonts w:ascii="Times New Roman" w:hAnsi="Times New Roman" w:cs="Times New Roman"/>
          <w:sz w:val="24"/>
          <w:szCs w:val="24"/>
        </w:rPr>
        <w:t>DINAMARCO, Cândido Rangel. Execução Civil. 5 ed. São Paulo: Malheiros: 1997.</w:t>
      </w:r>
    </w:p>
    <w:p w:rsidR="00EB4D88" w:rsidRDefault="00EB4D88" w:rsidP="007E5E4D">
      <w:pPr>
        <w:spacing w:after="120" w:line="240" w:lineRule="auto"/>
        <w:rPr>
          <w:rFonts w:ascii="Times New Roman" w:hAnsi="Times New Roman" w:cs="Times New Roman"/>
          <w:sz w:val="24"/>
          <w:szCs w:val="24"/>
        </w:rPr>
      </w:pPr>
    </w:p>
    <w:p w:rsidR="00EB4D88" w:rsidRDefault="00EB4D88" w:rsidP="007E5E4D">
      <w:pPr>
        <w:autoSpaceDE w:val="0"/>
        <w:autoSpaceDN w:val="0"/>
        <w:adjustRightInd w:val="0"/>
        <w:spacing w:after="120" w:line="240" w:lineRule="auto"/>
        <w:rPr>
          <w:rFonts w:ascii="Times New Roman" w:hAnsi="Times New Roman" w:cs="Times New Roman"/>
          <w:bCs/>
          <w:sz w:val="24"/>
          <w:szCs w:val="24"/>
        </w:rPr>
      </w:pPr>
      <w:r w:rsidRPr="00A51F3B">
        <w:rPr>
          <w:rFonts w:ascii="Times New Roman" w:hAnsi="Times New Roman" w:cs="Times New Roman"/>
          <w:bCs/>
          <w:sz w:val="24"/>
          <w:szCs w:val="24"/>
        </w:rPr>
        <w:t xml:space="preserve">MELLO, Camila Lorga Ferreira de. </w:t>
      </w:r>
      <w:r w:rsidRPr="00A51F3B">
        <w:rPr>
          <w:rFonts w:ascii="Times New Roman" w:hAnsi="Times New Roman" w:cs="Times New Roman"/>
          <w:b/>
          <w:bCs/>
          <w:sz w:val="24"/>
          <w:szCs w:val="24"/>
        </w:rPr>
        <w:t>Conceito de execução civil e seus princípios informadores.</w:t>
      </w:r>
      <w:r w:rsidRPr="00A51F3B">
        <w:rPr>
          <w:rFonts w:ascii="Times New Roman" w:hAnsi="Times New Roman" w:cs="Times New Roman"/>
          <w:bCs/>
          <w:sz w:val="24"/>
          <w:szCs w:val="24"/>
        </w:rPr>
        <w:t xml:space="preserve"> 2010.</w:t>
      </w:r>
      <w:r>
        <w:rPr>
          <w:rFonts w:ascii="Times New Roman" w:hAnsi="Times New Roman" w:cs="Times New Roman"/>
          <w:bCs/>
          <w:sz w:val="24"/>
          <w:szCs w:val="24"/>
        </w:rPr>
        <w:t xml:space="preserve"> </w:t>
      </w:r>
      <w:r w:rsidRPr="00A51F3B">
        <w:rPr>
          <w:rFonts w:ascii="Times New Roman" w:hAnsi="Times New Roman" w:cs="Times New Roman"/>
          <w:bCs/>
          <w:sz w:val="24"/>
          <w:szCs w:val="24"/>
        </w:rPr>
        <w:t>Disponível em</w:t>
      </w:r>
      <w:r>
        <w:rPr>
          <w:rFonts w:ascii="Times New Roman" w:hAnsi="Times New Roman" w:cs="Times New Roman"/>
          <w:bCs/>
          <w:sz w:val="24"/>
          <w:szCs w:val="24"/>
        </w:rPr>
        <w:t>:</w:t>
      </w:r>
      <w:r w:rsidRPr="00A51F3B">
        <w:rPr>
          <w:rFonts w:ascii="Times New Roman" w:hAnsi="Times New Roman" w:cs="Times New Roman"/>
          <w:bCs/>
          <w:sz w:val="24"/>
          <w:szCs w:val="24"/>
        </w:rPr>
        <w:t xml:space="preserve"> </w:t>
      </w:r>
      <w:r>
        <w:rPr>
          <w:rFonts w:ascii="Times New Roman" w:hAnsi="Times New Roman" w:cs="Times New Roman"/>
          <w:bCs/>
          <w:sz w:val="24"/>
          <w:szCs w:val="24"/>
        </w:rPr>
        <w:t>&lt;</w:t>
      </w:r>
      <w:r w:rsidRPr="00A51F3B">
        <w:rPr>
          <w:rFonts w:ascii="Times New Roman" w:hAnsi="Times New Roman" w:cs="Times New Roman"/>
          <w:bCs/>
          <w:sz w:val="24"/>
          <w:szCs w:val="24"/>
        </w:rPr>
        <w:t>http://lfg.jusbrasil.com.br/noticias/2192987/conceito-de-execucao-civil-e-seus-principios-informadores-camila-lorga-ferreira-de-mello</w:t>
      </w:r>
      <w:r>
        <w:rPr>
          <w:rFonts w:ascii="Times New Roman" w:hAnsi="Times New Roman" w:cs="Times New Roman"/>
          <w:bCs/>
          <w:sz w:val="24"/>
          <w:szCs w:val="24"/>
        </w:rPr>
        <w:t xml:space="preserve">&gt; </w:t>
      </w:r>
      <w:r w:rsidRPr="00944842">
        <w:rPr>
          <w:rFonts w:ascii="Times New Roman" w:hAnsi="Times New Roman" w:cs="Times New Roman"/>
          <w:bCs/>
          <w:sz w:val="24"/>
          <w:szCs w:val="24"/>
        </w:rPr>
        <w:t>Acesso em 30 de mar. de 2014.</w:t>
      </w:r>
    </w:p>
    <w:p w:rsidR="00EB4D88" w:rsidRPr="00A51F3B" w:rsidRDefault="00EB4D88" w:rsidP="007E5E4D">
      <w:pPr>
        <w:autoSpaceDE w:val="0"/>
        <w:autoSpaceDN w:val="0"/>
        <w:adjustRightInd w:val="0"/>
        <w:spacing w:after="120" w:line="240" w:lineRule="auto"/>
        <w:ind w:left="774"/>
        <w:rPr>
          <w:rFonts w:ascii="Times New Roman" w:hAnsi="Times New Roman" w:cs="Times New Roman"/>
          <w:bCs/>
          <w:sz w:val="24"/>
          <w:szCs w:val="24"/>
        </w:rPr>
      </w:pPr>
    </w:p>
    <w:p w:rsidR="00EB4D88" w:rsidRDefault="00EB4D88" w:rsidP="007E5E4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MARINONI, Luiz Guilherme. </w:t>
      </w:r>
      <w:r>
        <w:rPr>
          <w:rFonts w:ascii="Times New Roman" w:hAnsi="Times New Roman" w:cs="Times New Roman"/>
          <w:b/>
          <w:sz w:val="24"/>
          <w:szCs w:val="24"/>
        </w:rPr>
        <w:t>Curso de processo civil</w:t>
      </w:r>
      <w:r>
        <w:rPr>
          <w:rFonts w:ascii="Times New Roman" w:hAnsi="Times New Roman" w:cs="Times New Roman"/>
          <w:sz w:val="24"/>
          <w:szCs w:val="24"/>
        </w:rPr>
        <w:t>. Vol. 03. São Paulo: Editora Revista dos Tribunais, 2007.</w:t>
      </w:r>
    </w:p>
    <w:p w:rsidR="00C7570A" w:rsidRDefault="00C7570A" w:rsidP="007E5E4D">
      <w:pPr>
        <w:spacing w:after="120" w:line="240" w:lineRule="auto"/>
        <w:rPr>
          <w:rFonts w:ascii="Times New Roman" w:hAnsi="Times New Roman" w:cs="Times New Roman"/>
          <w:sz w:val="24"/>
          <w:szCs w:val="24"/>
        </w:rPr>
      </w:pPr>
    </w:p>
    <w:p w:rsidR="00C7570A" w:rsidRDefault="00C7570A" w:rsidP="007E5E4D">
      <w:pPr>
        <w:autoSpaceDE w:val="0"/>
        <w:autoSpaceDN w:val="0"/>
        <w:adjustRightInd w:val="0"/>
        <w:spacing w:after="12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w:t>
      </w:r>
      <w:r w:rsidRPr="00A914E6">
        <w:rPr>
          <w:rFonts w:ascii="Times New Roman" w:hAnsi="Times New Roman" w:cs="Times New Roman"/>
          <w:sz w:val="24"/>
          <w:szCs w:val="24"/>
          <w:shd w:val="clear" w:color="auto" w:fill="FFFFFF"/>
        </w:rPr>
        <w:t>; MITIDIERO, Daniel.</w:t>
      </w:r>
      <w:r w:rsidRPr="00A914E6">
        <w:rPr>
          <w:rStyle w:val="apple-converted-space"/>
          <w:rFonts w:ascii="Times New Roman" w:hAnsi="Times New Roman" w:cs="Times New Roman"/>
          <w:sz w:val="24"/>
          <w:szCs w:val="24"/>
          <w:shd w:val="clear" w:color="auto" w:fill="FFFFFF"/>
        </w:rPr>
        <w:t> </w:t>
      </w:r>
      <w:r w:rsidRPr="00A914E6">
        <w:rPr>
          <w:rStyle w:val="Forte"/>
          <w:rFonts w:ascii="Times New Roman" w:hAnsi="Times New Roman" w:cs="Times New Roman"/>
          <w:sz w:val="24"/>
          <w:szCs w:val="24"/>
          <w:shd w:val="clear" w:color="auto" w:fill="FFFFFF"/>
        </w:rPr>
        <w:t>Código de processo civil comentado artigo por artigo</w:t>
      </w:r>
      <w:r w:rsidRPr="00A914E6">
        <w:rPr>
          <w:rFonts w:ascii="Times New Roman" w:hAnsi="Times New Roman" w:cs="Times New Roman"/>
          <w:sz w:val="24"/>
          <w:szCs w:val="24"/>
          <w:shd w:val="clear" w:color="auto" w:fill="FFFFFF"/>
        </w:rPr>
        <w:t>. São Paulo: Editora Revista dos Tribunais, 2008.</w:t>
      </w:r>
    </w:p>
    <w:p w:rsidR="00C7570A" w:rsidRDefault="00C7570A" w:rsidP="007E5E4D">
      <w:pPr>
        <w:spacing w:after="120" w:line="240" w:lineRule="auto"/>
        <w:rPr>
          <w:rFonts w:ascii="Times New Roman" w:hAnsi="Times New Roman" w:cs="Times New Roman"/>
          <w:sz w:val="24"/>
          <w:szCs w:val="24"/>
        </w:rPr>
      </w:pPr>
    </w:p>
    <w:p w:rsidR="00EB4D88" w:rsidRPr="00766BD3" w:rsidRDefault="00EB4D88" w:rsidP="007E5E4D">
      <w:pPr>
        <w:spacing w:after="120" w:line="240" w:lineRule="auto"/>
        <w:rPr>
          <w:rFonts w:ascii="Times New Roman" w:hAnsi="Times New Roman" w:cs="Times New Roman"/>
          <w:sz w:val="24"/>
          <w:szCs w:val="24"/>
        </w:rPr>
      </w:pPr>
      <w:r w:rsidRPr="00766BD3">
        <w:rPr>
          <w:rFonts w:ascii="Times New Roman" w:hAnsi="Times New Roman" w:cs="Times New Roman"/>
          <w:sz w:val="24"/>
          <w:szCs w:val="24"/>
        </w:rPr>
        <w:t xml:space="preserve">RIBEIRO, Flávia Marques. </w:t>
      </w:r>
      <w:r w:rsidRPr="00766BD3">
        <w:rPr>
          <w:rFonts w:ascii="Times New Roman" w:hAnsi="Times New Roman" w:cs="Times New Roman"/>
          <w:b/>
          <w:sz w:val="24"/>
          <w:szCs w:val="24"/>
        </w:rPr>
        <w:t>A Lei 11.232 /05 e o novo regime de cumprimento de sentenças</w:t>
      </w:r>
      <w:r w:rsidRPr="00766BD3">
        <w:rPr>
          <w:rFonts w:ascii="Times New Roman" w:hAnsi="Times New Roman" w:cs="Times New Roman"/>
          <w:sz w:val="24"/>
          <w:szCs w:val="24"/>
        </w:rPr>
        <w:t>. Disponível em &lt; http://www.direitonet.com.br/artigos/exibir/2764/A-Lei-11232-05-e-o-novo-regime-de-cumprimento-de-sentencas &gt; Acessado em 30/03/2014</w:t>
      </w:r>
    </w:p>
    <w:p w:rsidR="00EB4D88" w:rsidRDefault="00EB4D88" w:rsidP="007E5E4D">
      <w:pPr>
        <w:autoSpaceDE w:val="0"/>
        <w:autoSpaceDN w:val="0"/>
        <w:adjustRightInd w:val="0"/>
        <w:spacing w:after="120" w:line="240" w:lineRule="auto"/>
        <w:rPr>
          <w:rFonts w:ascii="Times New Roman" w:hAnsi="Times New Roman" w:cs="Times New Roman"/>
          <w:bCs/>
          <w:sz w:val="24"/>
          <w:szCs w:val="24"/>
        </w:rPr>
      </w:pPr>
    </w:p>
    <w:p w:rsidR="00EB4D88" w:rsidRDefault="00EB4D88" w:rsidP="007E5E4D">
      <w:pPr>
        <w:autoSpaceDE w:val="0"/>
        <w:autoSpaceDN w:val="0"/>
        <w:adjustRightInd w:val="0"/>
        <w:spacing w:after="120" w:line="240" w:lineRule="auto"/>
        <w:rPr>
          <w:rFonts w:ascii="Times New Roman" w:hAnsi="Times New Roman" w:cs="Times New Roman"/>
          <w:bCs/>
          <w:sz w:val="24"/>
          <w:szCs w:val="24"/>
        </w:rPr>
      </w:pPr>
      <w:r w:rsidRPr="00944842">
        <w:rPr>
          <w:rFonts w:ascii="Times New Roman" w:hAnsi="Times New Roman" w:cs="Times New Roman"/>
          <w:bCs/>
          <w:sz w:val="24"/>
          <w:szCs w:val="24"/>
        </w:rPr>
        <w:t xml:space="preserve">STORM, Monika Adele. </w:t>
      </w:r>
      <w:r w:rsidRPr="00944842">
        <w:rPr>
          <w:rFonts w:ascii="Times New Roman" w:hAnsi="Times New Roman" w:cs="Times New Roman"/>
          <w:b/>
          <w:bCs/>
          <w:sz w:val="24"/>
          <w:szCs w:val="24"/>
        </w:rPr>
        <w:t xml:space="preserve">A aplicação da lei n° 11.232/05 na execução de alimentos. </w:t>
      </w:r>
      <w:r w:rsidRPr="00944842">
        <w:rPr>
          <w:rFonts w:ascii="Times New Roman" w:hAnsi="Times New Roman" w:cs="Times New Roman"/>
          <w:bCs/>
          <w:sz w:val="24"/>
          <w:szCs w:val="24"/>
        </w:rPr>
        <w:t>Centro Universitário Leonardo da Vinci – UNIASSELVI. 2009. Disponível em: &lt;http://www.jurisway.org.br/v2/dhall.asp?id_dh=3836&gt; Acesso em 30 de mar. de 2014.</w:t>
      </w:r>
    </w:p>
    <w:p w:rsidR="00EB4D88" w:rsidRDefault="00EB4D88" w:rsidP="007E5E4D">
      <w:pPr>
        <w:spacing w:after="120" w:line="240" w:lineRule="auto"/>
        <w:rPr>
          <w:rFonts w:ascii="Times New Roman" w:hAnsi="Times New Roman" w:cs="Times New Roman"/>
          <w:sz w:val="24"/>
          <w:szCs w:val="24"/>
        </w:rPr>
      </w:pPr>
    </w:p>
    <w:p w:rsidR="00E17E53" w:rsidRPr="004A3EDF" w:rsidRDefault="00E17E53" w:rsidP="007E5E4D">
      <w:pPr>
        <w:spacing w:after="120" w:line="240" w:lineRule="auto"/>
        <w:ind w:firstLine="1134"/>
        <w:rPr>
          <w:rFonts w:ascii="Times New Roman" w:hAnsi="Times New Roman" w:cs="Times New Roman"/>
          <w:sz w:val="24"/>
          <w:szCs w:val="24"/>
        </w:rPr>
      </w:pPr>
    </w:p>
    <w:sectPr w:rsidR="00E17E53" w:rsidRPr="004A3EDF" w:rsidSect="000A592F">
      <w:footerReference w:type="default" r:id="rId10"/>
      <w:footerReference w:type="first" r:id="rId11"/>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033" w:rsidRDefault="00110033" w:rsidP="000A592F">
      <w:pPr>
        <w:spacing w:after="0" w:line="240" w:lineRule="auto"/>
      </w:pPr>
      <w:r>
        <w:separator/>
      </w:r>
    </w:p>
  </w:endnote>
  <w:endnote w:type="continuationSeparator" w:id="1">
    <w:p w:rsidR="00110033" w:rsidRDefault="00110033" w:rsidP="000A5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2F" w:rsidRDefault="000A592F">
    <w:pPr>
      <w:pStyle w:val="Rodap"/>
    </w:pPr>
  </w:p>
  <w:p w:rsidR="000A592F" w:rsidRDefault="000A592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EF" w:rsidRDefault="00BE0BEF">
    <w:pPr>
      <w:pStyle w:val="Rodap"/>
    </w:pPr>
  </w:p>
  <w:p w:rsidR="000A592F" w:rsidRDefault="000A592F">
    <w:pPr>
      <w:pStyle w:val="Rodap"/>
    </w:pPr>
    <w:r>
      <w:ptab w:relativeTo="margin" w:alignment="center" w:leader="underscore"/>
    </w:r>
  </w:p>
  <w:p w:rsidR="000A592F" w:rsidRPr="000A592F" w:rsidRDefault="000A592F" w:rsidP="000A592F">
    <w:pPr>
      <w:pStyle w:val="Rodap"/>
      <w:rPr>
        <w:rFonts w:ascii="Times New Roman" w:hAnsi="Times New Roman" w:cs="Times New Roman"/>
        <w:sz w:val="20"/>
        <w:szCs w:val="20"/>
      </w:rPr>
    </w:pPr>
    <w:r w:rsidRPr="000A592F">
      <w:rPr>
        <w:rFonts w:ascii="Times New Roman" w:hAnsi="Times New Roman" w:cs="Times New Roman"/>
        <w:sz w:val="20"/>
        <w:szCs w:val="20"/>
      </w:rPr>
      <w:t xml:space="preserve">1- </w:t>
    </w:r>
    <w:r w:rsidRPr="000A592F">
      <w:rPr>
        <w:rFonts w:ascii="Times New Roman" w:hAnsi="Times New Roman" w:cs="Times New Roman"/>
        <w:sz w:val="20"/>
        <w:szCs w:val="20"/>
      </w:rPr>
      <w:t>Título do</w:t>
    </w:r>
    <w:r w:rsidRPr="000A592F">
      <w:rPr>
        <w:rFonts w:ascii="Times New Roman" w:hAnsi="Times New Roman" w:cs="Times New Roman"/>
        <w:i/>
        <w:sz w:val="20"/>
        <w:szCs w:val="20"/>
      </w:rPr>
      <w:t xml:space="preserve"> Paper </w:t>
    </w:r>
    <w:r w:rsidRPr="000A592F">
      <w:rPr>
        <w:rFonts w:ascii="Times New Roman" w:hAnsi="Times New Roman" w:cs="Times New Roman"/>
        <w:sz w:val="20"/>
        <w:szCs w:val="20"/>
      </w:rPr>
      <w:t>apresentado à disciplina de Execução no Processo Civil, da Unidade de Ensino Superior Dom Bosco - UNDB.</w:t>
    </w:r>
  </w:p>
  <w:p w:rsidR="000A592F" w:rsidRPr="000A592F" w:rsidRDefault="000A592F">
    <w:pPr>
      <w:pStyle w:val="Rodap"/>
      <w:rPr>
        <w:rFonts w:ascii="Times New Roman" w:hAnsi="Times New Roman" w:cs="Times New Roman"/>
        <w:sz w:val="20"/>
        <w:szCs w:val="20"/>
      </w:rPr>
    </w:pPr>
    <w:r w:rsidRPr="000A592F">
      <w:rPr>
        <w:rFonts w:ascii="Times New Roman" w:hAnsi="Times New Roman" w:cs="Times New Roman"/>
        <w:sz w:val="20"/>
        <w:szCs w:val="20"/>
      </w:rPr>
      <w:t>2-</w:t>
    </w:r>
    <w:r>
      <w:rPr>
        <w:rFonts w:ascii="Times New Roman" w:hAnsi="Times New Roman" w:cs="Times New Roman"/>
        <w:sz w:val="20"/>
        <w:szCs w:val="20"/>
      </w:rPr>
      <w:t xml:space="preserve"> </w:t>
    </w:r>
    <w:r w:rsidRPr="002D7532">
      <w:rPr>
        <w:rFonts w:ascii="Times New Roman" w:hAnsi="Times New Roman" w:cs="Times New Roman"/>
        <w:sz w:val="20"/>
        <w:szCs w:val="20"/>
      </w:rPr>
      <w:t>Aluna</w:t>
    </w:r>
    <w:r>
      <w:rPr>
        <w:rFonts w:ascii="Times New Roman" w:hAnsi="Times New Roman" w:cs="Times New Roman"/>
        <w:sz w:val="20"/>
        <w:szCs w:val="20"/>
      </w:rPr>
      <w:t xml:space="preserve">s do 7º Período do Curso de Direito </w:t>
    </w:r>
    <w:r w:rsidRPr="002D7532">
      <w:rPr>
        <w:rFonts w:ascii="Times New Roman" w:hAnsi="Times New Roman" w:cs="Times New Roman"/>
        <w:sz w:val="20"/>
        <w:szCs w:val="20"/>
      </w:rPr>
      <w:t>da UNDB.</w:t>
    </w:r>
  </w:p>
  <w:p w:rsidR="000A592F" w:rsidRPr="000A592F" w:rsidRDefault="000A592F">
    <w:pPr>
      <w:pStyle w:val="Rodap"/>
      <w:rPr>
        <w:sz w:val="20"/>
        <w:szCs w:val="20"/>
      </w:rPr>
    </w:pPr>
    <w:r w:rsidRPr="000A592F">
      <w:rPr>
        <w:rFonts w:ascii="Times New Roman" w:hAnsi="Times New Roman" w:cs="Times New Roman"/>
        <w:sz w:val="20"/>
        <w:szCs w:val="20"/>
      </w:rPr>
      <w:t>3-</w:t>
    </w:r>
    <w:r>
      <w:rPr>
        <w:rFonts w:ascii="Times New Roman" w:hAnsi="Times New Roman" w:cs="Times New Roman"/>
        <w:sz w:val="20"/>
        <w:szCs w:val="20"/>
      </w:rPr>
      <w:t xml:space="preserve"> Professor orientador.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033" w:rsidRDefault="00110033" w:rsidP="000A592F">
      <w:pPr>
        <w:spacing w:after="0" w:line="240" w:lineRule="auto"/>
      </w:pPr>
      <w:r>
        <w:separator/>
      </w:r>
    </w:p>
  </w:footnote>
  <w:footnote w:type="continuationSeparator" w:id="1">
    <w:p w:rsidR="00110033" w:rsidRDefault="00110033" w:rsidP="000A59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9B6"/>
    <w:multiLevelType w:val="hybridMultilevel"/>
    <w:tmpl w:val="839A4B2E"/>
    <w:lvl w:ilvl="0" w:tplc="19F40D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996249"/>
    <w:multiLevelType w:val="hybridMultilevel"/>
    <w:tmpl w:val="4BEACF36"/>
    <w:lvl w:ilvl="0" w:tplc="DBEEE8A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4CB588A"/>
    <w:multiLevelType w:val="hybridMultilevel"/>
    <w:tmpl w:val="0D000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53C02"/>
    <w:rsid w:val="00016E0B"/>
    <w:rsid w:val="00060D15"/>
    <w:rsid w:val="0008359B"/>
    <w:rsid w:val="000A592F"/>
    <w:rsid w:val="000A5FBA"/>
    <w:rsid w:val="00110033"/>
    <w:rsid w:val="00175236"/>
    <w:rsid w:val="001C09A2"/>
    <w:rsid w:val="00261034"/>
    <w:rsid w:val="002D182C"/>
    <w:rsid w:val="00404FD2"/>
    <w:rsid w:val="004A30CD"/>
    <w:rsid w:val="004A3EDF"/>
    <w:rsid w:val="005D59B3"/>
    <w:rsid w:val="005F50D6"/>
    <w:rsid w:val="0067498D"/>
    <w:rsid w:val="006931E5"/>
    <w:rsid w:val="00693701"/>
    <w:rsid w:val="006B128F"/>
    <w:rsid w:val="006D3E54"/>
    <w:rsid w:val="00795847"/>
    <w:rsid w:val="00795ABE"/>
    <w:rsid w:val="007D04DA"/>
    <w:rsid w:val="007E5E4D"/>
    <w:rsid w:val="00834B81"/>
    <w:rsid w:val="00847F4E"/>
    <w:rsid w:val="008A7C8F"/>
    <w:rsid w:val="008D6333"/>
    <w:rsid w:val="009612E6"/>
    <w:rsid w:val="009A05B3"/>
    <w:rsid w:val="00A811D2"/>
    <w:rsid w:val="00B0794C"/>
    <w:rsid w:val="00B75308"/>
    <w:rsid w:val="00B83F9C"/>
    <w:rsid w:val="00BB516F"/>
    <w:rsid w:val="00BB6A82"/>
    <w:rsid w:val="00BE0BEF"/>
    <w:rsid w:val="00BE4E9D"/>
    <w:rsid w:val="00C055B2"/>
    <w:rsid w:val="00C3788B"/>
    <w:rsid w:val="00C41D56"/>
    <w:rsid w:val="00C70810"/>
    <w:rsid w:val="00C7570A"/>
    <w:rsid w:val="00CF37E7"/>
    <w:rsid w:val="00D53C02"/>
    <w:rsid w:val="00D745BF"/>
    <w:rsid w:val="00DB4E8C"/>
    <w:rsid w:val="00DE6A2F"/>
    <w:rsid w:val="00DF6681"/>
    <w:rsid w:val="00E17E53"/>
    <w:rsid w:val="00E2173C"/>
    <w:rsid w:val="00EB4D88"/>
    <w:rsid w:val="00F23C26"/>
    <w:rsid w:val="00F9198A"/>
    <w:rsid w:val="00FC6C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02"/>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D53C02"/>
    <w:pPr>
      <w:suppressAutoHyphens/>
    </w:pPr>
    <w:rPr>
      <w:rFonts w:ascii="Calibri" w:eastAsia="SimSun" w:hAnsi="Calibri" w:cs="Calibri"/>
    </w:rPr>
  </w:style>
  <w:style w:type="paragraph" w:styleId="Cabealho">
    <w:name w:val="header"/>
    <w:basedOn w:val="Normal"/>
    <w:link w:val="CabealhoChar"/>
    <w:uiPriority w:val="99"/>
    <w:semiHidden/>
    <w:unhideWhenUsed/>
    <w:rsid w:val="000A592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A592F"/>
  </w:style>
  <w:style w:type="paragraph" w:styleId="Rodap">
    <w:name w:val="footer"/>
    <w:basedOn w:val="Normal"/>
    <w:link w:val="RodapChar"/>
    <w:uiPriority w:val="99"/>
    <w:unhideWhenUsed/>
    <w:rsid w:val="000A592F"/>
    <w:pPr>
      <w:tabs>
        <w:tab w:val="center" w:pos="4252"/>
        <w:tab w:val="right" w:pos="8504"/>
      </w:tabs>
      <w:spacing w:after="0" w:line="240" w:lineRule="auto"/>
    </w:pPr>
  </w:style>
  <w:style w:type="character" w:customStyle="1" w:styleId="RodapChar">
    <w:name w:val="Rodapé Char"/>
    <w:basedOn w:val="Fontepargpadro"/>
    <w:link w:val="Rodap"/>
    <w:uiPriority w:val="99"/>
    <w:rsid w:val="000A592F"/>
  </w:style>
  <w:style w:type="paragraph" w:styleId="Textodebalo">
    <w:name w:val="Balloon Text"/>
    <w:basedOn w:val="Normal"/>
    <w:link w:val="TextodebaloChar"/>
    <w:uiPriority w:val="99"/>
    <w:semiHidden/>
    <w:unhideWhenUsed/>
    <w:rsid w:val="000A59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92F"/>
    <w:rPr>
      <w:rFonts w:ascii="Tahoma" w:hAnsi="Tahoma" w:cs="Tahoma"/>
      <w:sz w:val="16"/>
      <w:szCs w:val="16"/>
    </w:rPr>
  </w:style>
  <w:style w:type="paragraph" w:styleId="PargrafodaLista">
    <w:name w:val="List Paragraph"/>
    <w:basedOn w:val="Normal"/>
    <w:uiPriority w:val="34"/>
    <w:qFormat/>
    <w:rsid w:val="004A3EDF"/>
    <w:pPr>
      <w:ind w:left="720"/>
      <w:contextualSpacing/>
    </w:pPr>
  </w:style>
  <w:style w:type="paragraph" w:styleId="NormalWeb">
    <w:name w:val="Normal (Web)"/>
    <w:basedOn w:val="Normal"/>
    <w:uiPriority w:val="99"/>
    <w:unhideWhenUsed/>
    <w:rsid w:val="00EB4D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B4D88"/>
  </w:style>
  <w:style w:type="character" w:styleId="Forte">
    <w:name w:val="Strong"/>
    <w:basedOn w:val="Fontepargpadro"/>
    <w:uiPriority w:val="22"/>
    <w:qFormat/>
    <w:rsid w:val="00EB4D88"/>
    <w:rPr>
      <w:b/>
      <w:bCs/>
    </w:rPr>
  </w:style>
  <w:style w:type="character" w:styleId="nfase">
    <w:name w:val="Emphasis"/>
    <w:basedOn w:val="Fontepargpadro"/>
    <w:uiPriority w:val="20"/>
    <w:qFormat/>
    <w:rsid w:val="0067498D"/>
    <w:rPr>
      <w:i/>
      <w:iCs/>
    </w:rPr>
  </w:style>
  <w:style w:type="character" w:styleId="Hyperlink">
    <w:name w:val="Hyperlink"/>
    <w:basedOn w:val="Fontepargpadro"/>
    <w:uiPriority w:val="99"/>
    <w:unhideWhenUsed/>
    <w:rsid w:val="0067498D"/>
    <w:rPr>
      <w:color w:val="0000FF"/>
      <w:u w:val="single"/>
    </w:rPr>
  </w:style>
  <w:style w:type="paragraph" w:customStyle="1" w:styleId="Default">
    <w:name w:val="Default"/>
    <w:rsid w:val="007E5E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051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isway.org.br/v2/dhall.asp?id_dh=38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risway.org.br/v2/dhall.asp?id_dh=383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0F45-C736-41A0-BBA7-93C79034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15</Pages>
  <Words>5714</Words>
  <Characters>30860</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pessoal</cp:lastModifiedBy>
  <cp:revision>23</cp:revision>
  <dcterms:created xsi:type="dcterms:W3CDTF">2014-04-28T12:47:00Z</dcterms:created>
  <dcterms:modified xsi:type="dcterms:W3CDTF">2014-04-29T19:29:00Z</dcterms:modified>
</cp:coreProperties>
</file>