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E4" w:rsidRPr="005B06E4" w:rsidRDefault="005B06E4" w:rsidP="005B06E4">
      <w:pPr>
        <w:ind w:left="-1276"/>
        <w:rPr>
          <w:rFonts w:ascii="Arial" w:eastAsia="Arial Unicode MS" w:hAnsi="Arial" w:cs="Arial"/>
          <w:b/>
        </w:rPr>
      </w:pPr>
    </w:p>
    <w:p w:rsid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  <w:r w:rsidRPr="005B06E4">
        <w:rPr>
          <w:rFonts w:ascii="Arial" w:hAnsi="Arial" w:cs="Arial"/>
          <w:b/>
          <w:sz w:val="28"/>
          <w:szCs w:val="28"/>
        </w:rPr>
        <w:t>SERVIÇOS PÚBLICOS ESSENCIAIS INTERROMPIDOS POR FALTA DE PAGAMENTO</w:t>
      </w: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  <w:r w:rsidRPr="005B06E4">
        <w:rPr>
          <w:rFonts w:ascii="Arial" w:hAnsi="Arial" w:cs="Arial"/>
          <w:b/>
          <w:sz w:val="28"/>
          <w:szCs w:val="28"/>
        </w:rPr>
        <w:t>GUILHERME FONSECA FARO</w:t>
      </w: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before="30"/>
        <w:jc w:val="center"/>
        <w:rPr>
          <w:rFonts w:ascii="Arial" w:hAnsi="Arial" w:cs="Arial"/>
          <w:b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Default="005B06E4" w:rsidP="005B06E4">
      <w:pPr>
        <w:jc w:val="center"/>
        <w:rPr>
          <w:rFonts w:ascii="Arial" w:hAnsi="Arial" w:cs="Arial"/>
        </w:rPr>
      </w:pPr>
    </w:p>
    <w:p w:rsidR="005B06E4" w:rsidRDefault="005B06E4" w:rsidP="005B06E4">
      <w:pPr>
        <w:jc w:val="center"/>
        <w:rPr>
          <w:rFonts w:ascii="Arial" w:hAnsi="Arial" w:cs="Arial"/>
        </w:rPr>
      </w:pPr>
    </w:p>
    <w:p w:rsid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jc w:val="center"/>
        <w:rPr>
          <w:rFonts w:ascii="Arial" w:hAnsi="Arial" w:cs="Arial"/>
        </w:rPr>
      </w:pPr>
    </w:p>
    <w:p w:rsidR="005B06E4" w:rsidRPr="005B06E4" w:rsidRDefault="005B06E4" w:rsidP="005B06E4">
      <w:pPr>
        <w:rPr>
          <w:rFonts w:ascii="Arial" w:hAnsi="Arial" w:cs="Arial"/>
        </w:rPr>
      </w:pPr>
    </w:p>
    <w:p w:rsidR="005B06E4" w:rsidRPr="005B06E4" w:rsidRDefault="005B06E4" w:rsidP="005B06E4">
      <w:pPr>
        <w:spacing w:line="360" w:lineRule="auto"/>
        <w:jc w:val="center"/>
        <w:rPr>
          <w:rFonts w:ascii="Arial" w:hAnsi="Arial" w:cs="Arial"/>
          <w:b/>
        </w:rPr>
      </w:pPr>
      <w:r w:rsidRPr="005B06E4">
        <w:rPr>
          <w:rFonts w:ascii="Arial" w:hAnsi="Arial" w:cs="Arial"/>
          <w:b/>
        </w:rPr>
        <w:t>RECIFE/PE</w:t>
      </w:r>
    </w:p>
    <w:p w:rsidR="005B06E4" w:rsidRPr="005B06E4" w:rsidRDefault="005B06E4" w:rsidP="005B06E4">
      <w:pPr>
        <w:spacing w:line="360" w:lineRule="auto"/>
        <w:jc w:val="center"/>
        <w:rPr>
          <w:rFonts w:ascii="Arial" w:hAnsi="Arial" w:cs="Arial"/>
          <w:b/>
        </w:rPr>
      </w:pPr>
      <w:r w:rsidRPr="005B06E4">
        <w:rPr>
          <w:rFonts w:ascii="Arial" w:hAnsi="Arial" w:cs="Arial"/>
          <w:b/>
        </w:rPr>
        <w:t>2013</w:t>
      </w:r>
    </w:p>
    <w:p w:rsidR="005B06E4" w:rsidRPr="005B06E4" w:rsidRDefault="005B06E4" w:rsidP="005B06E4">
      <w:pPr>
        <w:tabs>
          <w:tab w:val="left" w:pos="567"/>
        </w:tabs>
        <w:spacing w:before="30"/>
        <w:rPr>
          <w:rFonts w:ascii="Arial" w:hAnsi="Arial" w:cs="Arial"/>
          <w:b/>
          <w:smallCaps/>
          <w:sz w:val="28"/>
          <w:szCs w:val="28"/>
        </w:rPr>
      </w:pPr>
      <w:r w:rsidRPr="005B06E4">
        <w:rPr>
          <w:rFonts w:ascii="Arial" w:hAnsi="Arial" w:cs="Arial"/>
          <w:b/>
          <w:smallCaps/>
          <w:sz w:val="28"/>
          <w:szCs w:val="28"/>
        </w:rPr>
        <w:lastRenderedPageBreak/>
        <w:t>1. INTRODUÇÃO;</w:t>
      </w:r>
    </w:p>
    <w:p w:rsidR="005B06E4" w:rsidRPr="005B06E4" w:rsidRDefault="005B06E4" w:rsidP="005B06E4">
      <w:pPr>
        <w:tabs>
          <w:tab w:val="left" w:pos="567"/>
        </w:tabs>
        <w:spacing w:before="30"/>
        <w:rPr>
          <w:rFonts w:ascii="Arial" w:hAnsi="Arial" w:cs="Arial"/>
          <w:b/>
          <w:sz w:val="28"/>
          <w:szCs w:val="28"/>
        </w:rPr>
      </w:pPr>
    </w:p>
    <w:p w:rsidR="005B06E4" w:rsidRPr="005B06E4" w:rsidRDefault="005B06E4" w:rsidP="005B06E4">
      <w:pPr>
        <w:spacing w:line="360" w:lineRule="auto"/>
        <w:ind w:firstLine="708"/>
        <w:jc w:val="both"/>
        <w:rPr>
          <w:rFonts w:ascii="Arial" w:hAnsi="Arial" w:cs="Arial"/>
        </w:rPr>
      </w:pPr>
      <w:r w:rsidRPr="005B06E4">
        <w:rPr>
          <w:rFonts w:ascii="Arial" w:hAnsi="Arial" w:cs="Arial"/>
        </w:rPr>
        <w:t xml:space="preserve">O Serviço Público tanto pode ser centralizado, realizado pela Administração Pública Direta, quanto pode ser descentralizado. Neste caso, abrange dois tipos de relação: outorga, por intermédio da Administração Pública Indireta; delegação, destinada ao particular, que pode optar por três vieses, segundo a doutrina majoritária: ato (autorização), permissão (ato ou contrato) e concessão (contrato). No caso em análise, a administração pública </w:t>
      </w:r>
      <w:proofErr w:type="gramStart"/>
      <w:r w:rsidRPr="005B06E4">
        <w:rPr>
          <w:rFonts w:ascii="Arial" w:hAnsi="Arial" w:cs="Arial"/>
        </w:rPr>
        <w:t>delega,</w:t>
      </w:r>
      <w:proofErr w:type="gramEnd"/>
      <w:r w:rsidRPr="005B06E4">
        <w:rPr>
          <w:rFonts w:ascii="Arial" w:hAnsi="Arial" w:cs="Arial"/>
        </w:rPr>
        <w:t xml:space="preserve"> disposto em lei (art. 175 da Constituição Federal de 1988), ao particular, a concessão de serviço público por intermédio de um contrato. Com base no exposto, o presente artigo visa analisar a possibilidade de o </w:t>
      </w:r>
      <w:r w:rsidRPr="005B06E4">
        <w:rPr>
          <w:rFonts w:ascii="Arial" w:hAnsi="Arial" w:cs="Arial"/>
          <w:i/>
        </w:rPr>
        <w:t>fornecedor</w:t>
      </w:r>
      <w:r w:rsidRPr="005B06E4">
        <w:rPr>
          <w:rFonts w:ascii="Arial" w:hAnsi="Arial" w:cs="Arial"/>
        </w:rPr>
        <w:t xml:space="preserve"> (</w:t>
      </w:r>
      <w:r w:rsidRPr="005B06E4">
        <w:rPr>
          <w:rFonts w:ascii="Arial" w:hAnsi="Arial" w:cs="Arial"/>
          <w:shd w:val="clear" w:color="auto" w:fill="FFFFFF"/>
        </w:rPr>
        <w:t>art. 3° da Lei 8078/90</w:t>
      </w:r>
      <w:r w:rsidRPr="005B06E4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Pr="005B06E4">
        <w:rPr>
          <w:rFonts w:ascii="Arial" w:hAnsi="Arial" w:cs="Arial"/>
        </w:rPr>
        <w:t xml:space="preserve">interromper o fornecimento dos serviços públicos por ausência de pagamento do </w:t>
      </w:r>
      <w:r w:rsidRPr="005B06E4">
        <w:rPr>
          <w:rFonts w:ascii="Arial" w:hAnsi="Arial" w:cs="Arial"/>
          <w:i/>
        </w:rPr>
        <w:t>usuário</w:t>
      </w:r>
      <w:r w:rsidRPr="005B06E4">
        <w:rPr>
          <w:rFonts w:ascii="Arial" w:hAnsi="Arial" w:cs="Arial"/>
        </w:rPr>
        <w:t xml:space="preserve"> (art.</w:t>
      </w:r>
      <w:r w:rsidRPr="005B06E4">
        <w:rPr>
          <w:rFonts w:ascii="Arial" w:hAnsi="Arial" w:cs="Arial"/>
          <w:shd w:val="clear" w:color="auto" w:fill="FFFFFF"/>
        </w:rPr>
        <w:t xml:space="preserve"> 2° da Lei 8078/90)</w:t>
      </w:r>
      <w:r w:rsidRPr="005B06E4">
        <w:rPr>
          <w:rFonts w:ascii="Arial" w:hAnsi="Arial" w:cs="Arial"/>
        </w:rPr>
        <w:t xml:space="preserve"> desses serviços. </w:t>
      </w:r>
    </w:p>
    <w:p w:rsidR="005B06E4" w:rsidRPr="005B06E4" w:rsidRDefault="005B06E4" w:rsidP="005B06E4">
      <w:pPr>
        <w:pStyle w:val="Cabealho"/>
        <w:jc w:val="both"/>
        <w:rPr>
          <w:rFonts w:ascii="Arial" w:hAnsi="Arial" w:cs="Arial"/>
          <w:b/>
          <w:smallCaps/>
        </w:rPr>
      </w:pPr>
    </w:p>
    <w:p w:rsidR="005B06E4" w:rsidRPr="005B06E4" w:rsidRDefault="005B06E4" w:rsidP="005B06E4">
      <w:pPr>
        <w:pStyle w:val="Cabealho"/>
        <w:jc w:val="both"/>
        <w:rPr>
          <w:rFonts w:ascii="Arial" w:hAnsi="Arial" w:cs="Arial"/>
          <w:b/>
          <w:smallCaps/>
          <w:sz w:val="28"/>
          <w:szCs w:val="28"/>
        </w:rPr>
      </w:pPr>
      <w:r w:rsidRPr="005B06E4">
        <w:rPr>
          <w:rFonts w:ascii="Arial" w:hAnsi="Arial" w:cs="Arial"/>
          <w:b/>
          <w:smallCaps/>
          <w:sz w:val="28"/>
          <w:szCs w:val="28"/>
        </w:rPr>
        <w:t>2. DESENVOLVIMENTO;</w:t>
      </w:r>
    </w:p>
    <w:p w:rsidR="005B06E4" w:rsidRPr="005B06E4" w:rsidRDefault="005B06E4" w:rsidP="005B06E4">
      <w:pPr>
        <w:pStyle w:val="Cabealho"/>
        <w:jc w:val="both"/>
        <w:rPr>
          <w:rFonts w:ascii="Arial" w:hAnsi="Arial" w:cs="Arial"/>
          <w:b/>
          <w:smallCaps/>
        </w:rPr>
      </w:pPr>
    </w:p>
    <w:p w:rsidR="005B06E4" w:rsidRPr="005B06E4" w:rsidRDefault="005B06E4" w:rsidP="005B06E4">
      <w:pPr>
        <w:spacing w:line="360" w:lineRule="auto"/>
        <w:ind w:firstLine="708"/>
        <w:jc w:val="both"/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</w:pPr>
      <w:r w:rsidRPr="005B06E4">
        <w:rPr>
          <w:rFonts w:ascii="Arial" w:hAnsi="Arial" w:cs="Arial"/>
        </w:rPr>
        <w:t xml:space="preserve">Nos contratos de concessão de Serviço Público, a delegação do serviço é precedida, em regra, por licitação (art. 14 da lei </w:t>
      </w:r>
      <w:r w:rsidRPr="005B06E4">
        <w:rPr>
          <w:rStyle w:val="nfase"/>
          <w:rFonts w:ascii="Arial" w:hAnsi="Arial" w:cs="Arial"/>
          <w:bCs/>
          <w:i w:val="0"/>
          <w:shd w:val="clear" w:color="auto" w:fill="FFFFFF"/>
        </w:rPr>
        <w:t>nº 8987/95</w:t>
      </w:r>
      <w:r w:rsidRPr="005B06E4">
        <w:rPr>
          <w:rStyle w:val="nfase"/>
          <w:rFonts w:ascii="Arial" w:hAnsi="Arial" w:cs="Arial"/>
          <w:bCs/>
          <w:shd w:val="clear" w:color="auto" w:fill="FFFFFF"/>
        </w:rPr>
        <w:t>)</w:t>
      </w:r>
      <w:r w:rsidRPr="005B06E4">
        <w:rPr>
          <w:rFonts w:ascii="Arial" w:hAnsi="Arial" w:cs="Arial"/>
        </w:rPr>
        <w:t xml:space="preserve">, devendo-se, pois, seguir os pressupostos estabelecidos no edital. Com a concessão, o particular assume o risco de exploração da obra e serviço por prazo determinado. A polêmica, no caso em tela, é a possibilidade de interromper - se os serviços de água e luz, serviços públicos essenciais (analogia com o art. 10, I da lei </w:t>
      </w:r>
      <w:r w:rsidRPr="005B06E4">
        <w:rPr>
          <w:rStyle w:val="nfase"/>
          <w:rFonts w:ascii="Arial" w:hAnsi="Arial" w:cs="Arial"/>
          <w:bCs/>
          <w:i w:val="0"/>
          <w:shd w:val="clear" w:color="auto" w:fill="FFFFFF"/>
        </w:rPr>
        <w:t>nº 7783/89</w:t>
      </w:r>
      <w:r w:rsidRPr="005B06E4">
        <w:rPr>
          <w:rStyle w:val="nfase"/>
          <w:rFonts w:ascii="Arial" w:hAnsi="Arial" w:cs="Arial"/>
          <w:bCs/>
          <w:shd w:val="clear" w:color="auto" w:fill="FFFFFF"/>
        </w:rPr>
        <w:t xml:space="preserve">). </w:t>
      </w:r>
    </w:p>
    <w:p w:rsidR="005B06E4" w:rsidRPr="005B06E4" w:rsidRDefault="005B06E4" w:rsidP="005B06E4">
      <w:pPr>
        <w:spacing w:line="360" w:lineRule="auto"/>
        <w:jc w:val="both"/>
        <w:rPr>
          <w:rFonts w:ascii="Arial" w:hAnsi="Arial" w:cs="Arial"/>
        </w:rPr>
      </w:pPr>
      <w:r w:rsidRPr="005B06E4">
        <w:rPr>
          <w:rStyle w:val="nfase"/>
          <w:rFonts w:ascii="Arial" w:hAnsi="Arial" w:cs="Arial"/>
          <w:bCs/>
          <w:shd w:val="clear" w:color="auto" w:fill="FFFFFF"/>
        </w:rPr>
        <w:tab/>
      </w:r>
      <w:r w:rsidRPr="005B06E4">
        <w:rPr>
          <w:rStyle w:val="nfase"/>
          <w:rFonts w:ascii="Arial" w:hAnsi="Arial" w:cs="Arial"/>
          <w:bCs/>
          <w:i w:val="0"/>
          <w:shd w:val="clear" w:color="auto" w:fill="FFFFFF"/>
        </w:rPr>
        <w:t>Em relação à interrupção dos serviços públicos de abastecimento de</w:t>
      </w:r>
      <w:r w:rsidRPr="005B06E4">
        <w:rPr>
          <w:rStyle w:val="nfase"/>
          <w:rFonts w:ascii="Arial" w:hAnsi="Arial" w:cs="Arial"/>
          <w:bCs/>
          <w:shd w:val="clear" w:color="auto" w:fill="FFFFFF"/>
        </w:rPr>
        <w:t xml:space="preserve"> água</w:t>
      </w:r>
      <w:r w:rsidRPr="005B06E4">
        <w:rPr>
          <w:rStyle w:val="nfase"/>
          <w:rFonts w:ascii="Arial" w:hAnsi="Arial" w:cs="Arial"/>
          <w:bCs/>
          <w:i w:val="0"/>
          <w:shd w:val="clear" w:color="auto" w:fill="FFFFFF"/>
        </w:rPr>
        <w:t>, há autorização legislativa</w:t>
      </w:r>
      <w:r w:rsidRPr="005B06E4">
        <w:rPr>
          <w:rStyle w:val="nfase"/>
          <w:rFonts w:ascii="Arial" w:hAnsi="Arial" w:cs="Arial"/>
          <w:bCs/>
          <w:shd w:val="clear" w:color="auto" w:fill="FFFFFF"/>
        </w:rPr>
        <w:t xml:space="preserve"> (</w:t>
      </w:r>
      <w:r w:rsidRPr="005B06E4">
        <w:rPr>
          <w:rStyle w:val="nfase"/>
          <w:rFonts w:ascii="Arial" w:hAnsi="Arial" w:cs="Arial"/>
          <w:bCs/>
          <w:i w:val="0"/>
          <w:shd w:val="clear" w:color="auto" w:fill="FFFFFF"/>
        </w:rPr>
        <w:t>art. 40, V da Lei 11445/07), necessitando-se</w:t>
      </w:r>
      <w:r w:rsidRPr="005B06E4">
        <w:rPr>
          <w:rStyle w:val="nfase"/>
          <w:rFonts w:ascii="Arial" w:hAnsi="Arial" w:cs="Arial"/>
          <w:bCs/>
          <w:shd w:val="clear" w:color="auto" w:fill="FFFFFF"/>
        </w:rPr>
        <w:t xml:space="preserve"> </w:t>
      </w:r>
      <w:r w:rsidRPr="005B06E4">
        <w:rPr>
          <w:rFonts w:ascii="Arial" w:hAnsi="Arial" w:cs="Arial"/>
        </w:rPr>
        <w:t xml:space="preserve">de prévio aviso ao usuário, não inferior a 30 (trinta) dias da data prevista para a suspensão. No caso de serviço de </w:t>
      </w:r>
      <w:r w:rsidRPr="005B06E4">
        <w:rPr>
          <w:rFonts w:ascii="Arial" w:hAnsi="Arial" w:cs="Arial"/>
          <w:i/>
        </w:rPr>
        <w:t>energia elétrica</w:t>
      </w:r>
      <w:r w:rsidRPr="005B06E4">
        <w:rPr>
          <w:rFonts w:ascii="Arial" w:hAnsi="Arial" w:cs="Arial"/>
        </w:rPr>
        <w:t>, para consumidor que preste serviço público, a partir de 15 (quinze) dias (art.17 da lei 9427/96). Ademais, continuidade do serviço público significa que o serviço não pode ser paralisado em relação à coletividade, à sociedade. No entanto, se os consumidores não pagam e, ainda assim, o serviço individual for mantido, a continuidade geral (art</w:t>
      </w:r>
      <w:r w:rsidRPr="005B06E4">
        <w:rPr>
          <w:rFonts w:ascii="Arial" w:hAnsi="Arial" w:cs="Arial"/>
          <w:shd w:val="clear" w:color="auto" w:fill="FFFFFF"/>
        </w:rPr>
        <w:t>.6º, § 3 da lei 8987/95)</w:t>
      </w:r>
      <w:r w:rsidRPr="005B06E4">
        <w:rPr>
          <w:rFonts w:ascii="Arial" w:hAnsi="Arial" w:cs="Arial"/>
        </w:rPr>
        <w:t xml:space="preserve">, neste caso, estará ameaçada. </w:t>
      </w:r>
    </w:p>
    <w:p w:rsidR="005B06E4" w:rsidRPr="005B06E4" w:rsidRDefault="005B06E4" w:rsidP="005B06E4">
      <w:pPr>
        <w:spacing w:line="360" w:lineRule="auto"/>
        <w:jc w:val="both"/>
        <w:rPr>
          <w:rFonts w:ascii="Arial" w:hAnsi="Arial" w:cs="Arial"/>
        </w:rPr>
      </w:pPr>
      <w:r w:rsidRPr="005B06E4">
        <w:rPr>
          <w:rFonts w:ascii="Arial" w:hAnsi="Arial" w:cs="Arial"/>
        </w:rPr>
        <w:tab/>
        <w:t xml:space="preserve"> A despeito disso, o Superior Tribunal de Justiça, em quatro situações, posiciona-se no sentido de não admitir a interrupção do serviço público: afetar - se entidades públicas, prestadoras de serviços essenciais; dívidas pretéritas; fraude no medidor apurada de forma unilateral pela concessionária; violação da dignidade da pessoa humana. </w:t>
      </w:r>
    </w:p>
    <w:p w:rsidR="005B06E4" w:rsidRPr="005B06E4" w:rsidRDefault="005B06E4" w:rsidP="005B06E4">
      <w:pPr>
        <w:spacing w:line="360" w:lineRule="auto"/>
        <w:jc w:val="both"/>
        <w:rPr>
          <w:rFonts w:ascii="Arial" w:hAnsi="Arial" w:cs="Arial"/>
        </w:rPr>
      </w:pPr>
      <w:r w:rsidRPr="005B06E4">
        <w:rPr>
          <w:rFonts w:ascii="Arial" w:hAnsi="Arial" w:cs="Arial"/>
        </w:rPr>
        <w:t>Nesse sentido, seguem os julgados:</w:t>
      </w:r>
    </w:p>
    <w:p w:rsidR="005B06E4" w:rsidRPr="005B06E4" w:rsidRDefault="005B06E4" w:rsidP="005B06E4">
      <w:pPr>
        <w:shd w:val="clear" w:color="auto" w:fill="FFFFFF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5B06E4">
        <w:rPr>
          <w:rFonts w:ascii="Arial" w:eastAsia="Times New Roman" w:hAnsi="Arial" w:cs="Arial"/>
          <w:b/>
          <w:i/>
          <w:iCs/>
          <w:sz w:val="20"/>
          <w:szCs w:val="20"/>
        </w:rPr>
        <w:t>ADMINISTRATIVO. FORNECIMENTO DE ÁGUA. CORTE.</w:t>
      </w:r>
      <w:r w:rsidRPr="005B06E4">
        <w:rPr>
          <w:rFonts w:ascii="Arial" w:eastAsia="Times New Roman" w:hAnsi="Arial" w:cs="Arial"/>
          <w:b/>
          <w:i/>
          <w:iCs/>
          <w:sz w:val="20"/>
        </w:rPr>
        <w:t> </w:t>
      </w:r>
      <w:r w:rsidRPr="005B06E4">
        <w:rPr>
          <w:rFonts w:ascii="Arial" w:eastAsia="Times New Roman" w:hAnsi="Arial" w:cs="Arial"/>
          <w:b/>
          <w:i/>
          <w:iCs/>
          <w:sz w:val="20"/>
          <w:szCs w:val="20"/>
        </w:rPr>
        <w:t xml:space="preserve">INDENIZAÇÃO. SÚMULA </w:t>
      </w:r>
      <w:proofErr w:type="gramStart"/>
      <w:r w:rsidRPr="005B06E4">
        <w:rPr>
          <w:rFonts w:ascii="Arial" w:eastAsia="Times New Roman" w:hAnsi="Arial" w:cs="Arial"/>
          <w:b/>
          <w:i/>
          <w:iCs/>
          <w:sz w:val="20"/>
          <w:szCs w:val="20"/>
        </w:rPr>
        <w:t>7</w:t>
      </w:r>
      <w:proofErr w:type="gramEnd"/>
      <w:r w:rsidRPr="005B06E4">
        <w:rPr>
          <w:rFonts w:ascii="Arial" w:eastAsia="Times New Roman" w:hAnsi="Arial" w:cs="Arial"/>
          <w:b/>
          <w:i/>
          <w:iCs/>
          <w:sz w:val="20"/>
          <w:szCs w:val="20"/>
        </w:rPr>
        <w:t>⁄STJ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.(...). </w:t>
      </w:r>
      <w:r w:rsidRPr="005B06E4">
        <w:rPr>
          <w:rFonts w:ascii="Arial" w:eastAsia="Times New Roman" w:hAnsi="Arial" w:cs="Arial"/>
          <w:iCs/>
          <w:sz w:val="20"/>
          <w:szCs w:val="20"/>
        </w:rPr>
        <w:t xml:space="preserve">2. O </w:t>
      </w:r>
      <w:r w:rsidRPr="005B06E4">
        <w:rPr>
          <w:rFonts w:ascii="Arial" w:eastAsia="Times New Roman" w:hAnsi="Arial" w:cs="Arial"/>
          <w:b/>
          <w:iCs/>
          <w:sz w:val="20"/>
          <w:szCs w:val="20"/>
        </w:rPr>
        <w:t>Superior Tribunal de Justiça</w:t>
      </w:r>
      <w:r w:rsidRPr="005B06E4">
        <w:rPr>
          <w:rFonts w:ascii="Arial" w:eastAsia="Times New Roman" w:hAnsi="Arial" w:cs="Arial"/>
          <w:iCs/>
          <w:sz w:val="20"/>
          <w:szCs w:val="20"/>
        </w:rPr>
        <w:t xml:space="preserve"> firmou a orientação de que é</w:t>
      </w:r>
      <w:r w:rsidRPr="005B06E4">
        <w:rPr>
          <w:rFonts w:ascii="Arial" w:eastAsia="Times New Roman" w:hAnsi="Arial" w:cs="Arial"/>
          <w:iCs/>
          <w:sz w:val="20"/>
        </w:rPr>
        <w:t> </w:t>
      </w:r>
      <w:r w:rsidRPr="005B06E4">
        <w:rPr>
          <w:rFonts w:ascii="Arial" w:eastAsia="Times New Roman" w:hAnsi="Arial" w:cs="Arial"/>
          <w:iCs/>
          <w:sz w:val="20"/>
          <w:szCs w:val="20"/>
        </w:rPr>
        <w:t>ilegítimo o corte no fornecimento de serviços públicos essenciais</w:t>
      </w:r>
      <w:r w:rsidRPr="005B06E4">
        <w:rPr>
          <w:rFonts w:ascii="Arial" w:eastAsia="Times New Roman" w:hAnsi="Arial" w:cs="Arial"/>
          <w:iCs/>
          <w:sz w:val="20"/>
        </w:rPr>
        <w:t> </w:t>
      </w:r>
      <w:r w:rsidRPr="005B06E4">
        <w:rPr>
          <w:rFonts w:ascii="Arial" w:eastAsia="Times New Roman" w:hAnsi="Arial" w:cs="Arial"/>
          <w:iCs/>
          <w:sz w:val="20"/>
          <w:szCs w:val="20"/>
        </w:rPr>
        <w:t>quando:</w:t>
      </w:r>
      <w:r w:rsidRPr="005B06E4">
        <w:rPr>
          <w:rFonts w:ascii="Arial" w:eastAsia="Times New Roman" w:hAnsi="Arial" w:cs="Arial"/>
          <w:iCs/>
          <w:sz w:val="20"/>
        </w:rPr>
        <w:t> 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a) a </w:t>
      </w:r>
      <w:r w:rsidRPr="005B06E4">
        <w:rPr>
          <w:rFonts w:ascii="Arial" w:eastAsia="Times New Roman" w:hAnsi="Arial" w:cs="Arial"/>
          <w:iCs/>
          <w:sz w:val="20"/>
          <w:szCs w:val="20"/>
        </w:rPr>
        <w:t>inadimplência do consumidor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 decorrer de </w:t>
      </w:r>
      <w:r w:rsidRPr="005B06E4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débitos</w:t>
      </w:r>
      <w:r w:rsidRPr="005B06E4">
        <w:rPr>
          <w:rFonts w:ascii="Arial" w:eastAsia="Times New Roman" w:hAnsi="Arial" w:cs="Arial"/>
          <w:b/>
          <w:i/>
          <w:iCs/>
          <w:sz w:val="20"/>
          <w:u w:val="single"/>
        </w:rPr>
        <w:t> </w:t>
      </w:r>
      <w:r w:rsidRPr="005B06E4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pretéritos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>;</w:t>
      </w:r>
      <w:r w:rsidRPr="005B06E4">
        <w:rPr>
          <w:rFonts w:ascii="Arial" w:eastAsia="Times New Roman" w:hAnsi="Arial" w:cs="Arial"/>
          <w:i/>
          <w:iCs/>
          <w:sz w:val="20"/>
          <w:u w:val="single"/>
        </w:rPr>
        <w:t> </w:t>
      </w:r>
      <w:r w:rsidRPr="005B06E4">
        <w:rPr>
          <w:rFonts w:ascii="Arial" w:eastAsia="Times New Roman" w:hAnsi="Arial" w:cs="Arial"/>
          <w:iCs/>
          <w:sz w:val="20"/>
          <w:szCs w:val="20"/>
        </w:rPr>
        <w:t xml:space="preserve">b) o débito </w:t>
      </w:r>
      <w:r w:rsidRPr="005B06E4">
        <w:rPr>
          <w:rFonts w:ascii="Arial" w:eastAsia="Times New Roman" w:hAnsi="Arial" w:cs="Arial"/>
          <w:iCs/>
          <w:sz w:val="20"/>
          <w:szCs w:val="20"/>
          <w:u w:val="single"/>
        </w:rPr>
        <w:t xml:space="preserve">originar-se de </w:t>
      </w:r>
      <w:r w:rsidRPr="005B06E4">
        <w:rPr>
          <w:rFonts w:ascii="Arial" w:eastAsia="Times New Roman" w:hAnsi="Arial" w:cs="Arial"/>
          <w:b/>
          <w:iCs/>
          <w:sz w:val="20"/>
          <w:szCs w:val="20"/>
          <w:u w:val="single"/>
        </w:rPr>
        <w:t>suposta fraude no medidor</w:t>
      </w:r>
      <w:r w:rsidRPr="005B06E4">
        <w:rPr>
          <w:rFonts w:ascii="Arial" w:eastAsia="Times New Roman" w:hAnsi="Arial" w:cs="Arial"/>
          <w:iCs/>
          <w:sz w:val="20"/>
          <w:szCs w:val="20"/>
          <w:u w:val="single"/>
        </w:rPr>
        <w:t xml:space="preserve"> de</w:t>
      </w:r>
      <w:r w:rsidRPr="005B06E4">
        <w:rPr>
          <w:rFonts w:ascii="Arial" w:eastAsia="Times New Roman" w:hAnsi="Arial" w:cs="Arial"/>
          <w:iCs/>
          <w:sz w:val="20"/>
          <w:u w:val="single"/>
        </w:rPr>
        <w:t> </w:t>
      </w:r>
      <w:r w:rsidRPr="005B06E4">
        <w:rPr>
          <w:rFonts w:ascii="Arial" w:eastAsia="Times New Roman" w:hAnsi="Arial" w:cs="Arial"/>
          <w:iCs/>
          <w:sz w:val="20"/>
          <w:szCs w:val="20"/>
          <w:u w:val="single"/>
        </w:rPr>
        <w:t xml:space="preserve">consumo de energia, </w:t>
      </w:r>
      <w:r w:rsidRPr="005B06E4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apurada unilateralmente pela concessionária</w:t>
      </w:r>
      <w:r w:rsidRPr="005B06E4">
        <w:rPr>
          <w:rFonts w:ascii="Arial" w:eastAsia="Times New Roman" w:hAnsi="Arial" w:cs="Arial"/>
          <w:iCs/>
          <w:sz w:val="20"/>
          <w:szCs w:val="20"/>
          <w:u w:val="single"/>
        </w:rPr>
        <w:t>;</w:t>
      </w:r>
      <w:r w:rsidRPr="005B06E4">
        <w:rPr>
          <w:rFonts w:ascii="Arial" w:eastAsia="Times New Roman" w:hAnsi="Arial" w:cs="Arial"/>
          <w:i/>
          <w:iCs/>
          <w:sz w:val="20"/>
        </w:rPr>
        <w:t> 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Pr="005B06E4">
        <w:rPr>
          <w:rFonts w:ascii="Arial" w:eastAsia="Times New Roman" w:hAnsi="Arial" w:cs="Arial"/>
          <w:i/>
          <w:iCs/>
          <w:sz w:val="20"/>
        </w:rPr>
        <w:t> 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c) </w:t>
      </w:r>
      <w:r w:rsidRPr="005B06E4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inexistente aviso prévio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 ao consumidor inadimplente. Sobre o tema,</w:t>
      </w:r>
      <w:r w:rsidRPr="005B06E4">
        <w:rPr>
          <w:rFonts w:ascii="Arial" w:eastAsia="Times New Roman" w:hAnsi="Arial" w:cs="Arial"/>
          <w:i/>
          <w:iCs/>
          <w:sz w:val="20"/>
        </w:rPr>
        <w:t> 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confira-se o </w:t>
      </w:r>
      <w:proofErr w:type="spellStart"/>
      <w:proofErr w:type="gramStart"/>
      <w:r w:rsidRPr="005B06E4">
        <w:rPr>
          <w:rFonts w:ascii="Arial" w:eastAsia="Times New Roman" w:hAnsi="Arial" w:cs="Arial"/>
          <w:i/>
          <w:iCs/>
          <w:sz w:val="20"/>
          <w:szCs w:val="20"/>
        </w:rPr>
        <w:t>REsp</w:t>
      </w:r>
      <w:proofErr w:type="spellEnd"/>
      <w:proofErr w:type="gramEnd"/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 1.285.426⁄SP, Rel. Ministro Mauro Campbell</w:t>
      </w:r>
      <w:r w:rsidRPr="005B06E4">
        <w:rPr>
          <w:rFonts w:ascii="Arial" w:eastAsia="Times New Roman" w:hAnsi="Arial" w:cs="Arial"/>
          <w:i/>
          <w:iCs/>
          <w:sz w:val="20"/>
        </w:rPr>
        <w:t> </w:t>
      </w:r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Marques, Segunda Turma, </w:t>
      </w:r>
      <w:proofErr w:type="spellStart"/>
      <w:r w:rsidRPr="005B06E4">
        <w:rPr>
          <w:rFonts w:ascii="Arial" w:eastAsia="Times New Roman" w:hAnsi="Arial" w:cs="Arial"/>
          <w:i/>
          <w:iCs/>
          <w:sz w:val="20"/>
          <w:szCs w:val="20"/>
        </w:rPr>
        <w:t>DJe</w:t>
      </w:r>
      <w:proofErr w:type="spellEnd"/>
      <w:r w:rsidRPr="005B06E4">
        <w:rPr>
          <w:rFonts w:ascii="Arial" w:eastAsia="Times New Roman" w:hAnsi="Arial" w:cs="Arial"/>
          <w:i/>
          <w:iCs/>
          <w:sz w:val="20"/>
          <w:szCs w:val="20"/>
        </w:rPr>
        <w:t xml:space="preserve"> 13⁄12⁄2011(...)</w:t>
      </w:r>
      <w:r w:rsidRPr="005B06E4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B06E4">
        <w:rPr>
          <w:rFonts w:ascii="Arial" w:eastAsia="Times New Roman" w:hAnsi="Arial" w:cs="Arial"/>
          <w:bCs/>
          <w:sz w:val="20"/>
          <w:szCs w:val="20"/>
        </w:rPr>
        <w:t>AgRg</w:t>
      </w:r>
      <w:proofErr w:type="spellEnd"/>
      <w:r w:rsidRPr="005B06E4">
        <w:rPr>
          <w:rFonts w:ascii="Arial" w:eastAsia="Times New Roman" w:hAnsi="Arial" w:cs="Arial"/>
          <w:bCs/>
          <w:sz w:val="20"/>
          <w:szCs w:val="20"/>
        </w:rPr>
        <w:t xml:space="preserve"> no </w:t>
      </w:r>
      <w:proofErr w:type="spellStart"/>
      <w:r w:rsidRPr="005B06E4">
        <w:rPr>
          <w:rFonts w:ascii="Arial" w:eastAsia="Times New Roman" w:hAnsi="Arial" w:cs="Arial"/>
          <w:bCs/>
          <w:sz w:val="20"/>
          <w:szCs w:val="20"/>
        </w:rPr>
        <w:t>AREsp</w:t>
      </w:r>
      <w:proofErr w:type="spellEnd"/>
      <w:r w:rsidRPr="005B06E4">
        <w:rPr>
          <w:rFonts w:ascii="Arial" w:eastAsia="Times New Roman" w:hAnsi="Arial" w:cs="Arial"/>
          <w:bCs/>
          <w:sz w:val="20"/>
          <w:szCs w:val="20"/>
        </w:rPr>
        <w:t xml:space="preserve"> 211.514⁄SP</w:t>
      </w:r>
      <w:r w:rsidRPr="005B06E4">
        <w:rPr>
          <w:rFonts w:ascii="Arial" w:eastAsia="Times New Roman" w:hAnsi="Arial" w:cs="Arial"/>
          <w:sz w:val="20"/>
          <w:szCs w:val="20"/>
        </w:rPr>
        <w:t>, Rel. Ministro HERMAN</w:t>
      </w:r>
      <w:r w:rsidRPr="005B06E4">
        <w:rPr>
          <w:rFonts w:ascii="Arial" w:eastAsia="Times New Roman" w:hAnsi="Arial" w:cs="Arial"/>
          <w:sz w:val="20"/>
        </w:rPr>
        <w:t> </w:t>
      </w:r>
      <w:r w:rsidRPr="005B06E4">
        <w:rPr>
          <w:rFonts w:ascii="Arial" w:eastAsia="Times New Roman" w:hAnsi="Arial" w:cs="Arial"/>
          <w:sz w:val="20"/>
          <w:szCs w:val="20"/>
        </w:rPr>
        <w:t xml:space="preserve">BENJAMIN, SEGUNDA TURMA, </w:t>
      </w:r>
      <w:proofErr w:type="spellStart"/>
      <w:r w:rsidRPr="005B06E4">
        <w:rPr>
          <w:rFonts w:ascii="Arial" w:eastAsia="Times New Roman" w:hAnsi="Arial" w:cs="Arial"/>
          <w:sz w:val="20"/>
          <w:szCs w:val="20"/>
        </w:rPr>
        <w:t>DJe</w:t>
      </w:r>
      <w:proofErr w:type="spellEnd"/>
      <w:r w:rsidRPr="005B06E4">
        <w:rPr>
          <w:rFonts w:ascii="Arial" w:eastAsia="Times New Roman" w:hAnsi="Arial" w:cs="Arial"/>
          <w:sz w:val="20"/>
          <w:szCs w:val="20"/>
        </w:rPr>
        <w:t xml:space="preserve"> 5⁄11⁄2012).</w:t>
      </w:r>
    </w:p>
    <w:p w:rsidR="005B06E4" w:rsidRPr="005B06E4" w:rsidRDefault="005B06E4" w:rsidP="005B06E4">
      <w:pPr>
        <w:shd w:val="clear" w:color="auto" w:fill="FFFFFF"/>
        <w:ind w:left="2268"/>
        <w:jc w:val="both"/>
        <w:rPr>
          <w:rFonts w:ascii="Arial" w:eastAsia="Times New Roman" w:hAnsi="Arial" w:cs="Arial"/>
          <w:sz w:val="20"/>
          <w:szCs w:val="20"/>
        </w:rPr>
      </w:pPr>
    </w:p>
    <w:p w:rsidR="005B06E4" w:rsidRPr="005B06E4" w:rsidRDefault="005B06E4" w:rsidP="005B06E4">
      <w:pPr>
        <w:pStyle w:val="Voto"/>
        <w:spacing w:line="240" w:lineRule="auto"/>
        <w:ind w:left="2268" w:firstLine="0"/>
        <w:rPr>
          <w:rFonts w:cs="Arial"/>
          <w:sz w:val="20"/>
        </w:rPr>
      </w:pPr>
      <w:r w:rsidRPr="005B06E4">
        <w:rPr>
          <w:rFonts w:cs="Arial"/>
          <w:b/>
          <w:i/>
          <w:sz w:val="20"/>
        </w:rPr>
        <w:t>SUSPENSÃO DOS EFEITOS DE MEDIDA LIMINAR. CORTE DO FORNECIMENTO DE ÁGUA A ÓRGÃOS DE PREFEITURA MUNICIPAL, POR FALTA DE PAGAMENTO</w:t>
      </w:r>
      <w:r w:rsidRPr="005B06E4">
        <w:rPr>
          <w:rFonts w:cs="Arial"/>
          <w:i/>
          <w:sz w:val="20"/>
        </w:rPr>
        <w:t xml:space="preserve">. </w:t>
      </w:r>
      <w:r w:rsidRPr="005B06E4">
        <w:rPr>
          <w:rFonts w:cs="Arial"/>
          <w:sz w:val="20"/>
        </w:rPr>
        <w:t xml:space="preserve">Mesmo quando o </w:t>
      </w:r>
      <w:r w:rsidRPr="005B06E4">
        <w:rPr>
          <w:rFonts w:cs="Arial"/>
          <w:b/>
          <w:sz w:val="20"/>
          <w:u w:val="single"/>
        </w:rPr>
        <w:t>consumidor é órgão público,</w:t>
      </w:r>
      <w:r w:rsidRPr="005B06E4">
        <w:rPr>
          <w:rFonts w:cs="Arial"/>
          <w:sz w:val="20"/>
        </w:rPr>
        <w:t xml:space="preserve"> o corte do fornecimento de água está autorizado por lei sempre que resultar da falta injustificada de pagamento, e desde que não afete a prestação de serviços públicos essenciais, </w:t>
      </w:r>
      <w:proofErr w:type="spellStart"/>
      <w:r w:rsidRPr="005B06E4">
        <w:rPr>
          <w:rFonts w:cs="Arial"/>
          <w:sz w:val="20"/>
        </w:rPr>
        <w:t>v.g.</w:t>
      </w:r>
      <w:proofErr w:type="spellEnd"/>
      <w:r w:rsidRPr="005B06E4">
        <w:rPr>
          <w:rFonts w:cs="Arial"/>
          <w:sz w:val="20"/>
        </w:rPr>
        <w:t xml:space="preserve">, hospitais, postos de saúde, creches, escolas; caso em que só os órgãos burocráticos foram afetados pela medida. </w:t>
      </w:r>
      <w:r w:rsidRPr="005B06E4">
        <w:rPr>
          <w:rFonts w:cs="Arial"/>
          <w:i/>
          <w:sz w:val="20"/>
        </w:rPr>
        <w:t xml:space="preserve">Agravo regimental provido. </w:t>
      </w:r>
      <w:r w:rsidRPr="005B06E4">
        <w:rPr>
          <w:rFonts w:cs="Arial"/>
          <w:b/>
          <w:sz w:val="20"/>
        </w:rPr>
        <w:t>(</w:t>
      </w:r>
      <w:proofErr w:type="spellStart"/>
      <w:proofErr w:type="gramStart"/>
      <w:r w:rsidRPr="005B06E4">
        <w:rPr>
          <w:rFonts w:cs="Arial"/>
          <w:sz w:val="20"/>
        </w:rPr>
        <w:t>AgRg</w:t>
      </w:r>
      <w:proofErr w:type="spellEnd"/>
      <w:proofErr w:type="gramEnd"/>
      <w:r w:rsidRPr="005B06E4">
        <w:rPr>
          <w:rFonts w:cs="Arial"/>
          <w:sz w:val="20"/>
        </w:rPr>
        <w:t xml:space="preserve"> na SS 1.764/PB, Rel. Ministro BARROS MONTEIRO, Rel. p/ Acórdão Ministro ARI PARGENDLER, CORTE ESPECIAL, julgado em 27/11/2008, </w:t>
      </w:r>
      <w:proofErr w:type="spellStart"/>
      <w:r w:rsidRPr="005B06E4">
        <w:rPr>
          <w:rFonts w:cs="Arial"/>
          <w:sz w:val="20"/>
        </w:rPr>
        <w:t>DJe</w:t>
      </w:r>
      <w:proofErr w:type="spellEnd"/>
      <w:r w:rsidRPr="005B06E4">
        <w:rPr>
          <w:rFonts w:cs="Arial"/>
          <w:sz w:val="20"/>
        </w:rPr>
        <w:t xml:space="preserve"> 16/03/2009).</w:t>
      </w:r>
    </w:p>
    <w:p w:rsidR="005B06E4" w:rsidRPr="005B06E4" w:rsidRDefault="005B06E4" w:rsidP="005B06E4">
      <w:pPr>
        <w:spacing w:line="360" w:lineRule="auto"/>
        <w:ind w:firstLine="708"/>
        <w:jc w:val="both"/>
        <w:rPr>
          <w:rStyle w:val="nomeproposicao"/>
          <w:rFonts w:ascii="Arial" w:hAnsi="Arial" w:cs="Arial"/>
        </w:rPr>
      </w:pPr>
      <w:r w:rsidRPr="005B06E4">
        <w:rPr>
          <w:rFonts w:ascii="Arial" w:hAnsi="Arial" w:cs="Arial"/>
        </w:rPr>
        <w:t xml:space="preserve">Sendo assim, o corte do fornecimento de serviços público essenciais deve respeitar tanto a razoabilidade quanto a proporcionalidade. Em relação aos débitos pretéritos, as dívidas são pessoais e intransferíveis. No caso da suposta fraude do medidor, houve violação ao mínimo existencial, por cortar unilateralmente (relação de consumo) o fornecimento do serviço. Já quando o consumidor é órgão público, pode-se interromper o fornecimento, mas não de forma indiscriminada. Quanto aos prazos, </w:t>
      </w:r>
      <w:r w:rsidRPr="005B06E4">
        <w:rPr>
          <w:rFonts w:ascii="Arial" w:hAnsi="Arial" w:cs="Arial"/>
          <w:bCs/>
        </w:rPr>
        <w:t xml:space="preserve">o aviso prévio, por lei, é a partir de 30 dias (água) e 15 dias (energia elétrica) questionados, sobretudo, com projetos de lei para dilatá-los </w:t>
      </w:r>
      <w:proofErr w:type="gramStart"/>
      <w:r w:rsidRPr="005B06E4">
        <w:rPr>
          <w:rFonts w:ascii="Arial" w:hAnsi="Arial" w:cs="Arial"/>
          <w:bCs/>
        </w:rPr>
        <w:t>a</w:t>
      </w:r>
      <w:proofErr w:type="gramEnd"/>
      <w:r w:rsidRPr="005B06E4">
        <w:rPr>
          <w:rFonts w:ascii="Arial" w:hAnsi="Arial" w:cs="Arial"/>
          <w:bCs/>
        </w:rPr>
        <w:t xml:space="preserve"> 60 dias ou mais (</w:t>
      </w:r>
      <w:r w:rsidRPr="005B06E4">
        <w:rPr>
          <w:rFonts w:ascii="Arial" w:hAnsi="Arial" w:cs="Arial"/>
          <w:shd w:val="clear" w:color="auto" w:fill="FFFFFF"/>
        </w:rPr>
        <w:t xml:space="preserve">PL495/2011 – 60 dias; </w:t>
      </w:r>
      <w:r w:rsidRPr="005B06E4">
        <w:rPr>
          <w:rStyle w:val="nomeproposicao"/>
          <w:rFonts w:ascii="Arial" w:hAnsi="Arial" w:cs="Arial"/>
        </w:rPr>
        <w:t>PL 5388/2009 – 120 dias).</w:t>
      </w:r>
    </w:p>
    <w:p w:rsidR="005B06E4" w:rsidRPr="005B06E4" w:rsidRDefault="005B06E4" w:rsidP="005B06E4">
      <w:pPr>
        <w:spacing w:line="360" w:lineRule="auto"/>
        <w:ind w:firstLine="708"/>
        <w:jc w:val="both"/>
        <w:rPr>
          <w:rStyle w:val="nomeproposicao"/>
          <w:rFonts w:ascii="Arial" w:hAnsi="Arial" w:cs="Arial"/>
        </w:rPr>
      </w:pPr>
    </w:p>
    <w:p w:rsidR="005B06E4" w:rsidRPr="005B06E4" w:rsidRDefault="005B06E4" w:rsidP="005B06E4">
      <w:pPr>
        <w:pStyle w:val="Cabealho"/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5B06E4">
        <w:rPr>
          <w:rFonts w:ascii="Arial" w:hAnsi="Arial" w:cs="Arial"/>
          <w:b/>
          <w:smallCaps/>
          <w:sz w:val="28"/>
          <w:szCs w:val="28"/>
        </w:rPr>
        <w:t>3. CONCLUSÃO;</w:t>
      </w:r>
    </w:p>
    <w:p w:rsidR="005B06E4" w:rsidRPr="005B06E4" w:rsidRDefault="005B06E4" w:rsidP="005B06E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06E4" w:rsidRPr="005B06E4" w:rsidRDefault="005B06E4" w:rsidP="005B06E4">
      <w:pPr>
        <w:spacing w:line="360" w:lineRule="auto"/>
        <w:ind w:firstLine="709"/>
        <w:jc w:val="both"/>
        <w:rPr>
          <w:rStyle w:val="nomeproposicao"/>
          <w:rFonts w:ascii="Arial" w:hAnsi="Arial" w:cs="Arial"/>
        </w:rPr>
      </w:pPr>
      <w:r w:rsidRPr="005B06E4">
        <w:rPr>
          <w:rStyle w:val="nomeproposicao"/>
          <w:rFonts w:ascii="Arial" w:hAnsi="Arial" w:cs="Arial"/>
        </w:rPr>
        <w:t xml:space="preserve">Diante do exposto, percebe-se uma corrente minoritária no empenho dos Tribunais e do Congresso Nacional para regulamentar a matéria, com intuito de minimizarem-se abusos e evitarem-se conflitos. Numa espécie de profilaxia, de um lado, juntam-se esforços para apaziguar a ânsia de litigar dos particulares; de outro, enquadrar os serviços públicos de água e energia como atividades essenciais. Por conseguinte, permanece uma “brecha” normativa, variável, a depender do tribunal, quanto à </w:t>
      </w:r>
      <w:proofErr w:type="spellStart"/>
      <w:r w:rsidRPr="005B06E4">
        <w:rPr>
          <w:rStyle w:val="nomeproposicao"/>
          <w:rFonts w:ascii="Arial" w:hAnsi="Arial" w:cs="Arial"/>
        </w:rPr>
        <w:t>essenciabilidade</w:t>
      </w:r>
      <w:proofErr w:type="spellEnd"/>
      <w:r w:rsidRPr="005B06E4">
        <w:rPr>
          <w:rStyle w:val="nomeproposicao"/>
          <w:rFonts w:ascii="Arial" w:hAnsi="Arial" w:cs="Arial"/>
        </w:rPr>
        <w:t xml:space="preserve"> desses serviços, gerando insegurança jurídica, haja vista os serviços essenciais decorrerem de uma prestação (art. 22 da lei 8078/96), portanto, arrecadados mediante tarifas.</w:t>
      </w:r>
    </w:p>
    <w:p w:rsidR="005B06E4" w:rsidRPr="005B06E4" w:rsidRDefault="005B06E4" w:rsidP="005B06E4">
      <w:pPr>
        <w:spacing w:line="360" w:lineRule="auto"/>
        <w:ind w:firstLine="709"/>
        <w:jc w:val="both"/>
        <w:rPr>
          <w:rStyle w:val="nomeproposicao"/>
          <w:rFonts w:ascii="Arial" w:hAnsi="Arial" w:cs="Arial"/>
        </w:rPr>
      </w:pPr>
      <w:r w:rsidRPr="005B06E4">
        <w:rPr>
          <w:rStyle w:val="nomeproposicao"/>
          <w:rFonts w:ascii="Arial" w:hAnsi="Arial" w:cs="Arial"/>
        </w:rPr>
        <w:t xml:space="preserve"> Ademais, há outro entrave no processo de prestação de serviço, como licitar, condição prévia da concessão, quando apenas uma empresa, em regra, atua nesse seara? Assim, percebe-se uma necessidade de melhores técnicas para as concessões, que ensejem mais segurança quanto à responsabilidade (art. 37, </w:t>
      </w:r>
      <w:r w:rsidRPr="005B06E4">
        <w:rPr>
          <w:rFonts w:ascii="Arial" w:hAnsi="Arial" w:cs="Arial"/>
          <w:bCs/>
        </w:rPr>
        <w:t xml:space="preserve">§ 6º da Constituição Federal de 1988) </w:t>
      </w:r>
      <w:r w:rsidRPr="005B06E4">
        <w:rPr>
          <w:rStyle w:val="nomeproposicao"/>
          <w:rFonts w:ascii="Arial" w:hAnsi="Arial" w:cs="Arial"/>
        </w:rPr>
        <w:t xml:space="preserve">das prestadoras e dos entes públicos. Sendo assim, a interrupção dos serviços públicos deve ponderar a dignidade humana com continuidade dos serviços públicos. </w:t>
      </w:r>
    </w:p>
    <w:p w:rsidR="005B06E4" w:rsidRPr="005B06E4" w:rsidRDefault="005B06E4" w:rsidP="005B06E4">
      <w:pPr>
        <w:spacing w:line="360" w:lineRule="auto"/>
        <w:jc w:val="both"/>
        <w:rPr>
          <w:rStyle w:val="nomeproposicao"/>
          <w:rFonts w:ascii="Arial" w:hAnsi="Arial" w:cs="Arial"/>
        </w:rPr>
      </w:pPr>
    </w:p>
    <w:p w:rsidR="005B06E4" w:rsidRPr="005B06E4" w:rsidRDefault="005B06E4" w:rsidP="005B06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5B06E4">
        <w:rPr>
          <w:rFonts w:ascii="Arial" w:hAnsi="Arial" w:cs="Arial"/>
          <w:b/>
          <w:smallCaps/>
          <w:sz w:val="28"/>
          <w:szCs w:val="28"/>
        </w:rPr>
        <w:t>4. REFERÊNCIAS;</w:t>
      </w:r>
    </w:p>
    <w:p w:rsidR="005B06E4" w:rsidRPr="005B06E4" w:rsidRDefault="005B06E4" w:rsidP="005B06E4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</w:rPr>
      </w:pPr>
    </w:p>
    <w:p w:rsidR="005B06E4" w:rsidRPr="005B06E4" w:rsidRDefault="005B06E4" w:rsidP="005B06E4">
      <w:pPr>
        <w:jc w:val="both"/>
        <w:rPr>
          <w:rFonts w:ascii="Arial" w:hAnsi="Arial" w:cs="Arial"/>
        </w:rPr>
      </w:pPr>
      <w:r w:rsidRPr="005B06E4">
        <w:rPr>
          <w:rFonts w:ascii="Arial" w:hAnsi="Arial" w:cs="Arial"/>
          <w:b/>
          <w:smallCaps/>
        </w:rPr>
        <w:t xml:space="preserve">DISTRITO FEDERAL. </w:t>
      </w:r>
      <w:r w:rsidRPr="005B06E4">
        <w:rPr>
          <w:rFonts w:ascii="Arial" w:hAnsi="Arial" w:cs="Arial"/>
        </w:rPr>
        <w:t xml:space="preserve">Tribunal de Justiça do Distrito Federal. </w:t>
      </w:r>
      <w:r w:rsidRPr="005B06E4">
        <w:rPr>
          <w:rFonts w:ascii="Arial" w:hAnsi="Arial" w:cs="Arial"/>
          <w:b/>
          <w:smallCaps/>
        </w:rPr>
        <w:t xml:space="preserve">. </w:t>
      </w:r>
      <w:r w:rsidRPr="005B06E4">
        <w:rPr>
          <w:rFonts w:ascii="Arial" w:hAnsi="Arial" w:cs="Arial"/>
        </w:rPr>
        <w:t xml:space="preserve">1ª Turma Cível.  Agravo de Instrumento 20130020110932AGI. </w:t>
      </w:r>
      <w:r w:rsidRPr="005B06E4">
        <w:rPr>
          <w:rFonts w:ascii="Arial" w:hAnsi="Arial" w:cs="Arial"/>
          <w:bCs/>
        </w:rPr>
        <w:t xml:space="preserve">Acórdão </w:t>
      </w:r>
      <w:r w:rsidRPr="005B06E4">
        <w:rPr>
          <w:rFonts w:ascii="Arial" w:hAnsi="Arial" w:cs="Arial"/>
        </w:rPr>
        <w:t>nº</w:t>
      </w:r>
      <w:r w:rsidRPr="005B06E4">
        <w:rPr>
          <w:rFonts w:ascii="Arial" w:hAnsi="Arial" w:cs="Arial"/>
          <w:bCs/>
        </w:rPr>
        <w:t xml:space="preserve"> </w:t>
      </w:r>
      <w:r w:rsidRPr="005B06E4">
        <w:rPr>
          <w:rFonts w:ascii="Arial" w:hAnsi="Arial" w:cs="Arial"/>
        </w:rPr>
        <w:t xml:space="preserve">689.967. Agravante: CAESB Companhia de Saneamento Ambiental do Distrito Federal. Agravado: Academia Barros de Melo LTDA. Relator: Desembargador Flavio </w:t>
      </w:r>
      <w:proofErr w:type="spellStart"/>
      <w:r w:rsidRPr="005B06E4">
        <w:rPr>
          <w:rFonts w:ascii="Arial" w:hAnsi="Arial" w:cs="Arial"/>
        </w:rPr>
        <w:t>Rostirola</w:t>
      </w:r>
      <w:proofErr w:type="spellEnd"/>
      <w:r w:rsidRPr="005B06E4">
        <w:rPr>
          <w:rFonts w:ascii="Arial" w:hAnsi="Arial" w:cs="Arial"/>
        </w:rPr>
        <w:t xml:space="preserve">. Brasília (DF), </w:t>
      </w:r>
      <w:proofErr w:type="gramStart"/>
      <w:r w:rsidRPr="005B06E4">
        <w:rPr>
          <w:rFonts w:ascii="Arial" w:hAnsi="Arial" w:cs="Arial"/>
        </w:rPr>
        <w:t>3</w:t>
      </w:r>
      <w:proofErr w:type="gramEnd"/>
      <w:r w:rsidRPr="005B06E4">
        <w:rPr>
          <w:rFonts w:ascii="Arial" w:hAnsi="Arial" w:cs="Arial"/>
        </w:rPr>
        <w:t xml:space="preserve"> de julho de 2013. </w:t>
      </w:r>
    </w:p>
    <w:p w:rsidR="005B06E4" w:rsidRPr="005B06E4" w:rsidRDefault="005B06E4" w:rsidP="005B06E4">
      <w:pPr>
        <w:jc w:val="both"/>
        <w:rPr>
          <w:rFonts w:ascii="Arial" w:hAnsi="Arial" w:cs="Arial"/>
        </w:rPr>
      </w:pPr>
    </w:p>
    <w:p w:rsidR="005B06E4" w:rsidRPr="005B06E4" w:rsidRDefault="005B06E4" w:rsidP="005B06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6E4">
        <w:rPr>
          <w:rFonts w:ascii="Arial" w:hAnsi="Arial" w:cs="Arial"/>
          <w:b/>
        </w:rPr>
        <w:t xml:space="preserve">SÃO PAULO. </w:t>
      </w:r>
      <w:r w:rsidRPr="005B06E4">
        <w:rPr>
          <w:rFonts w:ascii="Arial" w:hAnsi="Arial" w:cs="Arial"/>
        </w:rPr>
        <w:t>Tribunal de Justiça de São Paulo.</w:t>
      </w:r>
      <w:r w:rsidRPr="005B06E4">
        <w:rPr>
          <w:rFonts w:ascii="Arial" w:hAnsi="Arial" w:cs="Arial"/>
          <w:b/>
        </w:rPr>
        <w:t xml:space="preserve"> </w:t>
      </w:r>
      <w:r w:rsidRPr="005B06E4">
        <w:rPr>
          <w:rFonts w:ascii="Arial" w:hAnsi="Arial" w:cs="Arial"/>
          <w:bCs/>
        </w:rPr>
        <w:t xml:space="preserve">3ª Vara Cível – Marília. Apelação com Revisão </w:t>
      </w:r>
      <w:r w:rsidRPr="005B06E4">
        <w:rPr>
          <w:rFonts w:ascii="Arial" w:hAnsi="Arial" w:cs="Arial"/>
        </w:rPr>
        <w:t>nº 0011620-64.2011.8.26.0344</w:t>
      </w:r>
      <w:r w:rsidRPr="005B06E4">
        <w:rPr>
          <w:rFonts w:ascii="Arial" w:hAnsi="Arial" w:cs="Arial"/>
          <w:bCs/>
        </w:rPr>
        <w:t>.</w:t>
      </w:r>
      <w:r w:rsidRPr="005B06E4">
        <w:rPr>
          <w:rFonts w:ascii="Arial" w:hAnsi="Arial" w:cs="Arial"/>
        </w:rPr>
        <w:t xml:space="preserve"> Apelante: Ana Cláudia Moraes De Souza</w:t>
      </w:r>
      <w:r w:rsidRPr="005B06E4">
        <w:rPr>
          <w:rFonts w:ascii="Arial" w:hAnsi="Arial" w:cs="Arial"/>
          <w:bCs/>
        </w:rPr>
        <w:t xml:space="preserve">. </w:t>
      </w:r>
      <w:r w:rsidRPr="005B06E4">
        <w:rPr>
          <w:rFonts w:ascii="Arial" w:hAnsi="Arial" w:cs="Arial"/>
        </w:rPr>
        <w:t xml:space="preserve">Apelado: Departamento de Água e Esgoto de Marília </w:t>
      </w:r>
      <w:r w:rsidRPr="005B06E4">
        <w:rPr>
          <w:rFonts w:ascii="Arial" w:hAnsi="Arial" w:cs="Arial"/>
          <w:bCs/>
        </w:rPr>
        <w:t xml:space="preserve">– DAEM. Relator: Mendes Gomes. </w:t>
      </w:r>
      <w:r w:rsidRPr="005B06E4">
        <w:rPr>
          <w:rFonts w:ascii="Arial" w:hAnsi="Arial" w:cs="Arial"/>
        </w:rPr>
        <w:t xml:space="preserve">São Paulo, 30 de julho de 2012. </w:t>
      </w:r>
    </w:p>
    <w:p w:rsidR="005B06E4" w:rsidRPr="005B06E4" w:rsidRDefault="005B06E4" w:rsidP="005B06E4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</w:rPr>
      </w:pPr>
    </w:p>
    <w:p w:rsidR="005B06E4" w:rsidRPr="005B06E4" w:rsidRDefault="005B06E4" w:rsidP="005B06E4">
      <w:pPr>
        <w:jc w:val="both"/>
        <w:rPr>
          <w:rFonts w:ascii="Arial" w:hAnsi="Arial" w:cs="Arial"/>
        </w:rPr>
      </w:pPr>
      <w:r w:rsidRPr="005B06E4">
        <w:rPr>
          <w:rFonts w:ascii="Arial" w:hAnsi="Arial" w:cs="Arial"/>
          <w:b/>
          <w:smallCaps/>
        </w:rPr>
        <w:t xml:space="preserve">BRASIL. </w:t>
      </w:r>
      <w:r w:rsidRPr="005B06E4">
        <w:rPr>
          <w:rFonts w:ascii="Arial" w:hAnsi="Arial" w:cs="Arial"/>
        </w:rPr>
        <w:t xml:space="preserve">Câmara dos Deputados. Projeto de Lei nº 495/2011. </w:t>
      </w:r>
      <w:r w:rsidRPr="005B06E4">
        <w:rPr>
          <w:rFonts w:ascii="Arial" w:hAnsi="Arial" w:cs="Arial"/>
          <w:shd w:val="clear" w:color="auto" w:fill="FFFFFF"/>
        </w:rPr>
        <w:t xml:space="preserve">Proíbe a interrupção da prestação dos serviços públicos de energia elétrica e de água e esgoto por atraso de até sessenta dias no pagamento das faturas, e dá outras providências. Disponível </w:t>
      </w:r>
      <w:proofErr w:type="gramStart"/>
      <w:r w:rsidRPr="005B06E4">
        <w:rPr>
          <w:rFonts w:ascii="Arial" w:hAnsi="Arial" w:cs="Arial"/>
          <w:shd w:val="clear" w:color="auto" w:fill="FFFFFF"/>
        </w:rPr>
        <w:t>em:</w:t>
      </w:r>
      <w:proofErr w:type="gramEnd"/>
      <w:hyperlink r:id="rId6" w:history="1">
        <w:r w:rsidRPr="005B06E4">
          <w:rPr>
            <w:rStyle w:val="Hyperlink"/>
            <w:rFonts w:ascii="Arial" w:hAnsi="Arial" w:cs="Arial"/>
            <w:color w:val="auto"/>
          </w:rPr>
          <w:t>http://www.camara.gov.br/proposicoesWeb/prop_mostrarintegra;jsessionid=C30FB57735593A9812E75DB109D07F04.node1?codteor=843206&amp;filename=PL+495/2011</w:t>
        </w:r>
      </w:hyperlink>
      <w:r w:rsidRPr="005B06E4">
        <w:rPr>
          <w:rFonts w:ascii="Arial" w:hAnsi="Arial" w:cs="Arial"/>
        </w:rPr>
        <w:t xml:space="preserve">. Acessado em 16/12/2013. </w:t>
      </w:r>
    </w:p>
    <w:p w:rsidR="005B06E4" w:rsidRPr="005B06E4" w:rsidRDefault="005B06E4" w:rsidP="005B06E4">
      <w:pPr>
        <w:jc w:val="both"/>
        <w:rPr>
          <w:rFonts w:ascii="Arial" w:hAnsi="Arial" w:cs="Arial"/>
        </w:rPr>
      </w:pPr>
    </w:p>
    <w:p w:rsidR="005B06E4" w:rsidRPr="005B06E4" w:rsidRDefault="005B06E4" w:rsidP="005B06E4">
      <w:pPr>
        <w:jc w:val="both"/>
        <w:rPr>
          <w:rFonts w:ascii="Arial" w:hAnsi="Arial" w:cs="Arial"/>
        </w:rPr>
      </w:pPr>
      <w:r w:rsidRPr="005B06E4">
        <w:rPr>
          <w:rFonts w:ascii="Arial" w:hAnsi="Arial" w:cs="Arial"/>
          <w:b/>
        </w:rPr>
        <w:t>BRASIL</w:t>
      </w:r>
      <w:r w:rsidRPr="005B06E4">
        <w:rPr>
          <w:rFonts w:ascii="Arial" w:hAnsi="Arial" w:cs="Arial"/>
        </w:rPr>
        <w:t xml:space="preserve">. Câmara dos Deputados. Projeto de Lei nº </w:t>
      </w:r>
      <w:r w:rsidRPr="005B06E4">
        <w:rPr>
          <w:rStyle w:val="nomeproposicao"/>
          <w:rFonts w:ascii="Arial" w:hAnsi="Arial" w:cs="Arial"/>
        </w:rPr>
        <w:t xml:space="preserve">5388/2009. </w:t>
      </w:r>
      <w:r w:rsidRPr="005B06E4">
        <w:rPr>
          <w:rFonts w:ascii="Arial" w:hAnsi="Arial" w:cs="Arial"/>
          <w:shd w:val="clear" w:color="auto" w:fill="FFFFFF"/>
        </w:rPr>
        <w:t xml:space="preserve">Altera a Lei nº 8.987, de 13 de fevereiro de 1995, para determinar o aviso prévio de cento e vinte dias imprescindível à interrupção dos serviços de telefonia, fornecimento de água e de energia elétrica por inadimplemento do usuário, e para proibir expressamente a interrupção dos mesmos serviços quando oferecidos a consumidor que preste serviço público ou essencial à população. Disponível em: </w:t>
      </w:r>
      <w:hyperlink r:id="rId7" w:history="1">
        <w:r w:rsidRPr="005B06E4">
          <w:rPr>
            <w:rStyle w:val="Hyperlink"/>
            <w:rFonts w:ascii="Arial" w:hAnsi="Arial" w:cs="Arial"/>
            <w:color w:val="auto"/>
          </w:rPr>
          <w:t>http://www.camara.gov.br/proposicoesWeb/prop_mostrarintegra?codteor=663432&amp;filename=PL+5388/2009</w:t>
        </w:r>
      </w:hyperlink>
      <w:r w:rsidRPr="005B06E4">
        <w:rPr>
          <w:rFonts w:ascii="Arial" w:hAnsi="Arial" w:cs="Arial"/>
        </w:rPr>
        <w:t xml:space="preserve">. Acessado em 16/12/2013. </w:t>
      </w:r>
    </w:p>
    <w:p w:rsidR="00B54D01" w:rsidRPr="005B06E4" w:rsidRDefault="00B54D01"/>
    <w:sectPr w:rsidR="00B54D01" w:rsidRPr="005B06E4" w:rsidSect="00862975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E4" w:rsidRDefault="005B06E4" w:rsidP="005B06E4">
      <w:r>
        <w:separator/>
      </w:r>
    </w:p>
  </w:endnote>
  <w:endnote w:type="continuationSeparator" w:id="0">
    <w:p w:rsidR="005B06E4" w:rsidRDefault="005B06E4" w:rsidP="005B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C" w:rsidRDefault="005B06E4" w:rsidP="00454716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8C" w:rsidRDefault="005B06E4">
    <w:pPr>
      <w:pStyle w:val="Rodap"/>
      <w:jc w:val="right"/>
    </w:pPr>
  </w:p>
  <w:p w:rsidR="0007218C" w:rsidRDefault="005B06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E4" w:rsidRDefault="005B06E4" w:rsidP="005B06E4">
      <w:r>
        <w:separator/>
      </w:r>
    </w:p>
  </w:footnote>
  <w:footnote w:type="continuationSeparator" w:id="0">
    <w:p w:rsidR="005B06E4" w:rsidRDefault="005B06E4" w:rsidP="005B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34" w:type="dxa"/>
      <w:tblInd w:w="-1418" w:type="dxa"/>
      <w:tblLook w:val="04A0"/>
    </w:tblPr>
    <w:tblGrid>
      <w:gridCol w:w="5867"/>
      <w:gridCol w:w="5867"/>
    </w:tblGrid>
    <w:tr w:rsidR="00CD0497" w:rsidTr="00FF4F28">
      <w:trPr>
        <w:trHeight w:val="717"/>
      </w:trPr>
      <w:tc>
        <w:tcPr>
          <w:tcW w:w="5867" w:type="dxa"/>
        </w:tcPr>
        <w:p w:rsidR="00CD0497" w:rsidRPr="00107AA0" w:rsidRDefault="005B06E4" w:rsidP="00F94EFC">
          <w:pPr>
            <w:tabs>
              <w:tab w:val="left" w:pos="2205"/>
            </w:tabs>
            <w:rPr>
              <w:rFonts w:ascii="Trebuchet MS" w:eastAsia="Times New Roman" w:hAnsi="Trebuchet MS" w:cs="Arial"/>
              <w:sz w:val="40"/>
              <w:szCs w:val="40"/>
            </w:rPr>
          </w:pPr>
        </w:p>
      </w:tc>
      <w:tc>
        <w:tcPr>
          <w:tcW w:w="5867" w:type="dxa"/>
        </w:tcPr>
        <w:p w:rsidR="00CD0497" w:rsidRPr="00107AA0" w:rsidRDefault="005B06E4" w:rsidP="00FF4F28">
          <w:pPr>
            <w:pStyle w:val="Rodap"/>
            <w:tabs>
              <w:tab w:val="clear" w:pos="4252"/>
              <w:tab w:val="center" w:pos="3773"/>
            </w:tabs>
            <w:ind w:right="319"/>
            <w:jc w:val="right"/>
            <w:rPr>
              <w:rFonts w:eastAsia="Times New Roman"/>
              <w:sz w:val="16"/>
              <w:szCs w:val="16"/>
            </w:rPr>
          </w:pPr>
        </w:p>
      </w:tc>
    </w:tr>
  </w:tbl>
  <w:p w:rsidR="0007218C" w:rsidRDefault="005B06E4" w:rsidP="00F94E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B06E4"/>
    <w:rsid w:val="005B06E4"/>
    <w:rsid w:val="008C10D2"/>
    <w:rsid w:val="00B5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B0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6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B0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6E4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06E4"/>
    <w:rPr>
      <w:color w:val="0000FF"/>
      <w:u w:val="single"/>
    </w:rPr>
  </w:style>
  <w:style w:type="paragraph" w:styleId="NormalWeb">
    <w:name w:val="Normal (Web)"/>
    <w:basedOn w:val="Normal"/>
    <w:uiPriority w:val="99"/>
    <w:rsid w:val="005B06E4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B06E4"/>
    <w:rPr>
      <w:i/>
      <w:iCs/>
    </w:rPr>
  </w:style>
  <w:style w:type="character" w:customStyle="1" w:styleId="nomeproposicao">
    <w:name w:val="nomeproposicao"/>
    <w:basedOn w:val="Fontepargpadro"/>
    <w:rsid w:val="005B06E4"/>
  </w:style>
  <w:style w:type="paragraph" w:customStyle="1" w:styleId="Voto">
    <w:name w:val="Voto"/>
    <w:basedOn w:val="Normal"/>
    <w:rsid w:val="005B06E4"/>
    <w:pPr>
      <w:spacing w:before="120" w:after="120" w:line="360" w:lineRule="auto"/>
      <w:ind w:firstLine="2835"/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mara.gov.br/proposicoesWeb/prop_mostrarintegra?codteor=663432&amp;filename=PL+5388/2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.gov.br/proposicoesWeb/prop_mostrarintegra;jsessionid=C30FB57735593A9812E75DB109D07F04.node1?codteor=843206&amp;filename=PL+495/201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Tatiane</cp:lastModifiedBy>
  <cp:revision>1</cp:revision>
  <dcterms:created xsi:type="dcterms:W3CDTF">2014-02-13T18:26:00Z</dcterms:created>
  <dcterms:modified xsi:type="dcterms:W3CDTF">2014-02-13T18:29:00Z</dcterms:modified>
</cp:coreProperties>
</file>