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2F" w:rsidRDefault="00417EB8" w:rsidP="004E29DC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RESUMO: A</w:t>
      </w:r>
      <w:r w:rsidRPr="00432B6D">
        <w:rPr>
          <w:rFonts w:ascii="Times New Roman" w:hAnsi="Times New Roman" w:cs="Times New Roman"/>
          <w:sz w:val="24"/>
          <w:szCs w:val="24"/>
        </w:rPr>
        <w:t>posentadoria rural</w:t>
      </w:r>
      <w:r>
        <w:rPr>
          <w:rFonts w:ascii="Times New Roman" w:hAnsi="Times New Roman" w:cs="Times New Roman"/>
          <w:sz w:val="24"/>
          <w:szCs w:val="24"/>
        </w:rPr>
        <w:t xml:space="preserve"> por meio de prova material</w:t>
      </w:r>
    </w:p>
    <w:p w:rsidR="00432B6D" w:rsidRDefault="00432B6D" w:rsidP="004E29DC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32B6D" w:rsidRDefault="00432B6D" w:rsidP="004E29DC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aposentadoria ru</w:t>
      </w:r>
      <w:r w:rsidR="00641FCA">
        <w:rPr>
          <w:rFonts w:ascii="Times New Roman" w:hAnsi="Times New Roman" w:cs="Times New Roman"/>
          <w:sz w:val="24"/>
          <w:szCs w:val="24"/>
        </w:rPr>
        <w:t>ral é um benefício concedido aos</w:t>
      </w:r>
      <w:r>
        <w:rPr>
          <w:rFonts w:ascii="Times New Roman" w:hAnsi="Times New Roman" w:cs="Times New Roman"/>
          <w:sz w:val="24"/>
          <w:szCs w:val="24"/>
        </w:rPr>
        <w:t xml:space="preserve"> trabalhadores agrícolas, que façam dessa sua atividade principal e que dela dependam</w:t>
      </w:r>
      <w:r w:rsidR="00CF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viver.</w:t>
      </w:r>
    </w:p>
    <w:p w:rsidR="00432B6D" w:rsidRDefault="00432B6D" w:rsidP="004E29DC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art. 11 da Lei 8.213/91 prevê como segurado especial obrigatório da Previdência Social, o produtor, usufrutuário, possuidor, assentado, parceiro ou meeiro outorgados, comodatário ou arrendatário que expore atividade agropecuária, de seringueiro ou extrativista vegetal, pescador artesanal ou semelhante a este.</w:t>
      </w:r>
    </w:p>
    <w:p w:rsidR="009C3C30" w:rsidRDefault="009C3C30" w:rsidP="004E29DC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atividade rural pode ser tanto individual como familiar. Quando se trata de regime de economia familiar deve-se ter em mente que toda a família colabora no labor rurícola, tendo em vista que este é um meio indispensável à subsitência de todos.</w:t>
      </w:r>
    </w:p>
    <w:p w:rsidR="00641FCA" w:rsidRDefault="00CF4302" w:rsidP="004E29DC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48 da Lei 8.213/91 prevê que o benefício é concedido quando o rurícola completa a idade de 60 anos se for homen e 55 anos se for mulher. Entretanto a idade não é o único requisito a ser observado para que seja concedida a aposentadoria. O trabalhad</w:t>
      </w:r>
      <w:r w:rsidR="00641FCA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deve comprovar também </w:t>
      </w:r>
      <w:r w:rsidR="00641FCA">
        <w:rPr>
          <w:rFonts w:ascii="Times New Roman" w:hAnsi="Times New Roman" w:cs="Times New Roman"/>
          <w:sz w:val="24"/>
          <w:szCs w:val="24"/>
        </w:rPr>
        <w:t>sua atividade rural.</w:t>
      </w:r>
      <w:r w:rsidR="009C3C30">
        <w:rPr>
          <w:rFonts w:ascii="Times New Roman" w:hAnsi="Times New Roman" w:cs="Times New Roman"/>
          <w:sz w:val="24"/>
          <w:szCs w:val="24"/>
        </w:rPr>
        <w:t xml:space="preserve"> Ao conjunto de provas que comprovem a atividade rural denomina-se prova material</w:t>
      </w:r>
      <w:r w:rsidR="00A92206">
        <w:rPr>
          <w:rFonts w:ascii="Times New Roman" w:hAnsi="Times New Roman" w:cs="Times New Roman"/>
          <w:sz w:val="24"/>
          <w:szCs w:val="24"/>
        </w:rPr>
        <w:t>.</w:t>
      </w:r>
    </w:p>
    <w:p w:rsidR="009C3C30" w:rsidRDefault="00A92206" w:rsidP="004E29DC">
      <w:p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art. 55 da Lei 8.213/91 prevê que o tempo de serviço deve ser considerado quando fundamentado em início de prova material corroborado pela prova testemunhal, sendo que a prova testemunhal sozinha não surtirá efeito. As provas materias podem ser:</w:t>
      </w:r>
    </w:p>
    <w:p w:rsidR="009C3C30" w:rsidRDefault="009C3C30" w:rsidP="004E29DC">
      <w:pPr>
        <w:pStyle w:val="NormalWeb"/>
        <w:spacing w:line="360" w:lineRule="auto"/>
        <w:ind w:left="2124" w:right="-568"/>
        <w:jc w:val="both"/>
        <w:rPr>
          <w:color w:val="000000"/>
          <w:sz w:val="22"/>
          <w:szCs w:val="22"/>
        </w:rPr>
      </w:pPr>
      <w:r w:rsidRPr="009C3C30">
        <w:rPr>
          <w:color w:val="000000"/>
          <w:sz w:val="22"/>
          <w:szCs w:val="22"/>
        </w:rPr>
        <w:t> </w:t>
      </w:r>
      <w:r w:rsidRPr="009C3C30">
        <w:rPr>
          <w:rStyle w:val="apple-converted-space"/>
          <w:color w:val="000000"/>
          <w:sz w:val="22"/>
          <w:szCs w:val="22"/>
        </w:rPr>
        <w:t> </w:t>
      </w:r>
      <w:bookmarkStart w:id="0" w:name="art106..."/>
      <w:bookmarkEnd w:id="0"/>
      <w:r w:rsidRPr="009C3C30">
        <w:rPr>
          <w:color w:val="000000"/>
          <w:sz w:val="22"/>
          <w:szCs w:val="22"/>
        </w:rPr>
        <w:t>Art. 106.  A comprovação do exercício de atividade rural será feita, alternativamente, por meio de: </w:t>
      </w:r>
    </w:p>
    <w:p w:rsidR="009C3C30" w:rsidRPr="009C3C30" w:rsidRDefault="009C3C30" w:rsidP="004E29DC">
      <w:pPr>
        <w:pStyle w:val="NormalWeb"/>
        <w:spacing w:line="360" w:lineRule="auto"/>
        <w:ind w:left="2124" w:right="-568"/>
        <w:jc w:val="both"/>
        <w:rPr>
          <w:color w:val="000000"/>
          <w:sz w:val="22"/>
          <w:szCs w:val="22"/>
        </w:rPr>
      </w:pPr>
      <w:r w:rsidRPr="009C3C30">
        <w:rPr>
          <w:color w:val="000000"/>
          <w:sz w:val="22"/>
          <w:szCs w:val="22"/>
        </w:rPr>
        <w:t xml:space="preserve">        I – contrato individual de trabalho ou Carteira de Trabalho e Previdência Social;  </w:t>
      </w:r>
      <w:proofErr w:type="gramStart"/>
    </w:p>
    <w:p w:rsidR="009C3C30" w:rsidRDefault="009C3C30" w:rsidP="004E29DC">
      <w:pPr>
        <w:pStyle w:val="NormalWeb"/>
        <w:spacing w:line="360" w:lineRule="auto"/>
        <w:ind w:left="2124" w:right="-568"/>
        <w:jc w:val="both"/>
        <w:rPr>
          <w:color w:val="000000"/>
          <w:sz w:val="22"/>
          <w:szCs w:val="22"/>
        </w:rPr>
      </w:pPr>
      <w:proofErr w:type="gramEnd"/>
      <w:r w:rsidRPr="009C3C30">
        <w:rPr>
          <w:color w:val="000000"/>
          <w:sz w:val="22"/>
          <w:szCs w:val="22"/>
        </w:rPr>
        <w:t>        II – contrato de arrendamento, parceria ou comodato rural; </w:t>
      </w:r>
    </w:p>
    <w:p w:rsidR="009C3C30" w:rsidRPr="009C3C30" w:rsidRDefault="009C3C30" w:rsidP="004E29DC">
      <w:pPr>
        <w:pStyle w:val="NormalWeb"/>
        <w:spacing w:line="360" w:lineRule="auto"/>
        <w:ind w:left="2124" w:right="-568"/>
        <w:jc w:val="both"/>
        <w:rPr>
          <w:color w:val="000000"/>
          <w:sz w:val="22"/>
          <w:szCs w:val="22"/>
        </w:rPr>
      </w:pPr>
      <w:r w:rsidRPr="009C3C30">
        <w:rPr>
          <w:color w:val="000000"/>
          <w:sz w:val="22"/>
          <w:szCs w:val="22"/>
        </w:rPr>
        <w:t>        III – declaração fundamentada de sindicato que represente o trabalhador rural ou, quando for o caso, de sindicato ou colônia de pescadores, desde que homologada pelo Instituto Nacional do Seguro Social – INSS; </w:t>
      </w:r>
      <w:proofErr w:type="gramStart"/>
      <w:r w:rsidRPr="009C3C30">
        <w:rPr>
          <w:color w:val="000000"/>
          <w:sz w:val="22"/>
          <w:szCs w:val="22"/>
        </w:rPr>
        <w:t xml:space="preserve"> </w:t>
      </w:r>
    </w:p>
    <w:p w:rsidR="009C3C30" w:rsidRDefault="009C3C30" w:rsidP="004E29DC">
      <w:pPr>
        <w:pStyle w:val="NormalWeb"/>
        <w:spacing w:line="360" w:lineRule="auto"/>
        <w:ind w:left="2124" w:right="-568"/>
        <w:jc w:val="both"/>
        <w:rPr>
          <w:color w:val="000000"/>
          <w:sz w:val="22"/>
          <w:szCs w:val="22"/>
        </w:rPr>
      </w:pPr>
      <w:proofErr w:type="gramEnd"/>
      <w:r w:rsidRPr="009C3C30">
        <w:rPr>
          <w:color w:val="000000"/>
          <w:sz w:val="22"/>
          <w:szCs w:val="22"/>
        </w:rPr>
        <w:lastRenderedPageBreak/>
        <w:t>        IV – comprovante de cadastro do Instituto Nacional de Colonização e Reforma Agrária – INCRA, no caso de produtores em regime de economia familiar; </w:t>
      </w:r>
    </w:p>
    <w:p w:rsidR="009C3C30" w:rsidRDefault="009C3C30" w:rsidP="004E29DC">
      <w:pPr>
        <w:pStyle w:val="NormalWeb"/>
        <w:spacing w:line="360" w:lineRule="auto"/>
        <w:ind w:left="2124" w:right="-568"/>
        <w:jc w:val="both"/>
        <w:rPr>
          <w:color w:val="000000"/>
          <w:sz w:val="22"/>
          <w:szCs w:val="22"/>
        </w:rPr>
      </w:pPr>
      <w:r w:rsidRPr="009C3C30">
        <w:rPr>
          <w:color w:val="000000"/>
          <w:sz w:val="22"/>
          <w:szCs w:val="22"/>
        </w:rPr>
        <w:t>        V – bloco de notas do produtor rural; </w:t>
      </w:r>
    </w:p>
    <w:p w:rsidR="009C3C30" w:rsidRDefault="009C3C30" w:rsidP="004E29DC">
      <w:pPr>
        <w:pStyle w:val="NormalWeb"/>
        <w:spacing w:line="360" w:lineRule="auto"/>
        <w:ind w:left="2124" w:right="-568"/>
        <w:jc w:val="both"/>
        <w:rPr>
          <w:color w:val="000000"/>
          <w:sz w:val="22"/>
          <w:szCs w:val="22"/>
        </w:rPr>
      </w:pPr>
      <w:r w:rsidRPr="009C3C30">
        <w:rPr>
          <w:color w:val="000000"/>
          <w:sz w:val="22"/>
          <w:szCs w:val="22"/>
        </w:rPr>
        <w:t>        VI – notas fiscais de entrada de mercadorias, de que trata o</w:t>
      </w:r>
      <w:r w:rsidRPr="009C3C30">
        <w:rPr>
          <w:rStyle w:val="apple-converted-space"/>
          <w:color w:val="000000"/>
          <w:sz w:val="22"/>
          <w:szCs w:val="22"/>
        </w:rPr>
        <w:t> </w:t>
      </w:r>
      <w:hyperlink r:id="rId4" w:anchor="art30§7" w:history="1">
        <w:r w:rsidRPr="009C3C30">
          <w:rPr>
            <w:rStyle w:val="Hyperlink"/>
            <w:sz w:val="22"/>
            <w:szCs w:val="22"/>
          </w:rPr>
          <w:t>§ 7</w:t>
        </w:r>
        <w:r w:rsidRPr="009C3C30">
          <w:rPr>
            <w:rStyle w:val="Hyperlink"/>
            <w:sz w:val="22"/>
            <w:szCs w:val="22"/>
            <w:vertAlign w:val="superscript"/>
          </w:rPr>
          <w:t>o</w:t>
        </w:r>
        <w:r w:rsidRPr="009C3C30">
          <w:rPr>
            <w:rStyle w:val="apple-converted-space"/>
            <w:color w:val="0000FF"/>
            <w:sz w:val="22"/>
            <w:szCs w:val="22"/>
            <w:u w:val="single"/>
          </w:rPr>
          <w:t> </w:t>
        </w:r>
        <w:r w:rsidRPr="009C3C30">
          <w:rPr>
            <w:rStyle w:val="Hyperlink"/>
            <w:sz w:val="22"/>
            <w:szCs w:val="22"/>
          </w:rPr>
          <w:t>do art. 30 da Lei n</w:t>
        </w:r>
        <w:r w:rsidRPr="009C3C30">
          <w:rPr>
            <w:rStyle w:val="Hyperlink"/>
            <w:sz w:val="22"/>
            <w:szCs w:val="22"/>
            <w:vertAlign w:val="superscript"/>
          </w:rPr>
          <w:t>o</w:t>
        </w:r>
        <w:r w:rsidRPr="009C3C30">
          <w:rPr>
            <w:rStyle w:val="apple-converted-space"/>
            <w:color w:val="0000FF"/>
            <w:sz w:val="22"/>
            <w:szCs w:val="22"/>
            <w:u w:val="single"/>
          </w:rPr>
          <w:t> </w:t>
        </w:r>
        <w:r w:rsidRPr="009C3C30">
          <w:rPr>
            <w:rStyle w:val="Hyperlink"/>
            <w:sz w:val="22"/>
            <w:szCs w:val="22"/>
          </w:rPr>
          <w:t>8.212, de 24 de julho de 1991</w:t>
        </w:r>
      </w:hyperlink>
      <w:r w:rsidRPr="009C3C30">
        <w:rPr>
          <w:color w:val="000000"/>
          <w:sz w:val="22"/>
          <w:szCs w:val="22"/>
        </w:rPr>
        <w:t>, emitidas pela empresa adquirente da produção, com indicação do nome do segurado como vendedor; </w:t>
      </w:r>
    </w:p>
    <w:p w:rsidR="009C3C30" w:rsidRDefault="009C3C30" w:rsidP="004E29DC">
      <w:pPr>
        <w:pStyle w:val="NormalWeb"/>
        <w:spacing w:line="360" w:lineRule="auto"/>
        <w:ind w:left="2124" w:right="-568"/>
        <w:jc w:val="both"/>
        <w:rPr>
          <w:color w:val="000000"/>
          <w:sz w:val="22"/>
          <w:szCs w:val="22"/>
        </w:rPr>
      </w:pPr>
      <w:r w:rsidRPr="009C3C30">
        <w:rPr>
          <w:color w:val="000000"/>
          <w:sz w:val="22"/>
          <w:szCs w:val="22"/>
        </w:rPr>
        <w:t xml:space="preserve">        VII – documentos fiscais relativos </w:t>
      </w:r>
      <w:proofErr w:type="gramStart"/>
      <w:r w:rsidRPr="009C3C30">
        <w:rPr>
          <w:color w:val="000000"/>
          <w:sz w:val="22"/>
          <w:szCs w:val="22"/>
        </w:rPr>
        <w:t>a</w:t>
      </w:r>
      <w:proofErr w:type="gramEnd"/>
      <w:r w:rsidRPr="009C3C30">
        <w:rPr>
          <w:color w:val="000000"/>
          <w:sz w:val="22"/>
          <w:szCs w:val="22"/>
        </w:rPr>
        <w:t xml:space="preserve"> entrega de produção rural à cooperativa agrícola, entreposto de pescado ou outros, com indicação do segurado como vendedor ou consignante; </w:t>
      </w:r>
    </w:p>
    <w:p w:rsidR="009C3C30" w:rsidRDefault="009C3C30" w:rsidP="004E29DC">
      <w:pPr>
        <w:pStyle w:val="NormalWeb"/>
        <w:spacing w:line="360" w:lineRule="auto"/>
        <w:ind w:left="2124" w:right="-568"/>
        <w:jc w:val="both"/>
        <w:rPr>
          <w:color w:val="000000"/>
          <w:sz w:val="22"/>
          <w:szCs w:val="22"/>
        </w:rPr>
      </w:pPr>
      <w:r w:rsidRPr="009C3C30">
        <w:rPr>
          <w:color w:val="000000"/>
          <w:sz w:val="22"/>
          <w:szCs w:val="22"/>
        </w:rPr>
        <w:t>        VIII – comprovantes de recolhimento de contribuição à Previdência Social decorrentes da comercialização da produção; </w:t>
      </w:r>
    </w:p>
    <w:p w:rsidR="009C3C30" w:rsidRDefault="009C3C30" w:rsidP="004E29DC">
      <w:pPr>
        <w:pStyle w:val="NormalWeb"/>
        <w:spacing w:line="360" w:lineRule="auto"/>
        <w:ind w:left="2124" w:right="-568"/>
        <w:jc w:val="both"/>
        <w:rPr>
          <w:color w:val="000000"/>
          <w:sz w:val="22"/>
          <w:szCs w:val="22"/>
        </w:rPr>
      </w:pPr>
      <w:r w:rsidRPr="009C3C30">
        <w:rPr>
          <w:color w:val="000000"/>
          <w:sz w:val="22"/>
          <w:szCs w:val="22"/>
        </w:rPr>
        <w:t xml:space="preserve">        IX – cópia da declaração de imposto de renda, com indicação de renda proveniente da comercialização de produção rural; </w:t>
      </w:r>
      <w:proofErr w:type="gramStart"/>
      <w:r w:rsidRPr="009C3C30">
        <w:rPr>
          <w:color w:val="000000"/>
          <w:sz w:val="22"/>
          <w:szCs w:val="22"/>
        </w:rPr>
        <w:t>ou</w:t>
      </w:r>
      <w:proofErr w:type="gramEnd"/>
      <w:r w:rsidRPr="009C3C30">
        <w:rPr>
          <w:color w:val="000000"/>
          <w:sz w:val="22"/>
          <w:szCs w:val="22"/>
        </w:rPr>
        <w:t> </w:t>
      </w:r>
    </w:p>
    <w:p w:rsidR="00A92206" w:rsidRDefault="009C3C30" w:rsidP="004E29DC">
      <w:pPr>
        <w:pStyle w:val="NormalWeb"/>
        <w:spacing w:line="360" w:lineRule="auto"/>
        <w:ind w:left="2124" w:right="-568"/>
        <w:jc w:val="both"/>
        <w:rPr>
          <w:color w:val="000000"/>
          <w:sz w:val="22"/>
          <w:szCs w:val="22"/>
        </w:rPr>
      </w:pPr>
      <w:r w:rsidRPr="009C3C30">
        <w:rPr>
          <w:color w:val="000000"/>
          <w:sz w:val="22"/>
          <w:szCs w:val="22"/>
        </w:rPr>
        <w:t xml:space="preserve">        X – licença de ocupação ou permissão outorgada pelo </w:t>
      </w:r>
      <w:proofErr w:type="gramStart"/>
      <w:r w:rsidRPr="009C3C30">
        <w:rPr>
          <w:color w:val="000000"/>
          <w:sz w:val="22"/>
          <w:szCs w:val="22"/>
        </w:rPr>
        <w:t>Inc</w:t>
      </w:r>
      <w:r w:rsidR="00A92206">
        <w:rPr>
          <w:color w:val="000000"/>
          <w:sz w:val="22"/>
          <w:szCs w:val="22"/>
        </w:rPr>
        <w:t>ra</w:t>
      </w:r>
      <w:proofErr w:type="gramEnd"/>
      <w:r w:rsidR="00A92206">
        <w:rPr>
          <w:color w:val="000000"/>
          <w:sz w:val="22"/>
          <w:szCs w:val="22"/>
        </w:rPr>
        <w:t>.</w:t>
      </w:r>
    </w:p>
    <w:p w:rsidR="00A92206" w:rsidRDefault="00D84E85" w:rsidP="004E29DC">
      <w:pPr>
        <w:pStyle w:val="NormalWeb"/>
        <w:spacing w:line="360" w:lineRule="auto"/>
        <w:ind w:right="-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 documentos</w:t>
      </w:r>
      <w:r w:rsidR="00A92206">
        <w:rPr>
          <w:color w:val="000000"/>
          <w:sz w:val="22"/>
          <w:szCs w:val="22"/>
        </w:rPr>
        <w:t xml:space="preserve"> citados</w:t>
      </w:r>
      <w:r>
        <w:rPr>
          <w:color w:val="000000"/>
          <w:sz w:val="22"/>
          <w:szCs w:val="22"/>
        </w:rPr>
        <w:t xml:space="preserve"> são</w:t>
      </w:r>
      <w:r w:rsidR="00A92206">
        <w:rPr>
          <w:color w:val="000000"/>
          <w:sz w:val="22"/>
          <w:szCs w:val="22"/>
        </w:rPr>
        <w:t xml:space="preserve"> os chamados início de prova material.</w:t>
      </w:r>
      <w:r>
        <w:rPr>
          <w:color w:val="000000"/>
          <w:sz w:val="22"/>
          <w:szCs w:val="22"/>
        </w:rPr>
        <w:t xml:space="preserve"> Aqui chamamos atenção para o inciso III, tendo em vista que justamente este é um dos mais polêmicos e causadores de muitas </w:t>
      </w:r>
      <w:r w:rsidR="00417EB8">
        <w:rPr>
          <w:color w:val="000000"/>
          <w:sz w:val="22"/>
          <w:szCs w:val="22"/>
        </w:rPr>
        <w:t>discór</w:t>
      </w:r>
      <w:r>
        <w:rPr>
          <w:color w:val="000000"/>
          <w:sz w:val="22"/>
          <w:szCs w:val="22"/>
        </w:rPr>
        <w:t>dias entre advogados e juízes.</w:t>
      </w:r>
      <w:r w:rsidR="00A9220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Vejamos:</w:t>
      </w:r>
      <w:proofErr w:type="gramStart"/>
      <w:r>
        <w:rPr>
          <w:color w:val="000000"/>
          <w:sz w:val="22"/>
          <w:szCs w:val="22"/>
        </w:rPr>
        <w:t xml:space="preserve"> </w:t>
      </w:r>
      <w:r w:rsidRPr="009C3C30">
        <w:rPr>
          <w:color w:val="000000"/>
          <w:sz w:val="22"/>
          <w:szCs w:val="22"/>
        </w:rPr>
        <w:t> </w:t>
      </w:r>
      <w:proofErr w:type="gramEnd"/>
      <w:r w:rsidRPr="009C3C30">
        <w:rPr>
          <w:color w:val="000000"/>
          <w:sz w:val="22"/>
          <w:szCs w:val="22"/>
        </w:rPr>
        <w:t>       III – declaração fundamentada de sindicato que represente o trabalhador rural ou, quando for o caso, de sindicato ou colônia de pescadores, desde que homologada pelo Instituto Nacional do Seguro Social – INSS; </w:t>
      </w:r>
    </w:p>
    <w:p w:rsidR="00D84E85" w:rsidRDefault="00D84E85" w:rsidP="004E29DC">
      <w:pPr>
        <w:pStyle w:val="NormalWeb"/>
        <w:spacing w:line="360" w:lineRule="auto"/>
        <w:ind w:right="-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Sim! A declaração de Sindicato dos Trabalhadores Rurais é considerada prova material, entretanto, para que </w:t>
      </w:r>
      <w:proofErr w:type="gramStart"/>
      <w:r>
        <w:rPr>
          <w:color w:val="000000"/>
          <w:sz w:val="22"/>
          <w:szCs w:val="22"/>
        </w:rPr>
        <w:t>s</w:t>
      </w:r>
      <w:r w:rsidR="00417EB8">
        <w:rPr>
          <w:color w:val="000000"/>
          <w:sz w:val="22"/>
          <w:szCs w:val="22"/>
        </w:rPr>
        <w:t>urta efeito</w:t>
      </w:r>
      <w:proofErr w:type="gramEnd"/>
      <w:r w:rsidR="00417EB8">
        <w:rPr>
          <w:color w:val="000000"/>
          <w:sz w:val="22"/>
          <w:szCs w:val="22"/>
        </w:rPr>
        <w:t xml:space="preserve"> deve ter homologação</w:t>
      </w:r>
      <w:r>
        <w:rPr>
          <w:color w:val="000000"/>
          <w:sz w:val="22"/>
          <w:szCs w:val="22"/>
        </w:rPr>
        <w:t xml:space="preserve"> do INSS, e embora a Lei não expresse a Homologação feita pelo MP também é aceita.</w:t>
      </w:r>
    </w:p>
    <w:p w:rsidR="00417EB8" w:rsidRDefault="00417EB8" w:rsidP="004E29DC">
      <w:pPr>
        <w:pStyle w:val="NormalWeb"/>
        <w:spacing w:line="360" w:lineRule="auto"/>
        <w:ind w:right="-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Existem outros documentos que apesar de não terem sido elencados no art 106, também são aceitos pela justiça para comprovar a atividade rural, são eles a carteira do Sindicato de Trabalhadores Rurais, bem como o comprovante das respectivas mensalidades. Assim também a certidão de casamento e a certidão de nascimento, contendo como profissão a atividade rural.</w:t>
      </w:r>
      <w:r w:rsidR="00B10B2F">
        <w:rPr>
          <w:color w:val="000000"/>
          <w:sz w:val="22"/>
          <w:szCs w:val="22"/>
        </w:rPr>
        <w:t xml:space="preserve"> </w:t>
      </w:r>
    </w:p>
    <w:p w:rsidR="00417EB8" w:rsidRDefault="00417EB8" w:rsidP="004E29DC">
      <w:pPr>
        <w:pStyle w:val="NormalWeb"/>
        <w:spacing w:line="360" w:lineRule="auto"/>
        <w:ind w:right="-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OBS: Quando utilizado a certidão de casamento ou nascimento, é obrigatório que haja como profissão a atividade agrícola, de pelo menos um dos cônjuges. Caso a profissão do marido seja agricultor e a </w:t>
      </w:r>
      <w:r>
        <w:rPr>
          <w:color w:val="000000"/>
          <w:sz w:val="22"/>
          <w:szCs w:val="22"/>
        </w:rPr>
        <w:lastRenderedPageBreak/>
        <w:t>esposa doméstica, a qualidade de rurícola do marido se extenderá a esposa.</w:t>
      </w:r>
      <w:r w:rsidR="004E29DC">
        <w:rPr>
          <w:color w:val="000000"/>
          <w:sz w:val="22"/>
          <w:szCs w:val="22"/>
        </w:rPr>
        <w:t xml:space="preserve"> Caso a profissão do marido seja agricultor e a esposa tenha vínculo urbano, em regra, o vínculo empregatício da esposa desqualifica a atividade rural do marido, perdendo o marido a qualidade de segurado especial, em virtude do vínculo urbano de sua esposa.</w:t>
      </w:r>
      <w:r>
        <w:rPr>
          <w:color w:val="000000"/>
          <w:sz w:val="22"/>
          <w:szCs w:val="22"/>
        </w:rPr>
        <w:t xml:space="preserve"> </w:t>
      </w:r>
    </w:p>
    <w:p w:rsidR="00B10B2F" w:rsidRDefault="004E29DC" w:rsidP="004E29DC">
      <w:pPr>
        <w:pStyle w:val="NormalWeb"/>
        <w:spacing w:line="360" w:lineRule="auto"/>
        <w:ind w:right="-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 síntese, quando o trabalhador rural completa a idade prevista na lei, pode requerer administrativamente o benefício de aposentadoria rural por idade. Deve comprovar sua atividade rural pór início de prova material corroborado pela prova testemunhal, comprovando assim que a atividade rural é necessária para subsistência. Os documentos elencados no art. 106 da Lei 8.213/91</w:t>
      </w:r>
      <w:r w:rsidR="00B10B2F">
        <w:rPr>
          <w:color w:val="000000"/>
          <w:sz w:val="22"/>
          <w:szCs w:val="22"/>
        </w:rPr>
        <w:t>, mas</w:t>
      </w:r>
      <w:r>
        <w:rPr>
          <w:color w:val="000000"/>
          <w:sz w:val="22"/>
          <w:szCs w:val="22"/>
        </w:rPr>
        <w:t xml:space="preserve"> não são os únicos documentos que comprovam o labor rurícola, </w:t>
      </w:r>
      <w:r w:rsidR="00B10B2F">
        <w:rPr>
          <w:color w:val="000000"/>
          <w:sz w:val="22"/>
          <w:szCs w:val="22"/>
        </w:rPr>
        <w:t xml:space="preserve">já que </w:t>
      </w:r>
      <w:r>
        <w:rPr>
          <w:color w:val="000000"/>
          <w:sz w:val="22"/>
          <w:szCs w:val="22"/>
        </w:rPr>
        <w:t xml:space="preserve">não </w:t>
      </w:r>
      <w:r w:rsidR="00B10B2F">
        <w:rPr>
          <w:color w:val="000000"/>
          <w:sz w:val="22"/>
          <w:szCs w:val="22"/>
        </w:rPr>
        <w:t xml:space="preserve">se trata de </w:t>
      </w:r>
      <w:r>
        <w:rPr>
          <w:color w:val="000000"/>
          <w:sz w:val="22"/>
          <w:szCs w:val="22"/>
        </w:rPr>
        <w:t>um rol taxativo.</w:t>
      </w:r>
    </w:p>
    <w:p w:rsidR="004E29DC" w:rsidRDefault="004E29DC" w:rsidP="004E29DC">
      <w:pPr>
        <w:pStyle w:val="NormalWeb"/>
        <w:spacing w:line="360" w:lineRule="auto"/>
        <w:ind w:right="-568"/>
        <w:jc w:val="both"/>
        <w:rPr>
          <w:color w:val="000000"/>
          <w:sz w:val="22"/>
          <w:szCs w:val="22"/>
        </w:rPr>
      </w:pPr>
    </w:p>
    <w:p w:rsidR="00417EB8" w:rsidRDefault="00417EB8" w:rsidP="004E29DC">
      <w:pPr>
        <w:pStyle w:val="NormalWeb"/>
        <w:spacing w:line="360" w:lineRule="auto"/>
        <w:ind w:right="-568"/>
        <w:jc w:val="both"/>
        <w:rPr>
          <w:color w:val="000000"/>
          <w:sz w:val="22"/>
          <w:szCs w:val="22"/>
        </w:rPr>
      </w:pPr>
    </w:p>
    <w:p w:rsidR="00417EB8" w:rsidRDefault="00417EB8" w:rsidP="004E29DC">
      <w:pPr>
        <w:pStyle w:val="NormalWeb"/>
        <w:spacing w:line="360" w:lineRule="auto"/>
        <w:ind w:right="-568"/>
        <w:jc w:val="both"/>
        <w:rPr>
          <w:color w:val="000000"/>
          <w:sz w:val="22"/>
          <w:szCs w:val="22"/>
        </w:rPr>
      </w:pPr>
    </w:p>
    <w:p w:rsidR="00417EB8" w:rsidRDefault="00417EB8" w:rsidP="004E29DC">
      <w:pPr>
        <w:pStyle w:val="NormalWeb"/>
        <w:spacing w:line="360" w:lineRule="auto"/>
        <w:ind w:right="-568"/>
        <w:jc w:val="both"/>
        <w:rPr>
          <w:color w:val="000000"/>
          <w:sz w:val="22"/>
          <w:szCs w:val="22"/>
        </w:rPr>
      </w:pPr>
    </w:p>
    <w:p w:rsidR="00417EB8" w:rsidRDefault="00417EB8" w:rsidP="004E29DC">
      <w:pPr>
        <w:pStyle w:val="NormalWeb"/>
        <w:spacing w:line="360" w:lineRule="auto"/>
        <w:ind w:right="-568"/>
        <w:jc w:val="both"/>
        <w:rPr>
          <w:color w:val="000000"/>
          <w:sz w:val="22"/>
          <w:szCs w:val="22"/>
        </w:rPr>
      </w:pPr>
    </w:p>
    <w:p w:rsidR="00417EB8" w:rsidRDefault="00417EB8" w:rsidP="004E29DC">
      <w:pPr>
        <w:pStyle w:val="NormalWeb"/>
        <w:spacing w:line="360" w:lineRule="auto"/>
        <w:ind w:right="-568"/>
        <w:jc w:val="both"/>
        <w:rPr>
          <w:color w:val="000000"/>
          <w:sz w:val="22"/>
          <w:szCs w:val="22"/>
        </w:rPr>
      </w:pPr>
    </w:p>
    <w:p w:rsidR="00417EB8" w:rsidRDefault="00417EB8" w:rsidP="004E29DC">
      <w:pPr>
        <w:pStyle w:val="NormalWeb"/>
        <w:spacing w:line="360" w:lineRule="auto"/>
        <w:ind w:right="-568"/>
        <w:jc w:val="both"/>
        <w:rPr>
          <w:color w:val="000000"/>
          <w:sz w:val="22"/>
          <w:szCs w:val="22"/>
        </w:rPr>
      </w:pPr>
    </w:p>
    <w:p w:rsidR="00417EB8" w:rsidRDefault="00417EB8" w:rsidP="004E29DC">
      <w:pPr>
        <w:pStyle w:val="NormalWeb"/>
        <w:spacing w:line="360" w:lineRule="auto"/>
        <w:ind w:right="-568"/>
        <w:jc w:val="both"/>
        <w:rPr>
          <w:color w:val="000000"/>
          <w:sz w:val="22"/>
          <w:szCs w:val="22"/>
        </w:rPr>
      </w:pPr>
    </w:p>
    <w:p w:rsidR="00432B6D" w:rsidRPr="00432B6D" w:rsidRDefault="00432B6D" w:rsidP="004E29DC">
      <w:pPr>
        <w:ind w:right="-568"/>
        <w:rPr>
          <w:rFonts w:ascii="Times New Roman" w:hAnsi="Times New Roman" w:cs="Times New Roman"/>
          <w:sz w:val="24"/>
          <w:szCs w:val="24"/>
        </w:rPr>
      </w:pPr>
    </w:p>
    <w:sectPr w:rsidR="00432B6D" w:rsidRPr="00432B6D" w:rsidSect="00FA1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B6D"/>
    <w:rsid w:val="00417EB8"/>
    <w:rsid w:val="00432B6D"/>
    <w:rsid w:val="004E29DC"/>
    <w:rsid w:val="00535192"/>
    <w:rsid w:val="00641FCA"/>
    <w:rsid w:val="00682A22"/>
    <w:rsid w:val="009C3C30"/>
    <w:rsid w:val="00A92206"/>
    <w:rsid w:val="00B10B2F"/>
    <w:rsid w:val="00CF4302"/>
    <w:rsid w:val="00D84E85"/>
    <w:rsid w:val="00EA6A78"/>
    <w:rsid w:val="00FA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C3C30"/>
  </w:style>
  <w:style w:type="character" w:styleId="Hyperlink">
    <w:name w:val="Hyperlink"/>
    <w:basedOn w:val="Fontepargpadro"/>
    <w:uiPriority w:val="99"/>
    <w:semiHidden/>
    <w:unhideWhenUsed/>
    <w:rsid w:val="009C3C3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17E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alto.gov.br/ccivil_03/leis/L8212cons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Ubaldo</dc:creator>
  <cp:lastModifiedBy>Ubaldo</cp:lastModifiedBy>
  <cp:revision>1</cp:revision>
  <dcterms:created xsi:type="dcterms:W3CDTF">2013-12-29T14:55:00Z</dcterms:created>
  <dcterms:modified xsi:type="dcterms:W3CDTF">2013-12-29T16:25:00Z</dcterms:modified>
</cp:coreProperties>
</file>