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7D" w:rsidRPr="0020138F" w:rsidRDefault="004C3E7D" w:rsidP="004C3E7D">
      <w:pPr>
        <w:jc w:val="center"/>
        <w:rPr>
          <w:rFonts w:ascii="Arial" w:hAnsi="Arial" w:cs="Arial"/>
          <w:b/>
          <w:sz w:val="28"/>
          <w:szCs w:val="28"/>
        </w:rPr>
      </w:pPr>
      <w:bookmarkStart w:id="0" w:name="_GoBack"/>
      <w:r w:rsidRPr="0020138F">
        <w:rPr>
          <w:rFonts w:ascii="Arial" w:hAnsi="Arial" w:cs="Arial"/>
          <w:b/>
          <w:sz w:val="28"/>
          <w:szCs w:val="28"/>
        </w:rPr>
        <w:t>A</w:t>
      </w:r>
      <w:r w:rsidR="00DC68E1">
        <w:rPr>
          <w:rFonts w:ascii="Arial" w:hAnsi="Arial" w:cs="Arial"/>
          <w:b/>
          <w:sz w:val="28"/>
          <w:szCs w:val="28"/>
        </w:rPr>
        <w:t xml:space="preserve"> NOVA</w:t>
      </w:r>
      <w:r w:rsidRPr="0020138F">
        <w:rPr>
          <w:rFonts w:ascii="Arial" w:hAnsi="Arial" w:cs="Arial"/>
          <w:b/>
          <w:sz w:val="28"/>
          <w:szCs w:val="28"/>
        </w:rPr>
        <w:t xml:space="preserve"> SISTEMÁTICA EXECUTIVA DOS TÍTULOS EXECUTIVOS </w:t>
      </w:r>
      <w:r w:rsidR="00DC68E1">
        <w:rPr>
          <w:rFonts w:ascii="Arial" w:hAnsi="Arial" w:cs="Arial"/>
          <w:b/>
          <w:sz w:val="28"/>
          <w:szCs w:val="28"/>
        </w:rPr>
        <w:t>EXTRAJUDICIAIS</w:t>
      </w:r>
      <w:r w:rsidR="00DC68E1" w:rsidRPr="0020138F">
        <w:rPr>
          <w:rFonts w:ascii="Arial" w:hAnsi="Arial" w:cs="Arial"/>
          <w:b/>
          <w:sz w:val="28"/>
          <w:szCs w:val="28"/>
        </w:rPr>
        <w:t xml:space="preserve"> </w:t>
      </w:r>
      <w:r w:rsidRPr="0020138F">
        <w:rPr>
          <w:rFonts w:ascii="Arial" w:hAnsi="Arial" w:cs="Arial"/>
          <w:b/>
          <w:sz w:val="28"/>
          <w:szCs w:val="28"/>
        </w:rPr>
        <w:t>NO PLS 166/2010: BUSCA DA CELERIDADE/EFETIVIDADE DA PRESTAÇÃO</w:t>
      </w:r>
      <w:r w:rsidR="00DC68E1">
        <w:rPr>
          <w:rFonts w:ascii="Arial" w:hAnsi="Arial" w:cs="Arial"/>
          <w:b/>
          <w:sz w:val="28"/>
          <w:szCs w:val="28"/>
        </w:rPr>
        <w:t xml:space="preserve"> </w:t>
      </w:r>
      <w:r w:rsidR="00DC68E1" w:rsidRPr="0020138F">
        <w:rPr>
          <w:rFonts w:ascii="Arial" w:hAnsi="Arial" w:cs="Arial"/>
          <w:b/>
          <w:sz w:val="28"/>
          <w:szCs w:val="28"/>
        </w:rPr>
        <w:t>JURISDICONAL</w:t>
      </w:r>
      <w:r w:rsidRPr="0020138F">
        <w:rPr>
          <w:rFonts w:ascii="Arial" w:hAnsi="Arial" w:cs="Arial"/>
          <w:b/>
          <w:sz w:val="28"/>
          <w:szCs w:val="28"/>
        </w:rPr>
        <w:t>.</w:t>
      </w:r>
    </w:p>
    <w:p w:rsidR="004C3E7D" w:rsidRPr="0020138F" w:rsidRDefault="00DD51D9" w:rsidP="004C3E7D">
      <w:pPr>
        <w:spacing w:after="0" w:line="240" w:lineRule="auto"/>
        <w:contextualSpacing/>
        <w:jc w:val="right"/>
        <w:rPr>
          <w:rFonts w:ascii="Arial" w:hAnsi="Arial" w:cs="Arial"/>
          <w:b/>
          <w:sz w:val="20"/>
          <w:szCs w:val="20"/>
        </w:rPr>
      </w:pPr>
      <w:r>
        <w:rPr>
          <w:rFonts w:ascii="Arial" w:hAnsi="Arial" w:cs="Arial"/>
          <w:b/>
          <w:sz w:val="20"/>
          <w:szCs w:val="20"/>
        </w:rPr>
        <w:t>Hildenguedson Ribeiro Dias</w:t>
      </w:r>
    </w:p>
    <w:p w:rsidR="004C3E7D" w:rsidRPr="0020138F" w:rsidRDefault="0020138F" w:rsidP="004C3E7D">
      <w:pPr>
        <w:spacing w:after="0" w:line="240" w:lineRule="auto"/>
        <w:contextualSpacing/>
        <w:jc w:val="right"/>
        <w:rPr>
          <w:rFonts w:ascii="Arial" w:hAnsi="Arial" w:cs="Arial"/>
          <w:sz w:val="20"/>
          <w:szCs w:val="20"/>
        </w:rPr>
      </w:pPr>
      <w:r>
        <w:rPr>
          <w:rFonts w:ascii="Arial" w:hAnsi="Arial" w:cs="Arial"/>
          <w:sz w:val="20"/>
          <w:szCs w:val="20"/>
        </w:rPr>
        <w:t>Discente</w:t>
      </w:r>
      <w:r w:rsidR="004C3E7D" w:rsidRPr="0020138F">
        <w:rPr>
          <w:rFonts w:ascii="Arial" w:hAnsi="Arial" w:cs="Arial"/>
          <w:sz w:val="20"/>
          <w:szCs w:val="20"/>
        </w:rPr>
        <w:t xml:space="preserve"> de Direito</w:t>
      </w:r>
      <w:proofErr w:type="gramStart"/>
      <w:r w:rsidR="004C3E7D" w:rsidRPr="0020138F">
        <w:rPr>
          <w:rFonts w:ascii="Arial" w:hAnsi="Arial" w:cs="Arial"/>
          <w:sz w:val="20"/>
          <w:szCs w:val="20"/>
        </w:rPr>
        <w:t xml:space="preserve">  </w:t>
      </w:r>
    </w:p>
    <w:p w:rsidR="004C3E7D" w:rsidRPr="0020138F" w:rsidRDefault="004C3E7D" w:rsidP="004C3E7D">
      <w:pPr>
        <w:spacing w:after="0" w:line="240" w:lineRule="auto"/>
        <w:contextualSpacing/>
        <w:jc w:val="right"/>
        <w:rPr>
          <w:rFonts w:ascii="Arial" w:hAnsi="Arial" w:cs="Arial"/>
          <w:sz w:val="20"/>
          <w:szCs w:val="20"/>
        </w:rPr>
      </w:pPr>
      <w:proofErr w:type="gramEnd"/>
      <w:r w:rsidRPr="0020138F">
        <w:rPr>
          <w:rFonts w:ascii="Arial" w:hAnsi="Arial" w:cs="Arial"/>
          <w:sz w:val="20"/>
          <w:szCs w:val="20"/>
        </w:rPr>
        <w:t>Faculdade de Balsas - UNIBALSAS</w:t>
      </w:r>
    </w:p>
    <w:p w:rsidR="004C3E7D" w:rsidRPr="0020138F" w:rsidRDefault="00DD51D9" w:rsidP="004C3E7D">
      <w:pPr>
        <w:spacing w:after="0" w:line="240" w:lineRule="auto"/>
        <w:contextualSpacing/>
        <w:jc w:val="right"/>
        <w:rPr>
          <w:rFonts w:ascii="Arial" w:hAnsi="Arial" w:cs="Arial"/>
          <w:sz w:val="20"/>
          <w:szCs w:val="20"/>
        </w:rPr>
      </w:pPr>
      <w:r>
        <w:rPr>
          <w:rFonts w:ascii="Arial" w:hAnsi="Arial" w:cs="Arial"/>
          <w:sz w:val="20"/>
          <w:szCs w:val="20"/>
        </w:rPr>
        <w:t>gue.dias35</w:t>
      </w:r>
      <w:r w:rsidR="0020138F">
        <w:rPr>
          <w:rFonts w:ascii="Arial" w:hAnsi="Arial" w:cs="Arial"/>
          <w:sz w:val="20"/>
          <w:szCs w:val="20"/>
        </w:rPr>
        <w:t>@gmail.com</w:t>
      </w:r>
    </w:p>
    <w:p w:rsidR="004C3E7D" w:rsidRPr="0020138F" w:rsidRDefault="004C3E7D" w:rsidP="004C3E7D">
      <w:pPr>
        <w:spacing w:after="0" w:line="240" w:lineRule="auto"/>
        <w:contextualSpacing/>
        <w:jc w:val="right"/>
        <w:rPr>
          <w:rFonts w:ascii="Arial" w:hAnsi="Arial" w:cs="Arial"/>
          <w:sz w:val="20"/>
          <w:szCs w:val="20"/>
        </w:rPr>
      </w:pPr>
    </w:p>
    <w:p w:rsidR="004C3E7D" w:rsidRPr="0020138F" w:rsidRDefault="004C3E7D" w:rsidP="004C3E7D">
      <w:pPr>
        <w:spacing w:after="0" w:line="240" w:lineRule="auto"/>
        <w:contextualSpacing/>
        <w:jc w:val="right"/>
        <w:rPr>
          <w:rFonts w:ascii="Arial" w:hAnsi="Arial" w:cs="Arial"/>
          <w:b/>
          <w:sz w:val="20"/>
          <w:szCs w:val="20"/>
        </w:rPr>
      </w:pPr>
      <w:r w:rsidRPr="0020138F">
        <w:rPr>
          <w:rFonts w:ascii="Arial" w:hAnsi="Arial" w:cs="Arial"/>
          <w:b/>
          <w:sz w:val="20"/>
          <w:szCs w:val="20"/>
        </w:rPr>
        <w:t>Cristiano Coelho Rêgo</w:t>
      </w:r>
    </w:p>
    <w:p w:rsidR="004C3E7D" w:rsidRPr="0020138F" w:rsidRDefault="004C3E7D" w:rsidP="004C3E7D">
      <w:pPr>
        <w:spacing w:after="0" w:line="240" w:lineRule="auto"/>
        <w:contextualSpacing/>
        <w:jc w:val="right"/>
        <w:rPr>
          <w:rFonts w:ascii="Arial" w:hAnsi="Arial" w:cs="Arial"/>
          <w:sz w:val="20"/>
          <w:szCs w:val="20"/>
        </w:rPr>
      </w:pPr>
      <w:r w:rsidRPr="0020138F">
        <w:rPr>
          <w:rFonts w:ascii="Arial" w:hAnsi="Arial" w:cs="Arial"/>
          <w:sz w:val="20"/>
          <w:szCs w:val="20"/>
        </w:rPr>
        <w:t>Professor Orientador</w:t>
      </w:r>
    </w:p>
    <w:p w:rsidR="004C3E7D" w:rsidRPr="0020138F" w:rsidRDefault="004C3E7D" w:rsidP="004C3E7D">
      <w:pPr>
        <w:spacing w:after="0" w:line="240" w:lineRule="auto"/>
        <w:contextualSpacing/>
        <w:jc w:val="right"/>
        <w:rPr>
          <w:rFonts w:ascii="Arial" w:hAnsi="Arial" w:cs="Arial"/>
          <w:sz w:val="20"/>
          <w:szCs w:val="20"/>
        </w:rPr>
      </w:pPr>
      <w:r w:rsidRPr="0020138F">
        <w:rPr>
          <w:rFonts w:ascii="Arial" w:hAnsi="Arial" w:cs="Arial"/>
          <w:sz w:val="20"/>
          <w:szCs w:val="20"/>
        </w:rPr>
        <w:t>Faculdade de Balsas – UNIBALSAS</w:t>
      </w:r>
    </w:p>
    <w:p w:rsidR="004C3E7D" w:rsidRPr="0020138F" w:rsidRDefault="004C3E7D" w:rsidP="004C3E7D">
      <w:pPr>
        <w:spacing w:after="0" w:line="240" w:lineRule="auto"/>
        <w:contextualSpacing/>
        <w:jc w:val="right"/>
        <w:rPr>
          <w:rFonts w:ascii="Arial" w:hAnsi="Arial" w:cs="Arial"/>
          <w:sz w:val="20"/>
          <w:szCs w:val="20"/>
        </w:rPr>
      </w:pPr>
      <w:r w:rsidRPr="0020138F">
        <w:rPr>
          <w:rFonts w:ascii="Arial" w:hAnsi="Arial" w:cs="Arial"/>
          <w:sz w:val="20"/>
          <w:szCs w:val="20"/>
        </w:rPr>
        <w:t>drcristianorego@hotmail.com</w:t>
      </w:r>
    </w:p>
    <w:p w:rsidR="004C3E7D" w:rsidRPr="0020138F" w:rsidRDefault="004C3E7D" w:rsidP="004C3E7D">
      <w:pPr>
        <w:jc w:val="right"/>
        <w:rPr>
          <w:rFonts w:ascii="Arial" w:hAnsi="Arial" w:cs="Arial"/>
          <w:b/>
        </w:rPr>
      </w:pPr>
    </w:p>
    <w:p w:rsidR="00870681" w:rsidRDefault="004C3E7D" w:rsidP="004C3E7D">
      <w:pPr>
        <w:rPr>
          <w:rFonts w:ascii="Arial" w:hAnsi="Arial" w:cs="Arial"/>
          <w:b/>
          <w:sz w:val="20"/>
          <w:szCs w:val="20"/>
        </w:rPr>
      </w:pPr>
      <w:r w:rsidRPr="0020138F">
        <w:rPr>
          <w:rFonts w:ascii="Arial" w:hAnsi="Arial" w:cs="Arial"/>
          <w:b/>
          <w:sz w:val="20"/>
          <w:szCs w:val="20"/>
        </w:rPr>
        <w:t>RESUMO</w:t>
      </w:r>
    </w:p>
    <w:p w:rsidR="0077544E" w:rsidRPr="0077544E" w:rsidRDefault="0077544E" w:rsidP="00031BF1">
      <w:pPr>
        <w:jc w:val="both"/>
        <w:rPr>
          <w:rFonts w:ascii="Arial" w:hAnsi="Arial" w:cs="Arial"/>
          <w:sz w:val="20"/>
          <w:szCs w:val="20"/>
        </w:rPr>
      </w:pPr>
      <w:r>
        <w:rPr>
          <w:rFonts w:ascii="Arial" w:hAnsi="Arial" w:cs="Arial"/>
          <w:sz w:val="20"/>
          <w:szCs w:val="20"/>
        </w:rPr>
        <w:t>Este trabalho tem</w:t>
      </w:r>
      <w:r w:rsidR="00353FA3">
        <w:rPr>
          <w:rFonts w:ascii="Arial" w:hAnsi="Arial" w:cs="Arial"/>
          <w:sz w:val="20"/>
          <w:szCs w:val="20"/>
        </w:rPr>
        <w:t xml:space="preserve"> como objetivo, demonstrar o que traz </w:t>
      </w:r>
      <w:proofErr w:type="gramStart"/>
      <w:r w:rsidR="00353FA3">
        <w:rPr>
          <w:rFonts w:ascii="Arial" w:hAnsi="Arial" w:cs="Arial"/>
          <w:sz w:val="20"/>
          <w:szCs w:val="20"/>
        </w:rPr>
        <w:t>a nova sistemática dos títulos executivos extrajudiciais no novo Projeto de Lei do Senado Federal, no tocante a celeridade</w:t>
      </w:r>
      <w:proofErr w:type="gramEnd"/>
      <w:r w:rsidR="00353FA3">
        <w:rPr>
          <w:rFonts w:ascii="Arial" w:hAnsi="Arial" w:cs="Arial"/>
          <w:sz w:val="20"/>
          <w:szCs w:val="20"/>
        </w:rPr>
        <w:t>/efetividade, utilizando para isso consulta bibliográfica da última reforma</w:t>
      </w:r>
      <w:r w:rsidR="00031BF1">
        <w:rPr>
          <w:rFonts w:ascii="Arial" w:hAnsi="Arial" w:cs="Arial"/>
          <w:sz w:val="20"/>
          <w:szCs w:val="20"/>
        </w:rPr>
        <w:t xml:space="preserve"> e fazendo um comparativo com o texto do PLS 166/2010. Percebeu-se que o novo projeto traz inovações, diminuição de prazos que dão mais celeridade e termos que tornam mais efetivo o processo de execução.</w:t>
      </w:r>
      <w:r w:rsidR="00A35B7A">
        <w:rPr>
          <w:rFonts w:ascii="Arial" w:hAnsi="Arial" w:cs="Arial"/>
          <w:sz w:val="20"/>
          <w:szCs w:val="20"/>
        </w:rPr>
        <w:t xml:space="preserve"> Conclui-se que as inovações na execução para entrega de coisa certa reduzida ao devedor o prazo de 10 para 3 dias e as causas de suspensão e extinção do processo de execução as principais diferenças sentidas.</w:t>
      </w:r>
    </w:p>
    <w:p w:rsidR="004C3E7D" w:rsidRPr="0020138F" w:rsidRDefault="004C3E7D" w:rsidP="004C3E7D">
      <w:pPr>
        <w:rPr>
          <w:rFonts w:ascii="Arial" w:hAnsi="Arial" w:cs="Arial"/>
          <w:b/>
          <w:sz w:val="20"/>
          <w:szCs w:val="20"/>
        </w:rPr>
      </w:pPr>
    </w:p>
    <w:p w:rsidR="004C3E7D" w:rsidRPr="0020138F" w:rsidRDefault="004C3E7D" w:rsidP="004C3E7D">
      <w:pPr>
        <w:spacing w:after="0" w:line="240" w:lineRule="auto"/>
        <w:contextualSpacing/>
        <w:rPr>
          <w:rFonts w:ascii="Arial" w:hAnsi="Arial" w:cs="Arial"/>
          <w:sz w:val="20"/>
          <w:szCs w:val="20"/>
        </w:rPr>
      </w:pPr>
      <w:r w:rsidRPr="0020138F">
        <w:rPr>
          <w:rFonts w:ascii="Arial" w:hAnsi="Arial" w:cs="Arial"/>
          <w:b/>
          <w:sz w:val="20"/>
          <w:szCs w:val="20"/>
        </w:rPr>
        <w:t xml:space="preserve">PALAVRA-CHAVE: </w:t>
      </w:r>
      <w:r w:rsidR="00160510" w:rsidRPr="0020138F">
        <w:rPr>
          <w:rFonts w:ascii="Arial" w:hAnsi="Arial" w:cs="Arial"/>
          <w:sz w:val="20"/>
          <w:szCs w:val="20"/>
        </w:rPr>
        <w:t>Títulos extrajudiciais;</w:t>
      </w:r>
      <w:r w:rsidR="00160510">
        <w:rPr>
          <w:rFonts w:ascii="Arial" w:hAnsi="Arial" w:cs="Arial"/>
          <w:sz w:val="20"/>
          <w:szCs w:val="20"/>
        </w:rPr>
        <w:t xml:space="preserve"> </w:t>
      </w:r>
      <w:r w:rsidRPr="0020138F">
        <w:rPr>
          <w:rFonts w:ascii="Arial" w:hAnsi="Arial" w:cs="Arial"/>
          <w:sz w:val="20"/>
          <w:szCs w:val="20"/>
        </w:rPr>
        <w:t xml:space="preserve">Celeridade; Efetividade; </w:t>
      </w:r>
    </w:p>
    <w:p w:rsidR="004C3E7D" w:rsidRPr="0020138F" w:rsidRDefault="004C3E7D" w:rsidP="004C3E7D">
      <w:pPr>
        <w:spacing w:after="0" w:line="240" w:lineRule="auto"/>
        <w:contextualSpacing/>
        <w:rPr>
          <w:rFonts w:ascii="Arial" w:hAnsi="Arial" w:cs="Arial"/>
          <w:b/>
        </w:rPr>
      </w:pPr>
    </w:p>
    <w:p w:rsidR="004C3E7D" w:rsidRPr="0020138F" w:rsidRDefault="004C3E7D" w:rsidP="004C3E7D">
      <w:pPr>
        <w:spacing w:after="120" w:line="240" w:lineRule="auto"/>
        <w:rPr>
          <w:rFonts w:ascii="Arial" w:hAnsi="Arial" w:cs="Arial"/>
          <w:b/>
          <w:sz w:val="20"/>
          <w:szCs w:val="20"/>
          <w:lang w:val="en-US"/>
        </w:rPr>
      </w:pPr>
      <w:r w:rsidRPr="0020138F">
        <w:rPr>
          <w:rFonts w:ascii="Arial" w:hAnsi="Arial" w:cs="Arial"/>
          <w:b/>
          <w:sz w:val="20"/>
          <w:szCs w:val="20"/>
          <w:lang w:val="en-US"/>
        </w:rPr>
        <w:t>ABSTRACT</w:t>
      </w:r>
    </w:p>
    <w:p w:rsidR="004C3E7D" w:rsidRPr="00160510" w:rsidRDefault="00160510" w:rsidP="00160510">
      <w:pPr>
        <w:jc w:val="both"/>
        <w:rPr>
          <w:rFonts w:ascii="Arial" w:hAnsi="Arial" w:cs="Arial"/>
          <w:sz w:val="20"/>
          <w:szCs w:val="20"/>
          <w:lang w:val="en-US"/>
        </w:rPr>
      </w:pPr>
      <w:r w:rsidRPr="00160510">
        <w:rPr>
          <w:rFonts w:ascii="Arial" w:hAnsi="Arial" w:cs="Arial"/>
          <w:sz w:val="20"/>
          <w:szCs w:val="20"/>
          <w:lang w:val="en-US"/>
        </w:rPr>
        <w:t>This paper aims to demonstrate what brings the new system of extrajudicial enforcement orders in the new bill by the Senate, regarding the speed / effectiveness, using for this latest reform of bibliographic and making a comparison with the text of the PLS 166/2010. It was noticed that the new design brings innovation, reduced time limits that give more speed and terms that make more effective the implementation process. It is concluded that innovations in running for delivery reduced the debtor the right thing within 10 to 3 days and the grounds for suspension and dismissal implementing major perceived differences.</w:t>
      </w:r>
    </w:p>
    <w:p w:rsidR="004C3E7D" w:rsidRPr="0020138F" w:rsidRDefault="004C3E7D" w:rsidP="004C3E7D">
      <w:pPr>
        <w:spacing w:after="0" w:line="240" w:lineRule="auto"/>
        <w:contextualSpacing/>
        <w:rPr>
          <w:rFonts w:ascii="Arial" w:hAnsi="Arial" w:cs="Arial"/>
          <w:b/>
          <w:sz w:val="20"/>
          <w:szCs w:val="20"/>
          <w:lang w:val="en-US"/>
        </w:rPr>
      </w:pPr>
      <w:r w:rsidRPr="0020138F">
        <w:rPr>
          <w:rFonts w:ascii="Arial" w:hAnsi="Arial" w:cs="Arial"/>
          <w:b/>
          <w:sz w:val="20"/>
          <w:szCs w:val="20"/>
          <w:lang w:val="en-US"/>
        </w:rPr>
        <w:t xml:space="preserve">KEYWORDS: </w:t>
      </w:r>
      <w:r w:rsidR="00160510">
        <w:rPr>
          <w:rFonts w:ascii="Arial" w:hAnsi="Arial" w:cs="Arial"/>
          <w:b/>
          <w:sz w:val="20"/>
          <w:szCs w:val="20"/>
          <w:lang w:val="en-US"/>
        </w:rPr>
        <w:t xml:space="preserve"> </w:t>
      </w:r>
      <w:r w:rsidR="00160510" w:rsidRPr="0020138F">
        <w:rPr>
          <w:rStyle w:val="hps"/>
          <w:rFonts w:ascii="Arial" w:hAnsi="Arial" w:cs="Arial"/>
          <w:color w:val="000000" w:themeColor="text1"/>
          <w:sz w:val="20"/>
          <w:szCs w:val="20"/>
          <w:lang w:val="en"/>
        </w:rPr>
        <w:t>Titles</w:t>
      </w:r>
      <w:r w:rsidR="00160510" w:rsidRPr="0020138F">
        <w:rPr>
          <w:rStyle w:val="shorttext"/>
          <w:rFonts w:ascii="Arial" w:hAnsi="Arial" w:cs="Arial"/>
          <w:color w:val="000000" w:themeColor="text1"/>
          <w:sz w:val="20"/>
          <w:szCs w:val="20"/>
          <w:lang w:val="en"/>
        </w:rPr>
        <w:t xml:space="preserve"> </w:t>
      </w:r>
      <w:r w:rsidR="00160510" w:rsidRPr="0020138F">
        <w:rPr>
          <w:rStyle w:val="hps"/>
          <w:rFonts w:ascii="Arial" w:hAnsi="Arial" w:cs="Arial"/>
          <w:color w:val="000000" w:themeColor="text1"/>
          <w:sz w:val="20"/>
          <w:szCs w:val="20"/>
          <w:lang w:val="en"/>
        </w:rPr>
        <w:t>extrajudicial</w:t>
      </w:r>
      <w:r w:rsidR="00160510" w:rsidRPr="0020138F">
        <w:rPr>
          <w:rStyle w:val="shorttext"/>
          <w:rFonts w:ascii="Arial" w:hAnsi="Arial" w:cs="Arial"/>
          <w:color w:val="000000" w:themeColor="text1"/>
          <w:sz w:val="20"/>
          <w:szCs w:val="20"/>
          <w:lang w:val="en"/>
        </w:rPr>
        <w:t>;</w:t>
      </w:r>
      <w:r w:rsidR="00160510">
        <w:rPr>
          <w:rStyle w:val="shorttext"/>
          <w:rFonts w:ascii="Arial" w:hAnsi="Arial" w:cs="Arial"/>
          <w:color w:val="000000" w:themeColor="text1"/>
          <w:sz w:val="20"/>
          <w:szCs w:val="20"/>
          <w:lang w:val="en"/>
        </w:rPr>
        <w:t xml:space="preserve"> </w:t>
      </w:r>
      <w:r w:rsidRPr="0020138F">
        <w:rPr>
          <w:rStyle w:val="hps"/>
          <w:rFonts w:ascii="Arial" w:hAnsi="Arial" w:cs="Arial"/>
          <w:color w:val="000000" w:themeColor="text1"/>
          <w:sz w:val="20"/>
          <w:szCs w:val="20"/>
          <w:lang w:val="en"/>
        </w:rPr>
        <w:t>Celerity</w:t>
      </w:r>
      <w:r w:rsidRPr="0020138F">
        <w:rPr>
          <w:rStyle w:val="shorttext"/>
          <w:rFonts w:ascii="Arial" w:hAnsi="Arial" w:cs="Arial"/>
          <w:color w:val="000000" w:themeColor="text1"/>
          <w:sz w:val="20"/>
          <w:szCs w:val="20"/>
          <w:lang w:val="en"/>
        </w:rPr>
        <w:t xml:space="preserve">; </w:t>
      </w:r>
      <w:r w:rsidRPr="0020138F">
        <w:rPr>
          <w:rStyle w:val="hps"/>
          <w:rFonts w:ascii="Arial" w:hAnsi="Arial" w:cs="Arial"/>
          <w:color w:val="000000" w:themeColor="text1"/>
          <w:sz w:val="20"/>
          <w:szCs w:val="20"/>
          <w:lang w:val="en"/>
        </w:rPr>
        <w:t>Effectiveness;</w:t>
      </w:r>
      <w:r w:rsidRPr="0020138F">
        <w:rPr>
          <w:rStyle w:val="shorttext"/>
          <w:rFonts w:ascii="Arial" w:hAnsi="Arial" w:cs="Arial"/>
          <w:color w:val="000000" w:themeColor="text1"/>
          <w:sz w:val="20"/>
          <w:szCs w:val="20"/>
          <w:lang w:val="en"/>
        </w:rPr>
        <w:t xml:space="preserve"> </w:t>
      </w:r>
    </w:p>
    <w:p w:rsidR="004C3E7D" w:rsidRPr="0020138F" w:rsidRDefault="004C3E7D" w:rsidP="004C3E7D">
      <w:pPr>
        <w:rPr>
          <w:rFonts w:ascii="Arial" w:hAnsi="Arial" w:cs="Arial"/>
          <w:b/>
          <w:lang w:val="en-US"/>
        </w:rPr>
      </w:pPr>
    </w:p>
    <w:p w:rsidR="004C3E7D" w:rsidRPr="0020138F" w:rsidRDefault="004C3E7D" w:rsidP="004C3E7D">
      <w:pPr>
        <w:spacing w:line="360" w:lineRule="auto"/>
        <w:jc w:val="both"/>
        <w:rPr>
          <w:rFonts w:ascii="Arial" w:hAnsi="Arial" w:cs="Arial"/>
          <w:b/>
          <w:sz w:val="24"/>
          <w:szCs w:val="24"/>
        </w:rPr>
      </w:pPr>
      <w:r w:rsidRPr="0020138F">
        <w:rPr>
          <w:rFonts w:ascii="Arial" w:hAnsi="Arial" w:cs="Arial"/>
          <w:b/>
          <w:sz w:val="24"/>
          <w:szCs w:val="24"/>
        </w:rPr>
        <w:t>CONSIDERAÇÕES INICIAIS</w:t>
      </w:r>
    </w:p>
    <w:p w:rsidR="00993FAE" w:rsidRDefault="00146B61" w:rsidP="00BA3990">
      <w:pPr>
        <w:spacing w:before="240" w:line="360" w:lineRule="auto"/>
        <w:jc w:val="both"/>
        <w:rPr>
          <w:rFonts w:ascii="Arial" w:hAnsi="Arial" w:cs="Arial"/>
          <w:sz w:val="24"/>
          <w:szCs w:val="24"/>
        </w:rPr>
      </w:pPr>
      <w:r>
        <w:rPr>
          <w:rFonts w:ascii="Times New Roman" w:hAnsi="Times New Roman" w:cs="Times New Roman"/>
          <w:b/>
          <w:sz w:val="24"/>
          <w:szCs w:val="24"/>
        </w:rPr>
        <w:tab/>
      </w:r>
      <w:r w:rsidR="00993FAE" w:rsidRPr="00BA3990">
        <w:rPr>
          <w:rFonts w:ascii="Arial" w:hAnsi="Arial" w:cs="Arial"/>
          <w:sz w:val="24"/>
          <w:szCs w:val="24"/>
        </w:rPr>
        <w:t>Neste t</w:t>
      </w:r>
      <w:r w:rsidR="00B45225">
        <w:rPr>
          <w:rFonts w:ascii="Arial" w:hAnsi="Arial" w:cs="Arial"/>
          <w:sz w:val="24"/>
          <w:szCs w:val="24"/>
        </w:rPr>
        <w:t>rabalho será exposto o que traz</w:t>
      </w:r>
      <w:r w:rsidR="00993FAE" w:rsidRPr="00BA3990">
        <w:rPr>
          <w:rFonts w:ascii="Arial" w:hAnsi="Arial" w:cs="Arial"/>
          <w:sz w:val="24"/>
          <w:szCs w:val="24"/>
        </w:rPr>
        <w:t xml:space="preserve"> de celeridade/efetividade</w:t>
      </w:r>
      <w:r w:rsidR="00BA3990" w:rsidRPr="00BA3990">
        <w:rPr>
          <w:rFonts w:ascii="Arial" w:hAnsi="Arial" w:cs="Arial"/>
          <w:sz w:val="24"/>
          <w:szCs w:val="24"/>
        </w:rPr>
        <w:t xml:space="preserve"> a nova sistemática dos títulos executivos extrajudiciais</w:t>
      </w:r>
      <w:r w:rsidR="00993FAE" w:rsidRPr="00BA3990">
        <w:rPr>
          <w:rFonts w:ascii="Arial" w:hAnsi="Arial" w:cs="Arial"/>
          <w:sz w:val="24"/>
          <w:szCs w:val="24"/>
        </w:rPr>
        <w:t xml:space="preserve"> </w:t>
      </w:r>
      <w:r w:rsidR="00BA3990" w:rsidRPr="00BA3990">
        <w:rPr>
          <w:rFonts w:ascii="Arial" w:hAnsi="Arial" w:cs="Arial"/>
          <w:sz w:val="24"/>
          <w:szCs w:val="24"/>
        </w:rPr>
        <w:t>n</w:t>
      </w:r>
      <w:r w:rsidR="00993FAE" w:rsidRPr="00BA3990">
        <w:rPr>
          <w:rFonts w:ascii="Arial" w:hAnsi="Arial" w:cs="Arial"/>
          <w:sz w:val="24"/>
          <w:szCs w:val="24"/>
        </w:rPr>
        <w:t xml:space="preserve">o novo projeto do CPC </w:t>
      </w:r>
      <w:r w:rsidR="00BA3990" w:rsidRPr="00BA3990">
        <w:rPr>
          <w:rFonts w:ascii="Arial" w:hAnsi="Arial" w:cs="Arial"/>
          <w:sz w:val="24"/>
          <w:szCs w:val="24"/>
        </w:rPr>
        <w:t xml:space="preserve">(PLS 166/2010) proposto pelo Senado Federal, tomando por base entendimento doutrinário referente </w:t>
      </w:r>
      <w:proofErr w:type="gramStart"/>
      <w:r w:rsidR="00BA3990" w:rsidRPr="00BA3990">
        <w:rPr>
          <w:rFonts w:ascii="Arial" w:hAnsi="Arial" w:cs="Arial"/>
          <w:sz w:val="24"/>
          <w:szCs w:val="24"/>
        </w:rPr>
        <w:t>a</w:t>
      </w:r>
      <w:proofErr w:type="gramEnd"/>
      <w:r w:rsidR="00BA3990" w:rsidRPr="00BA3990">
        <w:rPr>
          <w:rFonts w:ascii="Arial" w:hAnsi="Arial" w:cs="Arial"/>
          <w:sz w:val="24"/>
          <w:szCs w:val="24"/>
        </w:rPr>
        <w:t xml:space="preserve"> última reforma do CPC de 2005</w:t>
      </w:r>
      <w:r w:rsidR="00B45225">
        <w:rPr>
          <w:rFonts w:ascii="Arial" w:hAnsi="Arial" w:cs="Arial"/>
          <w:sz w:val="24"/>
          <w:szCs w:val="24"/>
        </w:rPr>
        <w:t xml:space="preserve"> e a lei 11.382/06</w:t>
      </w:r>
      <w:r w:rsidR="00BA3990" w:rsidRPr="00BA3990">
        <w:rPr>
          <w:rFonts w:ascii="Arial" w:hAnsi="Arial" w:cs="Arial"/>
          <w:sz w:val="24"/>
          <w:szCs w:val="24"/>
        </w:rPr>
        <w:t xml:space="preserve"> e um necessário comparativo com o projeto, por ser de difícil acesso a doutrina que trata do tema.</w:t>
      </w:r>
    </w:p>
    <w:p w:rsidR="00B45225" w:rsidRPr="00BA3990" w:rsidRDefault="00B45225" w:rsidP="00BA3990">
      <w:pPr>
        <w:spacing w:before="240" w:line="360" w:lineRule="auto"/>
        <w:jc w:val="both"/>
        <w:rPr>
          <w:rFonts w:ascii="Arial" w:hAnsi="Arial" w:cs="Arial"/>
          <w:sz w:val="24"/>
          <w:szCs w:val="24"/>
        </w:rPr>
      </w:pPr>
      <w:r>
        <w:rPr>
          <w:rFonts w:ascii="Arial" w:hAnsi="Arial" w:cs="Arial"/>
          <w:sz w:val="24"/>
          <w:szCs w:val="24"/>
        </w:rPr>
        <w:lastRenderedPageBreak/>
        <w:tab/>
        <w:t>Por ser um tema novo e que apesar do sincretismo processual tornar bastante célere o processo de execução, o novo projeto torna esta fase ainda mais célere e efetiva, conforme se verá no decorrer deste trabalho.</w:t>
      </w:r>
    </w:p>
    <w:p w:rsidR="00146B61" w:rsidRDefault="00146B61" w:rsidP="00993FAE">
      <w:pPr>
        <w:spacing w:line="360" w:lineRule="auto"/>
        <w:ind w:firstLine="708"/>
        <w:jc w:val="both"/>
        <w:rPr>
          <w:rFonts w:ascii="Arial" w:hAnsi="Arial" w:cs="Arial"/>
          <w:color w:val="000000" w:themeColor="text1"/>
          <w:sz w:val="24"/>
          <w:szCs w:val="24"/>
          <w:shd w:val="clear" w:color="auto" w:fill="FFFFFF"/>
        </w:rPr>
      </w:pPr>
      <w:r w:rsidRPr="0020138F">
        <w:rPr>
          <w:rFonts w:ascii="Arial" w:hAnsi="Arial" w:cs="Arial"/>
          <w:color w:val="000000" w:themeColor="text1"/>
          <w:sz w:val="24"/>
          <w:szCs w:val="24"/>
          <w:shd w:val="clear" w:color="auto" w:fill="FFFFFF"/>
        </w:rPr>
        <w:t xml:space="preserve">Antes da reforma trazida pela Lei 11.382/06, dispunha o inciso I do artigo 614 que a petição deveria ser </w:t>
      </w:r>
      <w:proofErr w:type="spellStart"/>
      <w:r w:rsidRPr="0020138F">
        <w:rPr>
          <w:rFonts w:ascii="Arial" w:hAnsi="Arial" w:cs="Arial"/>
          <w:color w:val="000000" w:themeColor="text1"/>
          <w:sz w:val="24"/>
          <w:szCs w:val="24"/>
          <w:shd w:val="clear" w:color="auto" w:fill="FFFFFF"/>
        </w:rPr>
        <w:t>instruida</w:t>
      </w:r>
      <w:proofErr w:type="spellEnd"/>
      <w:r w:rsidRPr="0020138F">
        <w:rPr>
          <w:rFonts w:ascii="Arial" w:hAnsi="Arial" w:cs="Arial"/>
          <w:color w:val="000000" w:themeColor="text1"/>
          <w:sz w:val="24"/>
          <w:szCs w:val="24"/>
          <w:shd w:val="clear" w:color="auto" w:fill="FFFFFF"/>
        </w:rPr>
        <w:t xml:space="preserve"> com título executivo, salvo se ela se fundasse de sentença. Após a reforma introduzida pela Lei 11.232/05, suprimindo a execução de título judicial, que passou a ser objeto de cumprimento (art. 475-I), tornou-se necessária a alteração do artigo 614, para restringir a referência a título extrajudicial, como tal referido no artigo 585, I a VIII. Vale lembrar que título executivo extrajudicial é provado mediante prova </w:t>
      </w:r>
      <w:proofErr w:type="spellStart"/>
      <w:r w:rsidRPr="0020138F">
        <w:rPr>
          <w:rFonts w:ascii="Arial" w:hAnsi="Arial" w:cs="Arial"/>
          <w:color w:val="000000" w:themeColor="text1"/>
          <w:sz w:val="24"/>
          <w:szCs w:val="24"/>
          <w:shd w:val="clear" w:color="auto" w:fill="FFFFFF"/>
        </w:rPr>
        <w:t>preconstituída</w:t>
      </w:r>
      <w:proofErr w:type="spellEnd"/>
      <w:r w:rsidRPr="0020138F">
        <w:rPr>
          <w:rFonts w:ascii="Arial" w:hAnsi="Arial" w:cs="Arial"/>
          <w:color w:val="000000" w:themeColor="text1"/>
          <w:sz w:val="24"/>
          <w:szCs w:val="24"/>
          <w:shd w:val="clear" w:color="auto" w:fill="FFFFFF"/>
        </w:rPr>
        <w:t xml:space="preserve">, feito com a observância de </w:t>
      </w:r>
      <w:proofErr w:type="gramStart"/>
      <w:r w:rsidRPr="0020138F">
        <w:rPr>
          <w:rFonts w:ascii="Arial" w:hAnsi="Arial" w:cs="Arial"/>
          <w:color w:val="000000" w:themeColor="text1"/>
          <w:sz w:val="24"/>
          <w:szCs w:val="24"/>
          <w:shd w:val="clear" w:color="auto" w:fill="FFFFFF"/>
        </w:rPr>
        <w:t>alguma formalidades</w:t>
      </w:r>
      <w:proofErr w:type="gramEnd"/>
      <w:r w:rsidRPr="0020138F">
        <w:rPr>
          <w:rFonts w:ascii="Arial" w:hAnsi="Arial" w:cs="Arial"/>
          <w:color w:val="000000" w:themeColor="text1"/>
          <w:sz w:val="24"/>
          <w:szCs w:val="24"/>
          <w:shd w:val="clear" w:color="auto" w:fill="FFFFFF"/>
        </w:rPr>
        <w:t xml:space="preserve"> legais, sem as quais não passa de uma mero “começo de prova por escrito”, conforme anota CARREIRA ALVIM.</w:t>
      </w:r>
    </w:p>
    <w:p w:rsidR="00490CBE" w:rsidRPr="0020138F" w:rsidRDefault="00490CBE" w:rsidP="00993FAE">
      <w:pPr>
        <w:spacing w:line="360" w:lineRule="auto"/>
        <w:ind w:firstLine="708"/>
        <w:jc w:val="both"/>
        <w:rPr>
          <w:rFonts w:ascii="Arial" w:hAnsi="Arial" w:cs="Arial"/>
          <w:b/>
          <w:sz w:val="24"/>
          <w:szCs w:val="24"/>
        </w:rPr>
      </w:pPr>
      <w:r>
        <w:rPr>
          <w:rFonts w:ascii="Arial" w:hAnsi="Arial" w:cs="Arial"/>
          <w:color w:val="000000" w:themeColor="text1"/>
          <w:sz w:val="24"/>
          <w:szCs w:val="24"/>
          <w:shd w:val="clear" w:color="auto" w:fill="FFFFFF"/>
        </w:rPr>
        <w:t>Embora de grande importância o tema em questão é dotado ainda de pouca doutrina, mas existe a obra bastante comentada do Ex-Ministro do STJ</w:t>
      </w:r>
      <w:r w:rsidR="008B6022">
        <w:rPr>
          <w:rFonts w:ascii="Arial" w:hAnsi="Arial" w:cs="Arial"/>
          <w:color w:val="000000" w:themeColor="text1"/>
          <w:sz w:val="24"/>
          <w:szCs w:val="24"/>
          <w:shd w:val="clear" w:color="auto" w:fill="FFFFFF"/>
        </w:rPr>
        <w:t xml:space="preserve"> e agora Ministro do STF </w:t>
      </w:r>
      <w:proofErr w:type="spellStart"/>
      <w:r w:rsidR="008B6022">
        <w:rPr>
          <w:rFonts w:ascii="Arial" w:hAnsi="Arial" w:cs="Arial"/>
          <w:color w:val="000000" w:themeColor="text1"/>
          <w:sz w:val="24"/>
          <w:szCs w:val="24"/>
          <w:shd w:val="clear" w:color="auto" w:fill="FFFFFF"/>
        </w:rPr>
        <w:t>Luis</w:t>
      </w:r>
      <w:proofErr w:type="spellEnd"/>
      <w:r w:rsidR="008B6022">
        <w:rPr>
          <w:rFonts w:ascii="Arial" w:hAnsi="Arial" w:cs="Arial"/>
          <w:color w:val="000000" w:themeColor="text1"/>
          <w:sz w:val="24"/>
          <w:szCs w:val="24"/>
          <w:shd w:val="clear" w:color="auto" w:fill="FFFFFF"/>
        </w:rPr>
        <w:t xml:space="preserve"> </w:t>
      </w:r>
      <w:proofErr w:type="spellStart"/>
      <w:r w:rsidR="008B6022">
        <w:rPr>
          <w:rFonts w:ascii="Arial" w:hAnsi="Arial" w:cs="Arial"/>
          <w:color w:val="000000" w:themeColor="text1"/>
          <w:sz w:val="24"/>
          <w:szCs w:val="24"/>
          <w:shd w:val="clear" w:color="auto" w:fill="FFFFFF"/>
        </w:rPr>
        <w:t>Fux</w:t>
      </w:r>
      <w:proofErr w:type="spellEnd"/>
      <w:r w:rsidR="008B6022">
        <w:rPr>
          <w:rFonts w:ascii="Arial" w:hAnsi="Arial" w:cs="Arial"/>
          <w:color w:val="000000" w:themeColor="text1"/>
          <w:sz w:val="24"/>
          <w:szCs w:val="24"/>
          <w:shd w:val="clear" w:color="auto" w:fill="FFFFFF"/>
        </w:rPr>
        <w:t>, que fez parte do novo projeto. O relevante tema deve ser levado ao conhecimento o quanto antes de acadêmicos, professores, aplicadores do Direito e sociedade de um modo geral, pois, mais cedo ou mais tarde estaremos com o novo projeto do Código de Processo Civil vigorando em nosso ordenamento jurídico.</w:t>
      </w:r>
    </w:p>
    <w:p w:rsidR="004D1553" w:rsidRPr="00706DE5" w:rsidRDefault="003C0F84" w:rsidP="004C3E7D">
      <w:pPr>
        <w:rPr>
          <w:rFonts w:ascii="Arial" w:hAnsi="Arial" w:cs="Arial"/>
          <w:b/>
          <w:sz w:val="24"/>
          <w:szCs w:val="24"/>
        </w:rPr>
      </w:pPr>
      <w:r>
        <w:rPr>
          <w:rFonts w:ascii="Arial" w:hAnsi="Arial" w:cs="Arial"/>
          <w:b/>
          <w:sz w:val="24"/>
          <w:szCs w:val="24"/>
        </w:rPr>
        <w:t xml:space="preserve">1 </w:t>
      </w:r>
      <w:r w:rsidR="00706DE5">
        <w:rPr>
          <w:rFonts w:ascii="Arial" w:hAnsi="Arial" w:cs="Arial"/>
          <w:b/>
          <w:sz w:val="24"/>
          <w:szCs w:val="24"/>
        </w:rPr>
        <w:t>ENUMERAÇÃO DOS TÍTULOS EXECUTIVOS EXTRAJUDICIAIS.</w:t>
      </w:r>
    </w:p>
    <w:p w:rsidR="00146B61" w:rsidRPr="00146B61" w:rsidRDefault="00146B61" w:rsidP="00146B61">
      <w:pPr>
        <w:spacing w:line="360" w:lineRule="auto"/>
        <w:ind w:firstLine="708"/>
        <w:jc w:val="both"/>
        <w:rPr>
          <w:rFonts w:ascii="Arial" w:hAnsi="Arial" w:cs="Arial"/>
          <w:sz w:val="24"/>
          <w:szCs w:val="24"/>
        </w:rPr>
      </w:pPr>
      <w:r w:rsidRPr="00146B61">
        <w:rPr>
          <w:rFonts w:ascii="Arial" w:hAnsi="Arial" w:cs="Arial"/>
          <w:color w:val="000000" w:themeColor="text1"/>
          <w:sz w:val="24"/>
          <w:szCs w:val="24"/>
          <w:shd w:val="clear" w:color="auto" w:fill="FFFFFF"/>
        </w:rPr>
        <w:t>O artigo 585 prescreve o rol dos diferentes tipos de títulos executivos extrajudiciais, isto é, quais devem ser considerados como tal para fins de cobrança de cobrança pelo processo de execução dispensando o prévio processo de conhecimento.</w:t>
      </w:r>
      <w:r w:rsidRPr="00146B61">
        <w:rPr>
          <w:rStyle w:val="apple-converted-space"/>
          <w:rFonts w:ascii="Arial" w:hAnsi="Arial" w:cs="Arial"/>
          <w:color w:val="666666"/>
          <w:sz w:val="24"/>
          <w:szCs w:val="24"/>
          <w:shd w:val="clear" w:color="auto" w:fill="FFFFFF"/>
        </w:rPr>
        <w:t> </w:t>
      </w:r>
    </w:p>
    <w:p w:rsidR="004D1553" w:rsidRDefault="004D1553" w:rsidP="00146B61">
      <w:pPr>
        <w:spacing w:line="360" w:lineRule="auto"/>
        <w:ind w:firstLine="708"/>
        <w:jc w:val="both"/>
        <w:rPr>
          <w:rFonts w:ascii="Arial" w:hAnsi="Arial" w:cs="Arial"/>
          <w:sz w:val="24"/>
          <w:szCs w:val="24"/>
        </w:rPr>
      </w:pPr>
      <w:r w:rsidRPr="004D1553">
        <w:rPr>
          <w:rFonts w:ascii="Arial" w:hAnsi="Arial" w:cs="Arial"/>
          <w:sz w:val="24"/>
          <w:szCs w:val="24"/>
        </w:rPr>
        <w:t xml:space="preserve">Entre os títulos pode-se elencar, por exemplo: a letra de câmbio, a nota promissória, a duplicata, a debênture e o cheque (inciso I); a escritura pública ou outro documento público assinado pelo devedor, ou o documento particular firmado pelo devedor e por duas testemunhas, bem como o instrumento de transação referendado pelo Ministério Público, pela Defensoria Pública ou pelos advogados dos transatores (inciso II); os contratos garantidos por hipoteca, penhor, anticrese e caução, bem como de seguro de vida (inciso III); o crédito decorrente de foro e </w:t>
      </w:r>
      <w:r w:rsidRPr="004D1553">
        <w:rPr>
          <w:rFonts w:ascii="Arial" w:hAnsi="Arial" w:cs="Arial"/>
          <w:sz w:val="24"/>
          <w:szCs w:val="24"/>
        </w:rPr>
        <w:lastRenderedPageBreak/>
        <w:t xml:space="preserve">laudêmio (inciso IV); o crédito, documentalmente comprovado, decorrente de aluguel de imóvel, bem como de encargos acessórios, tais como taxas e despesas de condomínio (inciso V), devendo entender-se a última cláusula como referente à hipótese de dívida de locatário para com locador, e não à de dívida de condômino para como o condomínio, a qual se rege pelo art. 275, nº II, letra b (na redação da Lei nº 9.245); o crédito de serventuário da justiça, de perito, de intérprete ou de tradutor, quando </w:t>
      </w:r>
      <w:proofErr w:type="gramStart"/>
      <w:r w:rsidRPr="004D1553">
        <w:rPr>
          <w:rFonts w:ascii="Arial" w:hAnsi="Arial" w:cs="Arial"/>
          <w:sz w:val="24"/>
          <w:szCs w:val="24"/>
        </w:rPr>
        <w:t>as custas</w:t>
      </w:r>
      <w:proofErr w:type="gramEnd"/>
      <w:r w:rsidRPr="004D1553">
        <w:rPr>
          <w:rFonts w:ascii="Arial" w:hAnsi="Arial" w:cs="Arial"/>
          <w:sz w:val="24"/>
          <w:szCs w:val="24"/>
        </w:rPr>
        <w:t>, emolumentos ou honorários forem aprovados por decisão judicial (inciso VI); a certidão de dívida ativa da Fazenda Pública da União, Estados, do Distrito Federal, dos Territórios e dos Municípios, correspondente aos créditos inscritos na forma da lei (inciso VII); todos os demais títulos a que, por disposição expressa, a lei atribuir eficácia executiva (inciso VIII).</w:t>
      </w:r>
    </w:p>
    <w:p w:rsidR="00706DE5" w:rsidRDefault="003C0F84" w:rsidP="004D1553">
      <w:pPr>
        <w:spacing w:line="360" w:lineRule="auto"/>
        <w:jc w:val="both"/>
        <w:rPr>
          <w:rFonts w:ascii="Arial" w:hAnsi="Arial" w:cs="Arial"/>
          <w:b/>
          <w:sz w:val="24"/>
          <w:szCs w:val="24"/>
        </w:rPr>
      </w:pPr>
      <w:r>
        <w:rPr>
          <w:rFonts w:ascii="Arial" w:hAnsi="Arial" w:cs="Arial"/>
          <w:b/>
          <w:sz w:val="24"/>
          <w:szCs w:val="24"/>
        </w:rPr>
        <w:t xml:space="preserve">2 </w:t>
      </w:r>
      <w:r w:rsidR="005F2D31">
        <w:rPr>
          <w:rFonts w:ascii="Arial" w:hAnsi="Arial" w:cs="Arial"/>
          <w:b/>
          <w:sz w:val="24"/>
          <w:szCs w:val="24"/>
        </w:rPr>
        <w:t>INADIMPLEMENTO E EXECUÇÃO</w:t>
      </w:r>
    </w:p>
    <w:p w:rsidR="005F2D31" w:rsidRDefault="005F2D31" w:rsidP="004D1553">
      <w:pPr>
        <w:spacing w:line="360" w:lineRule="auto"/>
        <w:jc w:val="both"/>
        <w:rPr>
          <w:rFonts w:ascii="Arial" w:hAnsi="Arial" w:cs="Arial"/>
          <w:sz w:val="24"/>
          <w:szCs w:val="24"/>
        </w:rPr>
      </w:pPr>
      <w:r>
        <w:rPr>
          <w:rFonts w:ascii="Arial" w:hAnsi="Arial" w:cs="Arial"/>
          <w:b/>
          <w:sz w:val="24"/>
          <w:szCs w:val="24"/>
        </w:rPr>
        <w:tab/>
      </w:r>
      <w:r w:rsidRPr="005F2D31">
        <w:rPr>
          <w:rFonts w:ascii="Arial" w:hAnsi="Arial" w:cs="Arial"/>
          <w:sz w:val="24"/>
          <w:szCs w:val="24"/>
        </w:rPr>
        <w:t>O âmbito do processo, ademais, é inoportuno para trazer conceituação de inadimplemento, já que tratar do tema das obrigações e de seu descumprimento constitui matéria afeta ao direito material. Muito embora não se possam divorciar regras e conceitos nestas searas, até por conta do imprescindível nexo com vistas à efet</w:t>
      </w:r>
      <w:r w:rsidR="00D464DF">
        <w:rPr>
          <w:rFonts w:ascii="Arial" w:hAnsi="Arial" w:cs="Arial"/>
          <w:sz w:val="24"/>
          <w:szCs w:val="24"/>
        </w:rPr>
        <w:t>ividade da tutela jurisdicional</w:t>
      </w:r>
      <w:r w:rsidR="00D464DF">
        <w:rPr>
          <w:rStyle w:val="Refdenotaderodap"/>
          <w:rFonts w:ascii="Arial" w:hAnsi="Arial" w:cs="Arial"/>
          <w:sz w:val="24"/>
          <w:szCs w:val="24"/>
        </w:rPr>
        <w:footnoteReference w:id="1"/>
      </w:r>
      <w:r w:rsidRPr="005F2D31">
        <w:rPr>
          <w:rFonts w:ascii="Arial" w:hAnsi="Arial" w:cs="Arial"/>
          <w:sz w:val="24"/>
          <w:szCs w:val="24"/>
        </w:rPr>
        <w:t>, disso não resulta, contudo, que se devam infiltrar na seara processual conceitos oportunos ao direito civil</w:t>
      </w:r>
      <w:r>
        <w:rPr>
          <w:rFonts w:ascii="Arial" w:hAnsi="Arial" w:cs="Arial"/>
          <w:sz w:val="24"/>
          <w:szCs w:val="24"/>
        </w:rPr>
        <w:t>.</w:t>
      </w:r>
    </w:p>
    <w:p w:rsidR="005F2D31" w:rsidRDefault="005F2D31" w:rsidP="004D1553">
      <w:pPr>
        <w:spacing w:line="360" w:lineRule="auto"/>
        <w:jc w:val="both"/>
        <w:rPr>
          <w:rFonts w:ascii="Arial" w:hAnsi="Arial" w:cs="Arial"/>
          <w:sz w:val="24"/>
          <w:szCs w:val="24"/>
        </w:rPr>
      </w:pPr>
      <w:r>
        <w:rPr>
          <w:rFonts w:ascii="Arial" w:hAnsi="Arial" w:cs="Arial"/>
          <w:sz w:val="24"/>
          <w:szCs w:val="24"/>
        </w:rPr>
        <w:tab/>
      </w:r>
      <w:r w:rsidRPr="005F2D31">
        <w:rPr>
          <w:rFonts w:ascii="Arial" w:hAnsi="Arial" w:cs="Arial"/>
          <w:sz w:val="24"/>
          <w:szCs w:val="24"/>
        </w:rPr>
        <w:t xml:space="preserve">O art. 580 do CPC comportava ainda ajuste à sistemática processual vigente, que admite execução com fundamento diverso de inadimplemento de obrigação consubstanciada em título. É o caso, por exemplo, de decisões proferidas com base (tutelas de urgência) que também oportunizam execução, embora sem modelo </w:t>
      </w:r>
      <w:r>
        <w:rPr>
          <w:rFonts w:ascii="Arial" w:hAnsi="Arial" w:cs="Arial"/>
          <w:sz w:val="24"/>
          <w:szCs w:val="24"/>
        </w:rPr>
        <w:t>preestabelecido pelo legislador.</w:t>
      </w:r>
    </w:p>
    <w:p w:rsidR="00D464DF" w:rsidRDefault="00A5397C" w:rsidP="004D1553">
      <w:pPr>
        <w:spacing w:line="360" w:lineRule="auto"/>
        <w:jc w:val="both"/>
        <w:rPr>
          <w:rFonts w:ascii="Arial" w:hAnsi="Arial" w:cs="Arial"/>
          <w:sz w:val="24"/>
          <w:szCs w:val="24"/>
        </w:rPr>
      </w:pPr>
      <w:r>
        <w:rPr>
          <w:rFonts w:ascii="Arial" w:hAnsi="Arial" w:cs="Arial"/>
          <w:sz w:val="24"/>
          <w:szCs w:val="24"/>
        </w:rPr>
        <w:lastRenderedPageBreak/>
        <w:tab/>
        <w:t>Em relação ao art. supracitado, é sentida uma leve diferença ao que propõe o art. 744 parágrafo único, donde este acrescenta no final do seu exposto, o seguinte: Caso em que se observará o procedimento de execução por quantia certa.</w:t>
      </w:r>
    </w:p>
    <w:p w:rsidR="00633DFF" w:rsidRDefault="00633DFF" w:rsidP="004D1553">
      <w:pPr>
        <w:spacing w:line="360" w:lineRule="auto"/>
        <w:jc w:val="both"/>
        <w:rPr>
          <w:rFonts w:ascii="Arial" w:hAnsi="Arial" w:cs="Arial"/>
          <w:sz w:val="24"/>
          <w:szCs w:val="24"/>
        </w:rPr>
      </w:pPr>
      <w:r>
        <w:rPr>
          <w:rFonts w:ascii="Arial" w:hAnsi="Arial" w:cs="Arial"/>
          <w:sz w:val="24"/>
          <w:szCs w:val="24"/>
        </w:rPr>
        <w:tab/>
        <w:t>Dada a excepcional autorização conferida pelo caput do art. 633 do CPC</w:t>
      </w:r>
      <w:r w:rsidR="002B7396">
        <w:rPr>
          <w:rStyle w:val="Refdenotaderodap"/>
          <w:rFonts w:ascii="Arial" w:hAnsi="Arial" w:cs="Arial"/>
          <w:sz w:val="24"/>
          <w:szCs w:val="24"/>
        </w:rPr>
        <w:footnoteReference w:id="2"/>
      </w:r>
      <w:r>
        <w:rPr>
          <w:rFonts w:ascii="Arial" w:hAnsi="Arial" w:cs="Arial"/>
          <w:sz w:val="24"/>
          <w:szCs w:val="24"/>
        </w:rPr>
        <w:t xml:space="preserve"> ao credor de requerer a </w:t>
      </w:r>
      <w:proofErr w:type="spellStart"/>
      <w:r>
        <w:rPr>
          <w:rFonts w:ascii="Arial" w:hAnsi="Arial" w:cs="Arial"/>
          <w:sz w:val="24"/>
          <w:szCs w:val="24"/>
        </w:rPr>
        <w:t>converçao</w:t>
      </w:r>
      <w:proofErr w:type="spellEnd"/>
      <w:r>
        <w:rPr>
          <w:rFonts w:ascii="Arial" w:hAnsi="Arial" w:cs="Arial"/>
          <w:sz w:val="24"/>
          <w:szCs w:val="24"/>
        </w:rPr>
        <w:t xml:space="preserve"> da execução específica em perdas e danos, </w:t>
      </w:r>
      <w:proofErr w:type="gramStart"/>
      <w:r>
        <w:rPr>
          <w:rFonts w:ascii="Arial" w:hAnsi="Arial" w:cs="Arial"/>
          <w:sz w:val="24"/>
          <w:szCs w:val="24"/>
        </w:rPr>
        <w:t xml:space="preserve">nada mais lógico, em caso de deferimento, que ocorra a imediata instauração do procedimento </w:t>
      </w:r>
      <w:proofErr w:type="spellStart"/>
      <w:r>
        <w:rPr>
          <w:rFonts w:ascii="Arial" w:hAnsi="Arial" w:cs="Arial"/>
          <w:sz w:val="24"/>
          <w:szCs w:val="24"/>
        </w:rPr>
        <w:t>liquidatório</w:t>
      </w:r>
      <w:proofErr w:type="spellEnd"/>
      <w:r>
        <w:rPr>
          <w:rFonts w:ascii="Arial" w:hAnsi="Arial" w:cs="Arial"/>
          <w:sz w:val="24"/>
          <w:szCs w:val="24"/>
        </w:rPr>
        <w:t>, por força de aplicação analógica</w:t>
      </w:r>
      <w:proofErr w:type="gramEnd"/>
      <w:r>
        <w:rPr>
          <w:rFonts w:ascii="Arial" w:hAnsi="Arial" w:cs="Arial"/>
          <w:sz w:val="24"/>
          <w:szCs w:val="24"/>
        </w:rPr>
        <w:t>, já que não existe</w:t>
      </w:r>
      <w:r w:rsidR="002B7396">
        <w:rPr>
          <w:rFonts w:ascii="Arial" w:hAnsi="Arial" w:cs="Arial"/>
          <w:sz w:val="24"/>
          <w:szCs w:val="24"/>
        </w:rPr>
        <w:t xml:space="preserve"> sentença a liquidar</w:t>
      </w:r>
      <w:r w:rsidR="002B7396">
        <w:rPr>
          <w:rStyle w:val="Refdenotaderodap"/>
          <w:rFonts w:ascii="Arial" w:hAnsi="Arial" w:cs="Arial"/>
          <w:sz w:val="24"/>
          <w:szCs w:val="24"/>
        </w:rPr>
        <w:footnoteReference w:id="3"/>
      </w:r>
      <w:r w:rsidR="002B7396">
        <w:rPr>
          <w:rFonts w:ascii="Arial" w:hAnsi="Arial" w:cs="Arial"/>
          <w:sz w:val="24"/>
          <w:szCs w:val="24"/>
        </w:rPr>
        <w:t>.</w:t>
      </w:r>
      <w:r>
        <w:rPr>
          <w:rFonts w:ascii="Arial" w:hAnsi="Arial" w:cs="Arial"/>
          <w:sz w:val="24"/>
          <w:szCs w:val="24"/>
        </w:rPr>
        <w:t xml:space="preserve"> </w:t>
      </w:r>
    </w:p>
    <w:p w:rsidR="000716D6" w:rsidRDefault="003C0F84" w:rsidP="004D1553">
      <w:pPr>
        <w:spacing w:line="360" w:lineRule="auto"/>
        <w:jc w:val="both"/>
        <w:rPr>
          <w:rFonts w:ascii="Arial" w:hAnsi="Arial" w:cs="Arial"/>
          <w:b/>
          <w:sz w:val="24"/>
          <w:szCs w:val="24"/>
        </w:rPr>
      </w:pPr>
      <w:r>
        <w:rPr>
          <w:rFonts w:ascii="Arial" w:hAnsi="Arial" w:cs="Arial"/>
          <w:b/>
          <w:sz w:val="24"/>
          <w:szCs w:val="24"/>
        </w:rPr>
        <w:t xml:space="preserve">3 </w:t>
      </w:r>
      <w:r w:rsidR="000716D6" w:rsidRPr="000716D6">
        <w:rPr>
          <w:rFonts w:ascii="Arial" w:hAnsi="Arial" w:cs="Arial"/>
          <w:b/>
          <w:sz w:val="24"/>
          <w:szCs w:val="24"/>
        </w:rPr>
        <w:t>DA EXECUÇÃO PARA A ENTREGA DE COISA</w:t>
      </w:r>
      <w:r w:rsidR="000716D6">
        <w:rPr>
          <w:rFonts w:ascii="Arial" w:hAnsi="Arial" w:cs="Arial"/>
          <w:b/>
          <w:sz w:val="24"/>
          <w:szCs w:val="24"/>
        </w:rPr>
        <w:t>.</w:t>
      </w:r>
    </w:p>
    <w:p w:rsidR="0036679E" w:rsidRPr="003D2C4D" w:rsidRDefault="0036679E" w:rsidP="003D2C4D">
      <w:pPr>
        <w:autoSpaceDE w:val="0"/>
        <w:autoSpaceDN w:val="0"/>
        <w:adjustRightInd w:val="0"/>
        <w:spacing w:after="0" w:line="360" w:lineRule="auto"/>
        <w:jc w:val="both"/>
        <w:rPr>
          <w:rFonts w:ascii="Arial" w:hAnsi="Arial" w:cs="Arial"/>
          <w:b/>
          <w:color w:val="000000" w:themeColor="text1"/>
          <w:sz w:val="24"/>
          <w:szCs w:val="24"/>
        </w:rPr>
      </w:pPr>
      <w:r>
        <w:rPr>
          <w:rFonts w:ascii="Arial" w:hAnsi="Arial" w:cs="Arial"/>
          <w:b/>
          <w:sz w:val="24"/>
          <w:szCs w:val="24"/>
        </w:rPr>
        <w:tab/>
      </w:r>
      <w:r w:rsidR="003D2C4D" w:rsidRPr="003D2C4D">
        <w:rPr>
          <w:rFonts w:ascii="Arial" w:hAnsi="Arial" w:cs="Arial"/>
          <w:color w:val="000000" w:themeColor="text1"/>
          <w:sz w:val="24"/>
          <w:szCs w:val="24"/>
        </w:rPr>
        <w:t>Art. 730.</w:t>
      </w:r>
      <w:r w:rsidR="003D2C4D">
        <w:rPr>
          <w:rFonts w:ascii="Arial" w:hAnsi="Arial" w:cs="Arial"/>
          <w:color w:val="000000" w:themeColor="text1"/>
          <w:sz w:val="24"/>
          <w:szCs w:val="24"/>
        </w:rPr>
        <w:t xml:space="preserve"> </w:t>
      </w:r>
      <w:proofErr w:type="gramStart"/>
      <w:r w:rsidR="003D2C4D">
        <w:rPr>
          <w:rFonts w:ascii="Arial" w:hAnsi="Arial" w:cs="Arial"/>
          <w:color w:val="000000" w:themeColor="text1"/>
          <w:sz w:val="24"/>
          <w:szCs w:val="24"/>
        </w:rPr>
        <w:t>do</w:t>
      </w:r>
      <w:proofErr w:type="gramEnd"/>
      <w:r w:rsidR="003D2C4D">
        <w:rPr>
          <w:rFonts w:ascii="Arial" w:hAnsi="Arial" w:cs="Arial"/>
          <w:color w:val="000000" w:themeColor="text1"/>
          <w:sz w:val="24"/>
          <w:szCs w:val="24"/>
        </w:rPr>
        <w:t xml:space="preserve"> novo Projeto do CPC</w:t>
      </w:r>
      <w:r w:rsidR="003D2C4D" w:rsidRPr="003D2C4D">
        <w:rPr>
          <w:rFonts w:ascii="Arial" w:hAnsi="Arial" w:cs="Arial"/>
          <w:color w:val="000000" w:themeColor="text1"/>
          <w:sz w:val="24"/>
          <w:szCs w:val="24"/>
        </w:rPr>
        <w:t xml:space="preserve"> O devedor de obrigação de entrega de coisa</w:t>
      </w:r>
      <w:r w:rsidR="003D2C4D">
        <w:rPr>
          <w:rFonts w:ascii="Arial" w:hAnsi="Arial" w:cs="Arial"/>
          <w:color w:val="000000" w:themeColor="text1"/>
          <w:sz w:val="24"/>
          <w:szCs w:val="24"/>
        </w:rPr>
        <w:t xml:space="preserve"> </w:t>
      </w:r>
      <w:r w:rsidR="003D2C4D" w:rsidRPr="003D2C4D">
        <w:rPr>
          <w:rFonts w:ascii="Arial" w:hAnsi="Arial" w:cs="Arial"/>
          <w:color w:val="000000" w:themeColor="text1"/>
          <w:sz w:val="24"/>
          <w:szCs w:val="24"/>
        </w:rPr>
        <w:t>certa, constante de título executivo extrajudicial, será</w:t>
      </w:r>
      <w:r w:rsidR="003D2C4D">
        <w:rPr>
          <w:rFonts w:ascii="Arial" w:hAnsi="Arial" w:cs="Arial"/>
          <w:color w:val="000000" w:themeColor="text1"/>
          <w:sz w:val="24"/>
          <w:szCs w:val="24"/>
        </w:rPr>
        <w:t xml:space="preserve"> </w:t>
      </w:r>
      <w:r w:rsidR="003D2C4D" w:rsidRPr="003D2C4D">
        <w:rPr>
          <w:rFonts w:ascii="Arial" w:hAnsi="Arial" w:cs="Arial"/>
          <w:color w:val="000000" w:themeColor="text1"/>
          <w:sz w:val="24"/>
          <w:szCs w:val="24"/>
        </w:rPr>
        <w:t>citado para, dentro de três dias, satisfazer a obrigação.</w:t>
      </w:r>
    </w:p>
    <w:p w:rsidR="000716D6" w:rsidRDefault="0036679E" w:rsidP="0036679E">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b/>
          <w:sz w:val="24"/>
          <w:szCs w:val="24"/>
        </w:rPr>
        <w:tab/>
      </w:r>
      <w:r w:rsidRPr="0036679E">
        <w:rPr>
          <w:rFonts w:ascii="Arial" w:hAnsi="Arial" w:cs="Arial"/>
          <w:color w:val="000000" w:themeColor="text1"/>
          <w:sz w:val="24"/>
          <w:szCs w:val="24"/>
        </w:rPr>
        <w:t>§ 2º Do mandado de citação constará a ordem para imissão na posse ou busca e apreensão, conforme se tratar de imóvel ou de móvel, cujo cumprimento se dará de imediato, se o devedor não realizar a prestação no prazo que lhe foi designado.</w:t>
      </w:r>
    </w:p>
    <w:p w:rsidR="003D2C4D" w:rsidRDefault="003D2C4D" w:rsidP="0036679E">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Duas reformas de extrema importância é notada nesta espécie de </w:t>
      </w:r>
      <w:proofErr w:type="spellStart"/>
      <w:proofErr w:type="gramStart"/>
      <w:r>
        <w:rPr>
          <w:rFonts w:ascii="Arial" w:hAnsi="Arial" w:cs="Arial"/>
          <w:color w:val="000000" w:themeColor="text1"/>
          <w:sz w:val="24"/>
          <w:szCs w:val="24"/>
        </w:rPr>
        <w:t>execução,</w:t>
      </w:r>
      <w:proofErr w:type="gramEnd"/>
      <w:r>
        <w:rPr>
          <w:rFonts w:ascii="Arial" w:hAnsi="Arial" w:cs="Arial"/>
          <w:color w:val="000000" w:themeColor="text1"/>
          <w:sz w:val="24"/>
          <w:szCs w:val="24"/>
        </w:rPr>
        <w:t>pois</w:t>
      </w:r>
      <w:proofErr w:type="spellEnd"/>
      <w:r>
        <w:rPr>
          <w:rFonts w:ascii="Arial" w:hAnsi="Arial" w:cs="Arial"/>
          <w:color w:val="000000" w:themeColor="text1"/>
          <w:sz w:val="24"/>
          <w:szCs w:val="24"/>
        </w:rPr>
        <w:t>, no caput do art. acima, este reduz o prazo de 10 para 3 dias após a citação, para que o devedor satisfaça a obrigação</w:t>
      </w:r>
      <w:r w:rsidR="00271A01">
        <w:rPr>
          <w:rFonts w:ascii="Arial" w:hAnsi="Arial" w:cs="Arial"/>
          <w:color w:val="000000" w:themeColor="text1"/>
          <w:sz w:val="24"/>
          <w:szCs w:val="24"/>
        </w:rPr>
        <w:t>, aqui o a reforma visualizou a idéia de dar mais celeridade ao processo de execução.</w:t>
      </w:r>
    </w:p>
    <w:p w:rsidR="00271A01" w:rsidRDefault="003D2C4D" w:rsidP="00271A01">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No inciso segundo por sua vez traz uma autentica efetividade </w:t>
      </w:r>
      <w:r w:rsidR="00271A01">
        <w:rPr>
          <w:rFonts w:ascii="Arial" w:hAnsi="Arial" w:cs="Arial"/>
          <w:color w:val="000000" w:themeColor="text1"/>
          <w:sz w:val="24"/>
          <w:szCs w:val="24"/>
        </w:rPr>
        <w:t xml:space="preserve">por trazer no mandado de citação a ordem de imissão de posse ou busca e apreensão, se tratando de imóvel ou móvel, </w:t>
      </w:r>
      <w:r w:rsidR="00271A01" w:rsidRPr="0036679E">
        <w:rPr>
          <w:rFonts w:ascii="Arial" w:hAnsi="Arial" w:cs="Arial"/>
          <w:color w:val="000000" w:themeColor="text1"/>
          <w:sz w:val="24"/>
          <w:szCs w:val="24"/>
        </w:rPr>
        <w:t>cujo cumprimento se dará de imediato, se o devedor não realizar a prestação no prazo que lhe foi designado.</w:t>
      </w:r>
    </w:p>
    <w:p w:rsidR="003D2C4D" w:rsidRPr="0036679E" w:rsidRDefault="003D2C4D" w:rsidP="0036679E">
      <w:pPr>
        <w:autoSpaceDE w:val="0"/>
        <w:autoSpaceDN w:val="0"/>
        <w:adjustRightInd w:val="0"/>
        <w:spacing w:after="0" w:line="360" w:lineRule="auto"/>
        <w:jc w:val="both"/>
        <w:rPr>
          <w:rFonts w:ascii="Arial" w:hAnsi="Arial" w:cs="Arial"/>
          <w:b/>
          <w:sz w:val="24"/>
          <w:szCs w:val="24"/>
        </w:rPr>
      </w:pPr>
    </w:p>
    <w:p w:rsidR="00D75618" w:rsidRDefault="003C0F84" w:rsidP="004D1553">
      <w:pPr>
        <w:spacing w:line="360" w:lineRule="auto"/>
        <w:jc w:val="both"/>
        <w:rPr>
          <w:rFonts w:ascii="Arial" w:hAnsi="Arial" w:cs="Arial"/>
          <w:b/>
          <w:sz w:val="24"/>
          <w:szCs w:val="24"/>
        </w:rPr>
      </w:pPr>
      <w:r>
        <w:rPr>
          <w:rFonts w:ascii="Arial" w:hAnsi="Arial" w:cs="Arial"/>
          <w:b/>
          <w:sz w:val="24"/>
          <w:szCs w:val="24"/>
        </w:rPr>
        <w:t xml:space="preserve">4 </w:t>
      </w:r>
      <w:r w:rsidR="00D75618">
        <w:rPr>
          <w:rFonts w:ascii="Arial" w:hAnsi="Arial" w:cs="Arial"/>
          <w:b/>
          <w:sz w:val="24"/>
          <w:szCs w:val="24"/>
        </w:rPr>
        <w:t>PENHORA</w:t>
      </w:r>
    </w:p>
    <w:p w:rsidR="000C7D7B" w:rsidRDefault="000C7D7B" w:rsidP="000C7D7B">
      <w:pPr>
        <w:spacing w:line="360" w:lineRule="auto"/>
        <w:jc w:val="both"/>
        <w:rPr>
          <w:rFonts w:ascii="Arial" w:hAnsi="Arial" w:cs="Arial"/>
          <w:sz w:val="24"/>
          <w:szCs w:val="24"/>
        </w:rPr>
      </w:pPr>
      <w:r>
        <w:rPr>
          <w:rFonts w:ascii="Arial" w:hAnsi="Arial" w:cs="Arial"/>
          <w:sz w:val="24"/>
          <w:szCs w:val="24"/>
        </w:rPr>
        <w:t>T</w:t>
      </w:r>
      <w:r w:rsidRPr="000C7D7B">
        <w:rPr>
          <w:rFonts w:ascii="Arial" w:hAnsi="Arial" w:cs="Arial"/>
          <w:sz w:val="24"/>
          <w:szCs w:val="24"/>
        </w:rPr>
        <w:t xml:space="preserve">exto atual: Art. 655. A penhora observará, preferencialmente, </w:t>
      </w:r>
      <w:r>
        <w:rPr>
          <w:rFonts w:ascii="Arial" w:hAnsi="Arial" w:cs="Arial"/>
          <w:sz w:val="24"/>
          <w:szCs w:val="24"/>
        </w:rPr>
        <w:t>a seguinte ordem:</w:t>
      </w:r>
    </w:p>
    <w:p w:rsidR="000C7D7B" w:rsidRDefault="000C7D7B" w:rsidP="000C7D7B">
      <w:pPr>
        <w:spacing w:line="360" w:lineRule="auto"/>
        <w:ind w:left="708"/>
        <w:jc w:val="both"/>
        <w:rPr>
          <w:rFonts w:ascii="Arial" w:hAnsi="Arial" w:cs="Arial"/>
          <w:sz w:val="24"/>
          <w:szCs w:val="24"/>
        </w:rPr>
      </w:pPr>
      <w:r w:rsidRPr="000C7D7B">
        <w:rPr>
          <w:rFonts w:ascii="Arial" w:hAnsi="Arial" w:cs="Arial"/>
          <w:sz w:val="24"/>
          <w:szCs w:val="24"/>
        </w:rPr>
        <w:lastRenderedPageBreak/>
        <w:t>I – dinheiro, em espécie ou em depósito ou aplic</w:t>
      </w:r>
      <w:r>
        <w:rPr>
          <w:rFonts w:ascii="Arial" w:hAnsi="Arial" w:cs="Arial"/>
          <w:sz w:val="24"/>
          <w:szCs w:val="24"/>
        </w:rPr>
        <w:t>ação em instituição financeira;</w:t>
      </w:r>
    </w:p>
    <w:p w:rsidR="000C7D7B" w:rsidRPr="000C7D7B" w:rsidRDefault="000C7D7B" w:rsidP="000C7D7B">
      <w:pPr>
        <w:spacing w:line="36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II – veículos de via terrestre;</w:t>
      </w:r>
    </w:p>
    <w:p w:rsidR="000C7D7B" w:rsidRPr="000C7D7B" w:rsidRDefault="000C7D7B" w:rsidP="000C7D7B">
      <w:pPr>
        <w:spacing w:after="120" w:line="240" w:lineRule="auto"/>
        <w:ind w:firstLine="708"/>
        <w:jc w:val="both"/>
        <w:rPr>
          <w:rFonts w:ascii="Arial" w:hAnsi="Arial" w:cs="Arial"/>
          <w:sz w:val="24"/>
          <w:szCs w:val="24"/>
        </w:rPr>
      </w:pPr>
      <w:r w:rsidRPr="000C7D7B">
        <w:rPr>
          <w:rFonts w:ascii="Arial" w:hAnsi="Arial" w:cs="Arial"/>
          <w:sz w:val="24"/>
          <w:szCs w:val="24"/>
        </w:rPr>
        <w:t>III – bens móveis em geral;</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IV – bens imóveis;</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V – navios e aeronaves;</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VI – ações e quotas de sociedades empresárias;</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VII – percentual do faturamento de empresa devedora;</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VIII – pedras e metais preciosos;</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IX – títulos da dívida pública da União, Estados e Distrito Federal com cotação em mercado;</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X – títulos e valores mobiliários com cotação em mercado;</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XI – outros direitos.</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 xml:space="preserve"> § 1º Na execução de crédito com garantia hipotecária, pignoratícia ou anticrética, a penhora recairá, preferencialmente, sobre a coisa dada em garantia; se a coisa pertencer a terceiro garantidor, será também esse intimado da penhora.</w:t>
      </w:r>
    </w:p>
    <w:p w:rsidR="000C7D7B" w:rsidRPr="000C7D7B" w:rsidRDefault="000C7D7B" w:rsidP="000C7D7B">
      <w:pPr>
        <w:spacing w:after="120" w:line="240" w:lineRule="auto"/>
        <w:jc w:val="both"/>
        <w:rPr>
          <w:rFonts w:ascii="Arial" w:hAnsi="Arial" w:cs="Arial"/>
          <w:sz w:val="24"/>
          <w:szCs w:val="24"/>
        </w:rPr>
      </w:pPr>
    </w:p>
    <w:p w:rsidR="000C7D7B" w:rsidRPr="000C7D7B" w:rsidRDefault="000C7D7B" w:rsidP="000C7D7B">
      <w:pPr>
        <w:spacing w:after="120" w:line="240" w:lineRule="auto"/>
        <w:jc w:val="both"/>
        <w:rPr>
          <w:rFonts w:ascii="Arial" w:hAnsi="Arial" w:cs="Arial"/>
          <w:sz w:val="24"/>
          <w:szCs w:val="24"/>
        </w:rPr>
      </w:pPr>
      <w:r w:rsidRPr="000C7D7B">
        <w:rPr>
          <w:rFonts w:ascii="Arial" w:hAnsi="Arial" w:cs="Arial"/>
          <w:sz w:val="24"/>
          <w:szCs w:val="24"/>
        </w:rPr>
        <w:t xml:space="preserve">    </w:t>
      </w:r>
      <w:r>
        <w:rPr>
          <w:rFonts w:ascii="Arial" w:hAnsi="Arial" w:cs="Arial"/>
          <w:sz w:val="24"/>
          <w:szCs w:val="24"/>
        </w:rPr>
        <w:tab/>
      </w:r>
      <w:r w:rsidRPr="000C7D7B">
        <w:rPr>
          <w:rFonts w:ascii="Arial" w:hAnsi="Arial" w:cs="Arial"/>
          <w:sz w:val="24"/>
          <w:szCs w:val="24"/>
        </w:rPr>
        <w:t>§ 2º Recaindo a penhora em bens imóveis, será intimado também o cônjuge do executado.</w:t>
      </w:r>
    </w:p>
    <w:p w:rsidR="00777813" w:rsidRDefault="000C7D7B" w:rsidP="004D1553">
      <w:pPr>
        <w:spacing w:line="360" w:lineRule="auto"/>
        <w:jc w:val="both"/>
        <w:rPr>
          <w:rFonts w:ascii="Arial" w:hAnsi="Arial" w:cs="Arial"/>
          <w:sz w:val="24"/>
          <w:szCs w:val="24"/>
        </w:rPr>
      </w:pPr>
      <w:r>
        <w:rPr>
          <w:rFonts w:ascii="Arial" w:hAnsi="Arial" w:cs="Arial"/>
          <w:sz w:val="24"/>
          <w:szCs w:val="24"/>
        </w:rPr>
        <w:tab/>
      </w:r>
      <w:r w:rsidR="00B15038">
        <w:rPr>
          <w:rFonts w:ascii="Arial" w:hAnsi="Arial" w:cs="Arial"/>
          <w:sz w:val="24"/>
          <w:szCs w:val="24"/>
        </w:rPr>
        <w:t>Referente aos bens acima expostos, o novo projeto do CPC, como forma de dar efetividade ao processo de execução determinará o seguinte</w:t>
      </w:r>
      <w:r w:rsidR="00B15038">
        <w:rPr>
          <w:rStyle w:val="Refdenotaderodap"/>
          <w:rFonts w:ascii="Arial" w:hAnsi="Arial" w:cs="Arial"/>
          <w:sz w:val="24"/>
          <w:szCs w:val="24"/>
        </w:rPr>
        <w:footnoteReference w:id="4"/>
      </w:r>
      <w:r w:rsidR="00B15038">
        <w:rPr>
          <w:rFonts w:ascii="Arial" w:hAnsi="Arial" w:cs="Arial"/>
          <w:sz w:val="24"/>
          <w:szCs w:val="24"/>
        </w:rPr>
        <w:t>:</w:t>
      </w:r>
    </w:p>
    <w:p w:rsidR="00C338A2" w:rsidRPr="00C338A2" w:rsidRDefault="00C338A2" w:rsidP="00C338A2">
      <w:pPr>
        <w:autoSpaceDE w:val="0"/>
        <w:autoSpaceDN w:val="0"/>
        <w:adjustRightInd w:val="0"/>
        <w:spacing w:after="0" w:line="360" w:lineRule="auto"/>
        <w:rPr>
          <w:rFonts w:ascii="Arial" w:hAnsi="Arial" w:cs="Arial"/>
          <w:color w:val="000000"/>
          <w:sz w:val="24"/>
          <w:szCs w:val="24"/>
        </w:rPr>
      </w:pPr>
      <w:r>
        <w:rPr>
          <w:rFonts w:ascii="Arial" w:hAnsi="Arial" w:cs="Arial"/>
          <w:sz w:val="24"/>
          <w:szCs w:val="24"/>
        </w:rPr>
        <w:lastRenderedPageBreak/>
        <w:tab/>
        <w:t xml:space="preserve">Art. </w:t>
      </w:r>
      <w:r w:rsidRPr="00C338A2">
        <w:rPr>
          <w:rFonts w:ascii="Arial" w:hAnsi="Arial" w:cs="Arial"/>
          <w:color w:val="000000" w:themeColor="text1"/>
          <w:sz w:val="24"/>
          <w:szCs w:val="24"/>
        </w:rPr>
        <w:t>769</w:t>
      </w:r>
      <w:r w:rsidRPr="00C338A2">
        <w:rPr>
          <w:rFonts w:ascii="Arial" w:hAnsi="Arial" w:cs="Arial"/>
          <w:color w:val="000000"/>
          <w:sz w:val="24"/>
          <w:szCs w:val="24"/>
        </w:rPr>
        <w:t>. Efetuar-se-á a penhora onde quer que se</w:t>
      </w:r>
      <w:r w:rsidR="00C43684">
        <w:rPr>
          <w:rFonts w:ascii="Arial" w:hAnsi="Arial" w:cs="Arial"/>
          <w:color w:val="000000"/>
          <w:sz w:val="24"/>
          <w:szCs w:val="24"/>
        </w:rPr>
        <w:t xml:space="preserve"> </w:t>
      </w:r>
      <w:r w:rsidRPr="00C338A2">
        <w:rPr>
          <w:rFonts w:ascii="Arial" w:hAnsi="Arial" w:cs="Arial"/>
          <w:color w:val="000000"/>
          <w:sz w:val="24"/>
          <w:szCs w:val="24"/>
        </w:rPr>
        <w:t xml:space="preserve">encontrem os bens, ainda que sob a posse, </w:t>
      </w:r>
      <w:r w:rsidRPr="00C43684">
        <w:rPr>
          <w:rFonts w:ascii="Arial" w:hAnsi="Arial" w:cs="Arial"/>
          <w:color w:val="000000" w:themeColor="text1"/>
          <w:sz w:val="24"/>
          <w:szCs w:val="24"/>
        </w:rPr>
        <w:t>a</w:t>
      </w:r>
      <w:r w:rsidRPr="00C338A2">
        <w:rPr>
          <w:rFonts w:ascii="Arial" w:hAnsi="Arial" w:cs="Arial"/>
          <w:color w:val="FF0000"/>
          <w:sz w:val="24"/>
          <w:szCs w:val="24"/>
        </w:rPr>
        <w:t xml:space="preserve"> </w:t>
      </w:r>
      <w:r w:rsidRPr="00C338A2">
        <w:rPr>
          <w:rFonts w:ascii="Arial" w:hAnsi="Arial" w:cs="Arial"/>
          <w:color w:val="000000"/>
          <w:sz w:val="24"/>
          <w:szCs w:val="24"/>
        </w:rPr>
        <w:t>detenção</w:t>
      </w:r>
      <w:r w:rsidR="00C43684">
        <w:rPr>
          <w:rFonts w:ascii="Arial" w:hAnsi="Arial" w:cs="Arial"/>
          <w:color w:val="000000"/>
          <w:sz w:val="24"/>
          <w:szCs w:val="24"/>
        </w:rPr>
        <w:t xml:space="preserve"> </w:t>
      </w:r>
      <w:r w:rsidRPr="00C338A2">
        <w:rPr>
          <w:rFonts w:ascii="Arial" w:hAnsi="Arial" w:cs="Arial"/>
          <w:color w:val="000000"/>
          <w:sz w:val="24"/>
          <w:szCs w:val="24"/>
        </w:rPr>
        <w:t>ou a guarda de terceiros.</w:t>
      </w:r>
    </w:p>
    <w:p w:rsidR="00C338A2" w:rsidRPr="00C338A2" w:rsidRDefault="00C338A2" w:rsidP="00C43684">
      <w:pPr>
        <w:autoSpaceDE w:val="0"/>
        <w:autoSpaceDN w:val="0"/>
        <w:adjustRightInd w:val="0"/>
        <w:spacing w:after="0" w:line="360" w:lineRule="auto"/>
        <w:ind w:firstLine="708"/>
        <w:rPr>
          <w:rFonts w:ascii="Arial" w:hAnsi="Arial" w:cs="Arial"/>
          <w:b/>
          <w:color w:val="000000" w:themeColor="text1"/>
          <w:sz w:val="24"/>
          <w:szCs w:val="24"/>
        </w:rPr>
      </w:pPr>
      <w:r w:rsidRPr="00C338A2">
        <w:rPr>
          <w:rFonts w:ascii="Arial" w:hAnsi="Arial" w:cs="Arial"/>
          <w:color w:val="000000" w:themeColor="text1"/>
          <w:sz w:val="24"/>
          <w:szCs w:val="24"/>
        </w:rPr>
        <w:t>§ 1º</w:t>
      </w:r>
      <w:r w:rsidRPr="00C338A2">
        <w:rPr>
          <w:rFonts w:ascii="Arial" w:hAnsi="Arial" w:cs="Arial"/>
          <w:color w:val="FF0000"/>
          <w:sz w:val="24"/>
          <w:szCs w:val="24"/>
        </w:rPr>
        <w:t xml:space="preserve"> </w:t>
      </w:r>
      <w:r w:rsidRPr="00C338A2">
        <w:rPr>
          <w:rFonts w:ascii="Arial" w:hAnsi="Arial" w:cs="Arial"/>
          <w:color w:val="000000"/>
          <w:sz w:val="24"/>
          <w:szCs w:val="24"/>
        </w:rPr>
        <w:t>A penhora de imóveis</w:t>
      </w:r>
      <w:r w:rsidRPr="00C338A2">
        <w:rPr>
          <w:rFonts w:ascii="Arial" w:hAnsi="Arial" w:cs="Arial"/>
          <w:color w:val="FF0000"/>
          <w:sz w:val="24"/>
          <w:szCs w:val="24"/>
        </w:rPr>
        <w:t>,</w:t>
      </w:r>
      <w:r w:rsidRPr="00C338A2">
        <w:rPr>
          <w:rFonts w:ascii="Arial" w:hAnsi="Arial" w:cs="Arial"/>
          <w:b/>
          <w:color w:val="FF0000"/>
          <w:sz w:val="24"/>
          <w:szCs w:val="24"/>
        </w:rPr>
        <w:t xml:space="preserve"> </w:t>
      </w:r>
      <w:r w:rsidRPr="00C338A2">
        <w:rPr>
          <w:rFonts w:ascii="Arial" w:hAnsi="Arial" w:cs="Arial"/>
          <w:b/>
          <w:color w:val="000000" w:themeColor="text1"/>
          <w:sz w:val="24"/>
          <w:szCs w:val="24"/>
        </w:rPr>
        <w:t xml:space="preserve">independentemente de onde se localizem, quando apresentada certidão da respectiva matrícula, e a penhora de veículos automotores, quando apresentada certidão que ateste a sua existência, </w:t>
      </w:r>
      <w:proofErr w:type="gramStart"/>
      <w:r w:rsidRPr="00C338A2">
        <w:rPr>
          <w:rFonts w:ascii="Arial" w:hAnsi="Arial" w:cs="Arial"/>
          <w:b/>
          <w:color w:val="000000" w:themeColor="text1"/>
          <w:sz w:val="24"/>
          <w:szCs w:val="24"/>
        </w:rPr>
        <w:t>serão</w:t>
      </w:r>
      <w:proofErr w:type="gramEnd"/>
    </w:p>
    <w:p w:rsidR="00C338A2" w:rsidRPr="00C338A2" w:rsidRDefault="00C338A2" w:rsidP="00C338A2">
      <w:pPr>
        <w:autoSpaceDE w:val="0"/>
        <w:autoSpaceDN w:val="0"/>
        <w:adjustRightInd w:val="0"/>
        <w:spacing w:after="0" w:line="360" w:lineRule="auto"/>
        <w:rPr>
          <w:rFonts w:ascii="Arial" w:hAnsi="Arial" w:cs="Arial"/>
          <w:sz w:val="24"/>
          <w:szCs w:val="24"/>
        </w:rPr>
      </w:pPr>
      <w:proofErr w:type="gramStart"/>
      <w:r w:rsidRPr="00C338A2">
        <w:rPr>
          <w:rFonts w:ascii="Arial" w:hAnsi="Arial" w:cs="Arial"/>
          <w:b/>
          <w:color w:val="000000" w:themeColor="text1"/>
          <w:sz w:val="24"/>
          <w:szCs w:val="24"/>
        </w:rPr>
        <w:t>realizadas</w:t>
      </w:r>
      <w:proofErr w:type="gramEnd"/>
      <w:r w:rsidR="00C43684">
        <w:rPr>
          <w:rStyle w:val="Refdenotaderodap"/>
          <w:rFonts w:ascii="Arial" w:hAnsi="Arial" w:cs="Arial"/>
          <w:b/>
          <w:color w:val="000000" w:themeColor="text1"/>
          <w:sz w:val="24"/>
          <w:szCs w:val="24"/>
        </w:rPr>
        <w:footnoteReference w:id="5"/>
      </w:r>
      <w:r w:rsidRPr="00C338A2">
        <w:rPr>
          <w:rFonts w:ascii="Arial" w:hAnsi="Arial" w:cs="Arial"/>
          <w:color w:val="FF0000"/>
          <w:sz w:val="24"/>
          <w:szCs w:val="24"/>
        </w:rPr>
        <w:t xml:space="preserve"> </w:t>
      </w:r>
      <w:r w:rsidRPr="00C338A2">
        <w:rPr>
          <w:rFonts w:ascii="Arial" w:hAnsi="Arial" w:cs="Arial"/>
          <w:color w:val="000000"/>
          <w:sz w:val="24"/>
          <w:szCs w:val="24"/>
        </w:rPr>
        <w:t>por termo nos autos, do qual será intimado o</w:t>
      </w:r>
      <w:r>
        <w:rPr>
          <w:rFonts w:ascii="Arial" w:hAnsi="Arial" w:cs="Arial"/>
          <w:color w:val="000000"/>
          <w:sz w:val="24"/>
          <w:szCs w:val="24"/>
        </w:rPr>
        <w:t xml:space="preserve"> </w:t>
      </w:r>
      <w:r w:rsidRPr="00C338A2">
        <w:rPr>
          <w:rFonts w:ascii="Arial" w:hAnsi="Arial" w:cs="Arial"/>
          <w:color w:val="000000"/>
          <w:sz w:val="24"/>
          <w:szCs w:val="24"/>
        </w:rPr>
        <w:t>executado, pessoalmente ou na pessoa de seu</w:t>
      </w:r>
      <w:r>
        <w:rPr>
          <w:rFonts w:ascii="Arial" w:hAnsi="Arial" w:cs="Arial"/>
          <w:color w:val="000000"/>
          <w:sz w:val="24"/>
          <w:szCs w:val="24"/>
        </w:rPr>
        <w:t xml:space="preserve"> </w:t>
      </w:r>
      <w:r w:rsidRPr="00C338A2">
        <w:rPr>
          <w:rFonts w:ascii="Arial" w:hAnsi="Arial" w:cs="Arial"/>
          <w:color w:val="000000"/>
          <w:sz w:val="24"/>
          <w:szCs w:val="24"/>
        </w:rPr>
        <w:t xml:space="preserve">advogado, e por </w:t>
      </w:r>
      <w:r w:rsidRPr="00C338A2">
        <w:rPr>
          <w:rFonts w:ascii="Arial" w:hAnsi="Arial" w:cs="Arial"/>
          <w:color w:val="000000" w:themeColor="text1"/>
          <w:sz w:val="24"/>
          <w:szCs w:val="24"/>
        </w:rPr>
        <w:t xml:space="preserve">esse ato será </w:t>
      </w:r>
      <w:r w:rsidRPr="00C338A2">
        <w:rPr>
          <w:rFonts w:ascii="Arial" w:hAnsi="Arial" w:cs="Arial"/>
          <w:color w:val="000000"/>
          <w:sz w:val="24"/>
          <w:szCs w:val="24"/>
        </w:rPr>
        <w:t>constituído depositário</w:t>
      </w:r>
      <w:r w:rsidRPr="00C338A2">
        <w:rPr>
          <w:rFonts w:ascii="Arial" w:hAnsi="Arial" w:cs="Arial"/>
          <w:color w:val="FF0000"/>
          <w:sz w:val="24"/>
          <w:szCs w:val="24"/>
        </w:rPr>
        <w:t>.</w:t>
      </w:r>
    </w:p>
    <w:p w:rsidR="00CF062A" w:rsidRDefault="00490CBE" w:rsidP="004D1553">
      <w:pPr>
        <w:spacing w:line="360" w:lineRule="auto"/>
        <w:jc w:val="both"/>
        <w:rPr>
          <w:rFonts w:ascii="Arial" w:hAnsi="Arial" w:cs="Arial"/>
          <w:b/>
          <w:sz w:val="24"/>
          <w:szCs w:val="24"/>
        </w:rPr>
      </w:pPr>
      <w:r>
        <w:rPr>
          <w:rFonts w:ascii="Arial" w:hAnsi="Arial" w:cs="Arial"/>
          <w:b/>
          <w:sz w:val="24"/>
          <w:szCs w:val="24"/>
        </w:rPr>
        <w:t>5 DA SUBSTITUIÇÃO DA PENHORA.</w:t>
      </w:r>
    </w:p>
    <w:p w:rsidR="00CF062A" w:rsidRDefault="00C24E63" w:rsidP="007E7EE0">
      <w:pPr>
        <w:autoSpaceDE w:val="0"/>
        <w:autoSpaceDN w:val="0"/>
        <w:adjustRightInd w:val="0"/>
        <w:spacing w:after="0" w:line="360" w:lineRule="auto"/>
        <w:ind w:firstLine="708"/>
        <w:rPr>
          <w:rFonts w:ascii="Arial" w:hAnsi="Arial" w:cs="Arial"/>
          <w:color w:val="000000" w:themeColor="text1"/>
          <w:sz w:val="24"/>
          <w:szCs w:val="24"/>
        </w:rPr>
      </w:pPr>
      <w:r w:rsidRPr="00C24E63">
        <w:rPr>
          <w:rFonts w:ascii="Arial" w:hAnsi="Arial" w:cs="Arial"/>
          <w:color w:val="000000" w:themeColor="text1"/>
          <w:sz w:val="24"/>
          <w:szCs w:val="24"/>
        </w:rPr>
        <w:t>Art. 774. Será admitida a redução ou a ampliação da</w:t>
      </w:r>
      <w:r>
        <w:rPr>
          <w:rFonts w:ascii="Arial" w:hAnsi="Arial" w:cs="Arial"/>
          <w:color w:val="000000" w:themeColor="text1"/>
          <w:sz w:val="24"/>
          <w:szCs w:val="24"/>
        </w:rPr>
        <w:t xml:space="preserve"> </w:t>
      </w:r>
      <w:r w:rsidRPr="00C24E63">
        <w:rPr>
          <w:rFonts w:ascii="Arial" w:hAnsi="Arial" w:cs="Arial"/>
          <w:color w:val="000000" w:themeColor="text1"/>
          <w:sz w:val="24"/>
          <w:szCs w:val="24"/>
        </w:rPr>
        <w:t>penhora, bem como sua transferência para outros bens,</w:t>
      </w:r>
      <w:r>
        <w:rPr>
          <w:rFonts w:ascii="Arial" w:hAnsi="Arial" w:cs="Arial"/>
          <w:color w:val="000000" w:themeColor="text1"/>
          <w:sz w:val="24"/>
          <w:szCs w:val="24"/>
        </w:rPr>
        <w:t xml:space="preserve"> </w:t>
      </w:r>
      <w:r w:rsidRPr="00C24E63">
        <w:rPr>
          <w:rFonts w:ascii="Arial" w:hAnsi="Arial" w:cs="Arial"/>
          <w:color w:val="000000" w:themeColor="text1"/>
          <w:sz w:val="24"/>
          <w:szCs w:val="24"/>
        </w:rPr>
        <w:t>s</w:t>
      </w:r>
      <w:r>
        <w:rPr>
          <w:rFonts w:ascii="Arial" w:hAnsi="Arial" w:cs="Arial"/>
          <w:color w:val="000000" w:themeColor="text1"/>
          <w:sz w:val="24"/>
          <w:szCs w:val="24"/>
        </w:rPr>
        <w:t>e</w:t>
      </w:r>
      <w:r w:rsidRPr="00C24E63">
        <w:rPr>
          <w:rFonts w:ascii="Arial" w:hAnsi="Arial" w:cs="Arial"/>
          <w:color w:val="000000" w:themeColor="text1"/>
          <w:sz w:val="24"/>
          <w:szCs w:val="24"/>
        </w:rPr>
        <w:t>, no curso do processo, o valor de mercado dos bens</w:t>
      </w:r>
      <w:r>
        <w:rPr>
          <w:rFonts w:ascii="Arial" w:hAnsi="Arial" w:cs="Arial"/>
          <w:color w:val="000000" w:themeColor="text1"/>
          <w:sz w:val="24"/>
          <w:szCs w:val="24"/>
        </w:rPr>
        <w:t xml:space="preserve"> </w:t>
      </w:r>
      <w:r w:rsidRPr="00C24E63">
        <w:rPr>
          <w:rFonts w:ascii="Arial" w:hAnsi="Arial" w:cs="Arial"/>
          <w:color w:val="000000" w:themeColor="text1"/>
          <w:sz w:val="24"/>
          <w:szCs w:val="24"/>
        </w:rPr>
        <w:t>penhorados sofrer alteração significativa.</w:t>
      </w:r>
    </w:p>
    <w:p w:rsidR="00C24E63" w:rsidRPr="00C24E63" w:rsidRDefault="00D0583E" w:rsidP="00C24E63">
      <w:pPr>
        <w:autoSpaceDE w:val="0"/>
        <w:autoSpaceDN w:val="0"/>
        <w:adjustRightInd w:val="0"/>
        <w:spacing w:after="0" w:line="360" w:lineRule="auto"/>
        <w:rPr>
          <w:rFonts w:ascii="Arial" w:hAnsi="Arial" w:cs="Arial"/>
          <w:color w:val="000000" w:themeColor="text1"/>
          <w:sz w:val="24"/>
          <w:szCs w:val="24"/>
        </w:rPr>
      </w:pPr>
      <w:r>
        <w:rPr>
          <w:rFonts w:ascii="Arial" w:hAnsi="Arial" w:cs="Arial"/>
          <w:color w:val="000000" w:themeColor="text1"/>
          <w:sz w:val="24"/>
          <w:szCs w:val="24"/>
        </w:rPr>
        <w:tab/>
        <w:t xml:space="preserve">Em relação </w:t>
      </w: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substitui</w:t>
      </w:r>
      <w:r w:rsidR="00C24E63">
        <w:rPr>
          <w:rFonts w:ascii="Arial" w:hAnsi="Arial" w:cs="Arial"/>
          <w:color w:val="000000" w:themeColor="text1"/>
          <w:sz w:val="24"/>
          <w:szCs w:val="24"/>
        </w:rPr>
        <w:t>ção da penhora só houve mudanças no que toca</w:t>
      </w:r>
      <w:r w:rsidR="000F4074">
        <w:rPr>
          <w:rFonts w:ascii="Arial" w:hAnsi="Arial" w:cs="Arial"/>
          <w:color w:val="000000" w:themeColor="text1"/>
          <w:sz w:val="24"/>
          <w:szCs w:val="24"/>
        </w:rPr>
        <w:t xml:space="preserve"> aos termos inseridos em cada inciso do art. 668 do código atual.</w:t>
      </w:r>
    </w:p>
    <w:p w:rsidR="0077544E" w:rsidRDefault="0077544E" w:rsidP="004D1553">
      <w:pPr>
        <w:spacing w:line="360" w:lineRule="auto"/>
        <w:jc w:val="both"/>
        <w:rPr>
          <w:rFonts w:ascii="Arial" w:hAnsi="Arial" w:cs="Arial"/>
          <w:b/>
          <w:sz w:val="24"/>
          <w:szCs w:val="24"/>
        </w:rPr>
      </w:pPr>
    </w:p>
    <w:p w:rsidR="009B39E8" w:rsidRDefault="00490CBE" w:rsidP="004D1553">
      <w:pPr>
        <w:spacing w:line="360" w:lineRule="auto"/>
        <w:jc w:val="both"/>
        <w:rPr>
          <w:rFonts w:ascii="Arial" w:hAnsi="Arial" w:cs="Arial"/>
          <w:b/>
          <w:sz w:val="24"/>
          <w:szCs w:val="24"/>
        </w:rPr>
      </w:pPr>
      <w:r>
        <w:rPr>
          <w:rFonts w:ascii="Arial" w:hAnsi="Arial" w:cs="Arial"/>
          <w:b/>
          <w:sz w:val="24"/>
          <w:szCs w:val="24"/>
        </w:rPr>
        <w:t xml:space="preserve">6 </w:t>
      </w:r>
      <w:r w:rsidR="008D64FF">
        <w:rPr>
          <w:rFonts w:ascii="Arial" w:hAnsi="Arial" w:cs="Arial"/>
          <w:b/>
          <w:sz w:val="24"/>
          <w:szCs w:val="24"/>
        </w:rPr>
        <w:t>SUSPENSÃO E EXTINÇÃO DO PROCESSO DE EXECUÇÃO</w:t>
      </w:r>
    </w:p>
    <w:p w:rsidR="008D64FF" w:rsidRDefault="008D64FF" w:rsidP="0034458B">
      <w:pPr>
        <w:autoSpaceDE w:val="0"/>
        <w:autoSpaceDN w:val="0"/>
        <w:adjustRightInd w:val="0"/>
        <w:spacing w:after="0" w:line="360" w:lineRule="auto"/>
        <w:rPr>
          <w:rFonts w:ascii="Arial" w:hAnsi="Arial" w:cs="Arial"/>
          <w:b/>
          <w:sz w:val="24"/>
          <w:szCs w:val="24"/>
        </w:rPr>
      </w:pPr>
      <w:r>
        <w:rPr>
          <w:rFonts w:ascii="Arial" w:hAnsi="Arial" w:cs="Arial"/>
          <w:sz w:val="24"/>
          <w:szCs w:val="24"/>
        </w:rPr>
        <w:t>Art. 842 do Novo CPC: Suspende-se a execução:</w:t>
      </w:r>
      <w:r>
        <w:rPr>
          <w:rFonts w:ascii="Arial" w:hAnsi="Arial" w:cs="Arial"/>
          <w:b/>
          <w:sz w:val="24"/>
          <w:szCs w:val="24"/>
        </w:rPr>
        <w:tab/>
      </w:r>
    </w:p>
    <w:p w:rsidR="008D64FF" w:rsidRDefault="008D64FF" w:rsidP="0034458B">
      <w:pPr>
        <w:autoSpaceDE w:val="0"/>
        <w:autoSpaceDN w:val="0"/>
        <w:adjustRightInd w:val="0"/>
        <w:spacing w:after="0" w:line="360" w:lineRule="auto"/>
        <w:jc w:val="both"/>
        <w:rPr>
          <w:rFonts w:ascii="Arial" w:hAnsi="Arial" w:cs="Arial"/>
          <w:color w:val="000000" w:themeColor="text1"/>
          <w:sz w:val="24"/>
          <w:szCs w:val="24"/>
        </w:rPr>
      </w:pPr>
    </w:p>
    <w:p w:rsidR="00094817" w:rsidRDefault="008D64FF" w:rsidP="0034458B">
      <w:pPr>
        <w:autoSpaceDE w:val="0"/>
        <w:autoSpaceDN w:val="0"/>
        <w:adjustRightInd w:val="0"/>
        <w:spacing w:after="0" w:line="360" w:lineRule="auto"/>
        <w:jc w:val="both"/>
        <w:rPr>
          <w:rFonts w:ascii="Arial" w:hAnsi="Arial" w:cs="Arial"/>
          <w:color w:val="000000" w:themeColor="text1"/>
          <w:sz w:val="24"/>
          <w:szCs w:val="24"/>
        </w:rPr>
      </w:pPr>
      <w:r w:rsidRPr="008D64FF">
        <w:rPr>
          <w:rFonts w:ascii="Arial" w:hAnsi="Arial" w:cs="Arial"/>
          <w:color w:val="000000" w:themeColor="text1"/>
          <w:sz w:val="24"/>
          <w:szCs w:val="24"/>
        </w:rPr>
        <w:t>IV - se a alienação dos bens penhorados não se realizar</w:t>
      </w:r>
      <w:r>
        <w:rPr>
          <w:rFonts w:ascii="Arial" w:hAnsi="Arial" w:cs="Arial"/>
          <w:color w:val="000000" w:themeColor="text1"/>
          <w:sz w:val="24"/>
          <w:szCs w:val="24"/>
        </w:rPr>
        <w:t xml:space="preserve"> </w:t>
      </w:r>
      <w:r w:rsidRPr="008D64FF">
        <w:rPr>
          <w:rFonts w:ascii="Arial" w:hAnsi="Arial" w:cs="Arial"/>
          <w:color w:val="000000" w:themeColor="text1"/>
          <w:sz w:val="24"/>
          <w:szCs w:val="24"/>
        </w:rPr>
        <w:t>por falta de licitantes e o exequente, em dez dias, não</w:t>
      </w:r>
      <w:r>
        <w:rPr>
          <w:rFonts w:ascii="Arial" w:hAnsi="Arial" w:cs="Arial"/>
          <w:color w:val="000000" w:themeColor="text1"/>
          <w:sz w:val="24"/>
          <w:szCs w:val="24"/>
        </w:rPr>
        <w:t xml:space="preserve"> </w:t>
      </w:r>
      <w:r w:rsidRPr="008D64FF">
        <w:rPr>
          <w:rFonts w:ascii="Arial" w:hAnsi="Arial" w:cs="Arial"/>
          <w:color w:val="000000" w:themeColor="text1"/>
          <w:sz w:val="24"/>
          <w:szCs w:val="24"/>
        </w:rPr>
        <w:t>requerer a adjudicação nem indicar outros bens</w:t>
      </w:r>
      <w:r>
        <w:rPr>
          <w:rFonts w:ascii="Arial" w:hAnsi="Arial" w:cs="Arial"/>
          <w:color w:val="000000" w:themeColor="text1"/>
          <w:sz w:val="24"/>
          <w:szCs w:val="24"/>
        </w:rPr>
        <w:t xml:space="preserve"> </w:t>
      </w:r>
      <w:r w:rsidRPr="008D64FF">
        <w:rPr>
          <w:rFonts w:ascii="Arial" w:hAnsi="Arial" w:cs="Arial"/>
          <w:color w:val="000000" w:themeColor="text1"/>
          <w:sz w:val="24"/>
          <w:szCs w:val="24"/>
        </w:rPr>
        <w:t>penhoráveis</w:t>
      </w:r>
      <w:r>
        <w:rPr>
          <w:rStyle w:val="Refdenotaderodap"/>
          <w:rFonts w:ascii="Arial" w:hAnsi="Arial" w:cs="Arial"/>
          <w:color w:val="000000" w:themeColor="text1"/>
          <w:sz w:val="24"/>
          <w:szCs w:val="24"/>
        </w:rPr>
        <w:footnoteReference w:id="6"/>
      </w:r>
      <w:r w:rsidRPr="008D64FF">
        <w:rPr>
          <w:rFonts w:ascii="Arial" w:hAnsi="Arial" w:cs="Arial"/>
          <w:color w:val="000000" w:themeColor="text1"/>
          <w:sz w:val="24"/>
          <w:szCs w:val="24"/>
        </w:rPr>
        <w:t>.</w:t>
      </w:r>
    </w:p>
    <w:p w:rsidR="00094817" w:rsidRDefault="00094817" w:rsidP="0034458B">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Art. 845 Caput do novo CPC: Extingue-se a execução:</w:t>
      </w:r>
    </w:p>
    <w:p w:rsidR="00094817" w:rsidRPr="0034458B" w:rsidRDefault="00094817" w:rsidP="0034458B">
      <w:pPr>
        <w:autoSpaceDE w:val="0"/>
        <w:autoSpaceDN w:val="0"/>
        <w:adjustRightInd w:val="0"/>
        <w:spacing w:after="0" w:line="360" w:lineRule="auto"/>
        <w:jc w:val="both"/>
        <w:rPr>
          <w:rFonts w:ascii="Arial" w:hAnsi="Arial" w:cs="Arial"/>
          <w:color w:val="000000" w:themeColor="text1"/>
          <w:sz w:val="24"/>
          <w:szCs w:val="24"/>
        </w:rPr>
      </w:pPr>
      <w:r w:rsidRPr="0034458B">
        <w:rPr>
          <w:rFonts w:ascii="Arial" w:hAnsi="Arial" w:cs="Arial"/>
          <w:color w:val="000000" w:themeColor="text1"/>
          <w:sz w:val="24"/>
          <w:szCs w:val="24"/>
        </w:rPr>
        <w:t>I - a petição inicial é indeferida;</w:t>
      </w:r>
    </w:p>
    <w:p w:rsidR="00094817" w:rsidRDefault="00094817" w:rsidP="0034458B">
      <w:pPr>
        <w:autoSpaceDE w:val="0"/>
        <w:autoSpaceDN w:val="0"/>
        <w:adjustRightInd w:val="0"/>
        <w:spacing w:after="0" w:line="360" w:lineRule="auto"/>
        <w:jc w:val="both"/>
        <w:rPr>
          <w:rFonts w:ascii="Arial" w:hAnsi="Arial" w:cs="Arial"/>
          <w:color w:val="000000" w:themeColor="text1"/>
          <w:sz w:val="24"/>
          <w:szCs w:val="24"/>
        </w:rPr>
      </w:pPr>
      <w:r w:rsidRPr="0034458B">
        <w:rPr>
          <w:rFonts w:ascii="Arial" w:hAnsi="Arial" w:cs="Arial"/>
          <w:color w:val="000000" w:themeColor="text1"/>
          <w:sz w:val="24"/>
          <w:szCs w:val="24"/>
        </w:rPr>
        <w:t xml:space="preserve">V - ocorrer </w:t>
      </w:r>
      <w:proofErr w:type="gramStart"/>
      <w:r w:rsidRPr="0034458B">
        <w:rPr>
          <w:rFonts w:ascii="Arial" w:hAnsi="Arial" w:cs="Arial"/>
          <w:color w:val="000000" w:themeColor="text1"/>
          <w:sz w:val="24"/>
          <w:szCs w:val="24"/>
        </w:rPr>
        <w:t>a</w:t>
      </w:r>
      <w:proofErr w:type="gramEnd"/>
      <w:r w:rsidRPr="0034458B">
        <w:rPr>
          <w:rFonts w:ascii="Arial" w:hAnsi="Arial" w:cs="Arial"/>
          <w:color w:val="000000" w:themeColor="text1"/>
          <w:sz w:val="24"/>
          <w:szCs w:val="24"/>
        </w:rPr>
        <w:t xml:space="preserve"> prescrição intercorrente;</w:t>
      </w:r>
    </w:p>
    <w:p w:rsidR="0077544E" w:rsidRDefault="0077544E" w:rsidP="0034458B">
      <w:pPr>
        <w:autoSpaceDE w:val="0"/>
        <w:autoSpaceDN w:val="0"/>
        <w:adjustRightInd w:val="0"/>
        <w:spacing w:after="0" w:line="360" w:lineRule="auto"/>
        <w:jc w:val="both"/>
        <w:rPr>
          <w:rFonts w:ascii="Arial" w:hAnsi="Arial" w:cs="Arial"/>
          <w:b/>
          <w:color w:val="000000" w:themeColor="text1"/>
          <w:sz w:val="24"/>
          <w:szCs w:val="24"/>
        </w:rPr>
      </w:pPr>
    </w:p>
    <w:p w:rsidR="00F52B66" w:rsidRDefault="00490CBE" w:rsidP="0034458B">
      <w:pPr>
        <w:autoSpaceDE w:val="0"/>
        <w:autoSpaceDN w:val="0"/>
        <w:adjustRightInd w:val="0"/>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7</w:t>
      </w:r>
      <w:r w:rsidR="006772E6">
        <w:rPr>
          <w:rFonts w:ascii="Arial" w:hAnsi="Arial" w:cs="Arial"/>
          <w:b/>
          <w:color w:val="000000" w:themeColor="text1"/>
          <w:sz w:val="24"/>
          <w:szCs w:val="24"/>
        </w:rPr>
        <w:t xml:space="preserve"> EMBARGOS</w:t>
      </w:r>
    </w:p>
    <w:p w:rsidR="006772E6" w:rsidRDefault="006772E6" w:rsidP="0034458B">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b/>
      </w:r>
      <w:r>
        <w:rPr>
          <w:rFonts w:ascii="Arial" w:hAnsi="Arial" w:cs="Arial"/>
          <w:color w:val="000000" w:themeColor="text1"/>
          <w:sz w:val="24"/>
          <w:szCs w:val="24"/>
        </w:rPr>
        <w:t>Uma pequena parte acrescentada no parágrafo único do art. 873 do novo CPC.</w:t>
      </w:r>
    </w:p>
    <w:p w:rsidR="006772E6" w:rsidRDefault="006772E6" w:rsidP="006772E6">
      <w:pPr>
        <w:autoSpaceDE w:val="0"/>
        <w:autoSpaceDN w:val="0"/>
        <w:adjustRightInd w:val="0"/>
        <w:spacing w:after="0" w:line="360" w:lineRule="auto"/>
        <w:rPr>
          <w:rFonts w:ascii="Arial" w:hAnsi="Arial" w:cs="Arial"/>
          <w:b/>
          <w:color w:val="000000" w:themeColor="text1"/>
          <w:sz w:val="24"/>
          <w:szCs w:val="24"/>
        </w:rPr>
      </w:pPr>
      <w:r>
        <w:rPr>
          <w:rFonts w:ascii="Arial" w:hAnsi="Arial" w:cs="Arial"/>
          <w:color w:val="000000" w:themeColor="text1"/>
          <w:sz w:val="24"/>
          <w:szCs w:val="24"/>
        </w:rPr>
        <w:tab/>
      </w:r>
      <w:r w:rsidRPr="006772E6">
        <w:rPr>
          <w:rFonts w:ascii="Arial" w:hAnsi="Arial" w:cs="Arial"/>
          <w:color w:val="000000"/>
          <w:sz w:val="24"/>
          <w:szCs w:val="24"/>
        </w:rPr>
        <w:t>Parágrafo único. Havendo jurisprudência dominante do</w:t>
      </w:r>
      <w:r>
        <w:rPr>
          <w:rFonts w:ascii="Arial" w:hAnsi="Arial" w:cs="Arial"/>
          <w:color w:val="000000"/>
          <w:sz w:val="24"/>
          <w:szCs w:val="24"/>
        </w:rPr>
        <w:t xml:space="preserve"> </w:t>
      </w:r>
      <w:r w:rsidRPr="006772E6">
        <w:rPr>
          <w:rFonts w:ascii="Arial" w:hAnsi="Arial" w:cs="Arial"/>
          <w:color w:val="000000"/>
          <w:sz w:val="24"/>
          <w:szCs w:val="24"/>
        </w:rPr>
        <w:t>tribunal sobre a</w:t>
      </w:r>
      <w:r>
        <w:rPr>
          <w:rFonts w:ascii="Arial" w:hAnsi="Arial" w:cs="Arial"/>
          <w:color w:val="000000"/>
          <w:sz w:val="24"/>
          <w:szCs w:val="24"/>
        </w:rPr>
        <w:t xml:space="preserve"> </w:t>
      </w:r>
      <w:r w:rsidRPr="006772E6">
        <w:rPr>
          <w:rFonts w:ascii="Arial" w:hAnsi="Arial" w:cs="Arial"/>
          <w:color w:val="000000"/>
          <w:sz w:val="24"/>
          <w:szCs w:val="24"/>
        </w:rPr>
        <w:t>questão suscitada, o relator poderá</w:t>
      </w:r>
      <w:r>
        <w:rPr>
          <w:rFonts w:ascii="Arial" w:hAnsi="Arial" w:cs="Arial"/>
          <w:color w:val="000000"/>
          <w:sz w:val="24"/>
          <w:szCs w:val="24"/>
        </w:rPr>
        <w:t xml:space="preserve"> </w:t>
      </w:r>
      <w:r w:rsidRPr="006772E6">
        <w:rPr>
          <w:rFonts w:ascii="Arial" w:hAnsi="Arial" w:cs="Arial"/>
          <w:color w:val="000000"/>
          <w:sz w:val="24"/>
          <w:szCs w:val="24"/>
        </w:rPr>
        <w:t xml:space="preserve">decidir de plano o conflito de competência, </w:t>
      </w:r>
      <w:r w:rsidRPr="006772E6">
        <w:rPr>
          <w:rFonts w:ascii="Arial" w:hAnsi="Arial" w:cs="Arial"/>
          <w:color w:val="000000"/>
          <w:sz w:val="24"/>
          <w:szCs w:val="24"/>
        </w:rPr>
        <w:lastRenderedPageBreak/>
        <w:t>cabendo</w:t>
      </w:r>
      <w:r>
        <w:rPr>
          <w:rFonts w:ascii="Arial" w:hAnsi="Arial" w:cs="Arial"/>
          <w:color w:val="000000"/>
          <w:sz w:val="24"/>
          <w:szCs w:val="24"/>
        </w:rPr>
        <w:t xml:space="preserve"> </w:t>
      </w:r>
      <w:r w:rsidRPr="006772E6">
        <w:rPr>
          <w:rFonts w:ascii="Arial" w:hAnsi="Arial" w:cs="Arial"/>
          <w:color w:val="000000"/>
          <w:sz w:val="24"/>
          <w:szCs w:val="24"/>
        </w:rPr>
        <w:t xml:space="preserve">agravo </w:t>
      </w:r>
      <w:r w:rsidRPr="006772E6">
        <w:rPr>
          <w:rFonts w:ascii="Arial" w:hAnsi="Arial" w:cs="Arial"/>
          <w:b/>
          <w:color w:val="000000" w:themeColor="text1"/>
          <w:sz w:val="24"/>
          <w:szCs w:val="24"/>
        </w:rPr>
        <w:t>para o órgão recursal competente, no prazo de cinco dias, contado da intimação da decisão às partes</w:t>
      </w:r>
      <w:r>
        <w:rPr>
          <w:rStyle w:val="Refdenotaderodap"/>
          <w:rFonts w:ascii="Arial" w:hAnsi="Arial" w:cs="Arial"/>
          <w:b/>
          <w:color w:val="000000" w:themeColor="text1"/>
          <w:sz w:val="24"/>
          <w:szCs w:val="24"/>
        </w:rPr>
        <w:footnoteReference w:id="7"/>
      </w:r>
      <w:r w:rsidRPr="006772E6">
        <w:rPr>
          <w:rFonts w:ascii="Arial" w:hAnsi="Arial" w:cs="Arial"/>
          <w:b/>
          <w:color w:val="000000" w:themeColor="text1"/>
          <w:sz w:val="24"/>
          <w:szCs w:val="24"/>
        </w:rPr>
        <w:t>.</w:t>
      </w:r>
    </w:p>
    <w:p w:rsidR="008773F9" w:rsidRDefault="008773F9" w:rsidP="006772E6">
      <w:pPr>
        <w:autoSpaceDE w:val="0"/>
        <w:autoSpaceDN w:val="0"/>
        <w:adjustRightInd w:val="0"/>
        <w:spacing w:after="0" w:line="360" w:lineRule="auto"/>
        <w:rPr>
          <w:rFonts w:ascii="Arial" w:hAnsi="Arial" w:cs="Arial"/>
          <w:b/>
          <w:color w:val="000000" w:themeColor="text1"/>
          <w:sz w:val="24"/>
          <w:szCs w:val="24"/>
        </w:rPr>
      </w:pPr>
    </w:p>
    <w:p w:rsidR="00B57B47" w:rsidRDefault="00490CBE" w:rsidP="006772E6">
      <w:pPr>
        <w:autoSpaceDE w:val="0"/>
        <w:autoSpaceDN w:val="0"/>
        <w:adjustRightInd w:val="0"/>
        <w:spacing w:after="0" w:line="360" w:lineRule="auto"/>
        <w:rPr>
          <w:rFonts w:ascii="Arial" w:hAnsi="Arial" w:cs="Arial"/>
          <w:b/>
          <w:color w:val="000000" w:themeColor="text1"/>
          <w:sz w:val="24"/>
          <w:szCs w:val="24"/>
        </w:rPr>
      </w:pPr>
      <w:r>
        <w:rPr>
          <w:rFonts w:ascii="Arial" w:hAnsi="Arial" w:cs="Arial"/>
          <w:b/>
          <w:color w:val="000000" w:themeColor="text1"/>
          <w:sz w:val="24"/>
          <w:szCs w:val="24"/>
        </w:rPr>
        <w:t xml:space="preserve">8 </w:t>
      </w:r>
      <w:r w:rsidR="008773F9">
        <w:rPr>
          <w:rFonts w:ascii="Arial" w:hAnsi="Arial" w:cs="Arial"/>
          <w:b/>
          <w:color w:val="000000" w:themeColor="text1"/>
          <w:sz w:val="24"/>
          <w:szCs w:val="24"/>
        </w:rPr>
        <w:t>DOS HONORÁRIOS ADVOCATÍCIOS</w:t>
      </w:r>
    </w:p>
    <w:p w:rsidR="00B57B47" w:rsidRPr="00B57B47" w:rsidRDefault="00B57B47" w:rsidP="00B57B47">
      <w:pPr>
        <w:autoSpaceDE w:val="0"/>
        <w:autoSpaceDN w:val="0"/>
        <w:adjustRightInd w:val="0"/>
        <w:spacing w:after="0" w:line="360" w:lineRule="auto"/>
        <w:rPr>
          <w:rFonts w:ascii="Arial" w:hAnsi="Arial" w:cs="Arial"/>
          <w:color w:val="000000" w:themeColor="text1"/>
          <w:sz w:val="24"/>
          <w:szCs w:val="24"/>
        </w:rPr>
      </w:pPr>
      <w:r>
        <w:rPr>
          <w:rFonts w:ascii="Arial" w:hAnsi="Arial" w:cs="Arial"/>
          <w:b/>
          <w:color w:val="000000" w:themeColor="text1"/>
          <w:sz w:val="24"/>
          <w:szCs w:val="24"/>
        </w:rPr>
        <w:tab/>
      </w:r>
      <w:r w:rsidRPr="00B57B47">
        <w:rPr>
          <w:rFonts w:ascii="Arial" w:hAnsi="Arial" w:cs="Arial"/>
          <w:color w:val="000000" w:themeColor="text1"/>
          <w:sz w:val="24"/>
          <w:szCs w:val="24"/>
        </w:rPr>
        <w:t xml:space="preserve">Art. 752. Ao despachar a inicial, o juiz </w:t>
      </w:r>
      <w:proofErr w:type="gramStart"/>
      <w:r w:rsidRPr="00B57B47">
        <w:rPr>
          <w:rFonts w:ascii="Arial" w:hAnsi="Arial" w:cs="Arial"/>
          <w:color w:val="000000" w:themeColor="text1"/>
          <w:sz w:val="24"/>
          <w:szCs w:val="24"/>
        </w:rPr>
        <w:t>fixará,</w:t>
      </w:r>
      <w:proofErr w:type="gramEnd"/>
      <w:r w:rsidRPr="00B57B47">
        <w:rPr>
          <w:rFonts w:ascii="Arial" w:hAnsi="Arial" w:cs="Arial"/>
          <w:color w:val="000000" w:themeColor="text1"/>
          <w:sz w:val="24"/>
          <w:szCs w:val="24"/>
        </w:rPr>
        <w:t xml:space="preserve"> de plano, os honorários advocatícios de dez por cento, a serem pagos pelo executado.</w:t>
      </w:r>
    </w:p>
    <w:p w:rsidR="00B57B47" w:rsidRPr="00B57B47" w:rsidRDefault="00B57B47" w:rsidP="00B57B47">
      <w:pPr>
        <w:autoSpaceDE w:val="0"/>
        <w:autoSpaceDN w:val="0"/>
        <w:adjustRightInd w:val="0"/>
        <w:spacing w:after="0" w:line="360" w:lineRule="auto"/>
        <w:rPr>
          <w:rFonts w:ascii="Arial" w:hAnsi="Arial" w:cs="Arial"/>
          <w:color w:val="000000"/>
          <w:sz w:val="24"/>
          <w:szCs w:val="24"/>
        </w:rPr>
      </w:pPr>
      <w:r w:rsidRPr="00B57B47">
        <w:rPr>
          <w:rFonts w:ascii="Arial" w:hAnsi="Arial" w:cs="Arial"/>
          <w:color w:val="000000" w:themeColor="text1"/>
          <w:sz w:val="24"/>
          <w:szCs w:val="24"/>
        </w:rPr>
        <w:t xml:space="preserve"> </w:t>
      </w:r>
      <w:r w:rsidRPr="00B57B47">
        <w:rPr>
          <w:rFonts w:ascii="Arial" w:hAnsi="Arial" w:cs="Arial"/>
          <w:color w:val="000000" w:themeColor="text1"/>
          <w:sz w:val="24"/>
          <w:szCs w:val="24"/>
        </w:rPr>
        <w:tab/>
        <w:t>§ 1º</w:t>
      </w:r>
      <w:r w:rsidRPr="00B57B47">
        <w:rPr>
          <w:rFonts w:ascii="Arial" w:hAnsi="Arial" w:cs="Arial"/>
          <w:color w:val="FF0000"/>
          <w:sz w:val="24"/>
          <w:szCs w:val="24"/>
        </w:rPr>
        <w:t xml:space="preserve"> </w:t>
      </w:r>
      <w:r w:rsidRPr="00B57B47">
        <w:rPr>
          <w:rFonts w:ascii="Arial" w:hAnsi="Arial" w:cs="Arial"/>
          <w:color w:val="000000"/>
          <w:sz w:val="24"/>
          <w:szCs w:val="24"/>
        </w:rPr>
        <w:t>No caso de integral pagamento no prazo de três</w:t>
      </w:r>
      <w:r>
        <w:rPr>
          <w:rFonts w:ascii="Arial" w:hAnsi="Arial" w:cs="Arial"/>
          <w:color w:val="000000"/>
          <w:sz w:val="24"/>
          <w:szCs w:val="24"/>
        </w:rPr>
        <w:t xml:space="preserve"> </w:t>
      </w:r>
      <w:r w:rsidRPr="00B57B47">
        <w:rPr>
          <w:rFonts w:ascii="Arial" w:hAnsi="Arial" w:cs="Arial"/>
          <w:color w:val="000000"/>
          <w:sz w:val="24"/>
          <w:szCs w:val="24"/>
        </w:rPr>
        <w:t>dias, a verba honorária será reduzida pela metade.</w:t>
      </w:r>
    </w:p>
    <w:p w:rsidR="00B57B47" w:rsidRDefault="00B57B47" w:rsidP="00B57B47">
      <w:pPr>
        <w:autoSpaceDE w:val="0"/>
        <w:autoSpaceDN w:val="0"/>
        <w:adjustRightInd w:val="0"/>
        <w:spacing w:after="0" w:line="360" w:lineRule="auto"/>
        <w:ind w:firstLine="708"/>
        <w:jc w:val="both"/>
        <w:rPr>
          <w:rFonts w:ascii="Arial" w:hAnsi="Arial" w:cs="Arial"/>
          <w:color w:val="000000" w:themeColor="text1"/>
          <w:sz w:val="24"/>
          <w:szCs w:val="24"/>
        </w:rPr>
      </w:pPr>
      <w:r w:rsidRPr="00B57B47">
        <w:rPr>
          <w:rFonts w:ascii="Arial" w:hAnsi="Arial" w:cs="Arial"/>
          <w:color w:val="000000" w:themeColor="text1"/>
          <w:sz w:val="24"/>
          <w:szCs w:val="24"/>
        </w:rPr>
        <w:t>§ 2º Rejeitados os embargos eventualmente opostos pelo executado ou caso estes não tenham sido opostos, ao final do procedimento executivo, o valor dos honorários poderá ser acrescido até o limite de vinte por cento, em atenção ao trabalho realizado supervenientemente à citação.</w:t>
      </w:r>
    </w:p>
    <w:p w:rsidR="0077544E" w:rsidRDefault="0077544E" w:rsidP="00483B79">
      <w:pPr>
        <w:autoSpaceDE w:val="0"/>
        <w:autoSpaceDN w:val="0"/>
        <w:adjustRightInd w:val="0"/>
        <w:spacing w:after="0" w:line="360" w:lineRule="auto"/>
        <w:jc w:val="both"/>
        <w:rPr>
          <w:rFonts w:ascii="Arial" w:hAnsi="Arial" w:cs="Arial"/>
          <w:b/>
          <w:color w:val="000000" w:themeColor="text1"/>
          <w:sz w:val="24"/>
          <w:szCs w:val="24"/>
        </w:rPr>
      </w:pPr>
    </w:p>
    <w:p w:rsidR="00483B79" w:rsidRPr="00483B79" w:rsidRDefault="00490CBE" w:rsidP="00483B79">
      <w:pPr>
        <w:autoSpaceDE w:val="0"/>
        <w:autoSpaceDN w:val="0"/>
        <w:adjustRightInd w:val="0"/>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9 A EXPROPRIAÇÃO.</w:t>
      </w:r>
    </w:p>
    <w:p w:rsidR="00483B79" w:rsidRDefault="00483B79" w:rsidP="00B57B47">
      <w:pPr>
        <w:autoSpaceDE w:val="0"/>
        <w:autoSpaceDN w:val="0"/>
        <w:adjustRightInd w:val="0"/>
        <w:spacing w:after="0" w:line="360" w:lineRule="auto"/>
        <w:ind w:firstLine="708"/>
        <w:jc w:val="both"/>
        <w:rPr>
          <w:rFonts w:ascii="Arial" w:hAnsi="Arial" w:cs="Arial"/>
          <w:color w:val="000000" w:themeColor="text1"/>
          <w:sz w:val="24"/>
          <w:szCs w:val="24"/>
        </w:rPr>
      </w:pPr>
      <w:r w:rsidRPr="00483B79">
        <w:rPr>
          <w:rFonts w:ascii="Arial" w:hAnsi="Arial" w:cs="Arial"/>
          <w:color w:val="000000" w:themeColor="text1"/>
          <w:sz w:val="24"/>
          <w:szCs w:val="24"/>
        </w:rPr>
        <w:t xml:space="preserve">Art. 750. A expropriação consiste </w:t>
      </w:r>
      <w:r w:rsidR="00E92341">
        <w:rPr>
          <w:rFonts w:ascii="Arial" w:hAnsi="Arial" w:cs="Arial"/>
          <w:color w:val="000000" w:themeColor="text1"/>
          <w:sz w:val="24"/>
          <w:szCs w:val="24"/>
        </w:rPr>
        <w:t>em: conforme</w:t>
      </w:r>
      <w:r>
        <w:rPr>
          <w:rFonts w:ascii="Arial" w:hAnsi="Arial" w:cs="Arial"/>
          <w:color w:val="000000" w:themeColor="text1"/>
          <w:sz w:val="24"/>
          <w:szCs w:val="24"/>
        </w:rPr>
        <w:t xml:space="preserve"> acrescentado no novo projeto:</w:t>
      </w:r>
    </w:p>
    <w:p w:rsidR="00483B79" w:rsidRPr="00483B79" w:rsidRDefault="00483B79" w:rsidP="0077544E">
      <w:pPr>
        <w:autoSpaceDE w:val="0"/>
        <w:autoSpaceDN w:val="0"/>
        <w:adjustRightInd w:val="0"/>
        <w:spacing w:after="0" w:line="360" w:lineRule="auto"/>
        <w:ind w:firstLine="708"/>
        <w:rPr>
          <w:rFonts w:ascii="Arial" w:hAnsi="Arial" w:cs="Arial"/>
          <w:color w:val="000000" w:themeColor="text1"/>
          <w:sz w:val="24"/>
          <w:szCs w:val="24"/>
        </w:rPr>
      </w:pPr>
      <w:r>
        <w:rPr>
          <w:rFonts w:ascii="Arial" w:hAnsi="Arial" w:cs="Arial"/>
          <w:color w:val="000000" w:themeColor="text1"/>
          <w:sz w:val="24"/>
          <w:szCs w:val="24"/>
        </w:rPr>
        <w:t xml:space="preserve">Inciso III deste artigo: </w:t>
      </w:r>
      <w:r w:rsidRPr="00483B79">
        <w:rPr>
          <w:rFonts w:ascii="Arial" w:hAnsi="Arial" w:cs="Arial"/>
          <w:color w:val="000000" w:themeColor="text1"/>
          <w:sz w:val="24"/>
          <w:szCs w:val="24"/>
        </w:rPr>
        <w:t>apropriação de frutos e rendimentos de empresa ou</w:t>
      </w:r>
    </w:p>
    <w:p w:rsidR="00483B79" w:rsidRDefault="00483B79" w:rsidP="0077544E">
      <w:pPr>
        <w:autoSpaceDE w:val="0"/>
        <w:autoSpaceDN w:val="0"/>
        <w:adjustRightInd w:val="0"/>
        <w:spacing w:after="0" w:line="360" w:lineRule="auto"/>
        <w:ind w:firstLine="708"/>
        <w:jc w:val="both"/>
        <w:rPr>
          <w:rFonts w:ascii="Arial" w:hAnsi="Arial" w:cs="Arial"/>
          <w:color w:val="000000" w:themeColor="text1"/>
          <w:sz w:val="24"/>
          <w:szCs w:val="24"/>
        </w:rPr>
      </w:pPr>
      <w:proofErr w:type="gramStart"/>
      <w:r w:rsidRPr="00483B79">
        <w:rPr>
          <w:rFonts w:ascii="Arial" w:hAnsi="Arial" w:cs="Arial"/>
          <w:color w:val="000000" w:themeColor="text1"/>
          <w:sz w:val="24"/>
          <w:szCs w:val="24"/>
        </w:rPr>
        <w:t>estabelecimentos</w:t>
      </w:r>
      <w:proofErr w:type="gramEnd"/>
      <w:r w:rsidRPr="00483B79">
        <w:rPr>
          <w:rFonts w:ascii="Arial" w:hAnsi="Arial" w:cs="Arial"/>
          <w:color w:val="000000" w:themeColor="text1"/>
          <w:sz w:val="24"/>
          <w:szCs w:val="24"/>
        </w:rPr>
        <w:t xml:space="preserve"> e de outros bens.</w:t>
      </w:r>
    </w:p>
    <w:p w:rsidR="0077544E" w:rsidRDefault="0077544E" w:rsidP="001549E4">
      <w:pPr>
        <w:autoSpaceDE w:val="0"/>
        <w:autoSpaceDN w:val="0"/>
        <w:adjustRightInd w:val="0"/>
        <w:spacing w:after="0" w:line="360" w:lineRule="auto"/>
        <w:jc w:val="both"/>
        <w:rPr>
          <w:rFonts w:ascii="Arial" w:hAnsi="Arial" w:cs="Arial"/>
          <w:b/>
          <w:color w:val="000000" w:themeColor="text1"/>
          <w:sz w:val="24"/>
          <w:szCs w:val="24"/>
        </w:rPr>
      </w:pPr>
    </w:p>
    <w:p w:rsidR="001549E4" w:rsidRDefault="00490CBE" w:rsidP="001549E4">
      <w:pPr>
        <w:autoSpaceDE w:val="0"/>
        <w:autoSpaceDN w:val="0"/>
        <w:adjustRightInd w:val="0"/>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10 </w:t>
      </w:r>
      <w:r w:rsidR="001549E4">
        <w:rPr>
          <w:rFonts w:ascii="Arial" w:hAnsi="Arial" w:cs="Arial"/>
          <w:b/>
          <w:color w:val="000000" w:themeColor="text1"/>
          <w:sz w:val="24"/>
          <w:szCs w:val="24"/>
        </w:rPr>
        <w:t>INOVAÇÕES SOBRE A PARTILHA.</w:t>
      </w:r>
    </w:p>
    <w:p w:rsidR="001549E4" w:rsidRPr="001549E4" w:rsidRDefault="001549E4" w:rsidP="003B32B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b/>
      </w:r>
      <w:r w:rsidRPr="001549E4">
        <w:rPr>
          <w:rFonts w:ascii="Arial" w:hAnsi="Arial" w:cs="Arial"/>
          <w:color w:val="000000" w:themeColor="text1"/>
          <w:sz w:val="24"/>
          <w:szCs w:val="24"/>
        </w:rPr>
        <w:t>Art. 589. Na partilha, serão observadas as seguintes</w:t>
      </w:r>
      <w:r>
        <w:rPr>
          <w:rFonts w:ascii="Arial" w:hAnsi="Arial" w:cs="Arial"/>
          <w:color w:val="000000" w:themeColor="text1"/>
          <w:sz w:val="24"/>
          <w:szCs w:val="24"/>
        </w:rPr>
        <w:t xml:space="preserve"> </w:t>
      </w:r>
      <w:r w:rsidRPr="001549E4">
        <w:rPr>
          <w:rFonts w:ascii="Arial" w:hAnsi="Arial" w:cs="Arial"/>
          <w:color w:val="000000" w:themeColor="text1"/>
          <w:sz w:val="24"/>
          <w:szCs w:val="24"/>
        </w:rPr>
        <w:t>regras:</w:t>
      </w:r>
    </w:p>
    <w:p w:rsidR="001549E4" w:rsidRPr="001549E4" w:rsidRDefault="001549E4" w:rsidP="003B32B4">
      <w:pPr>
        <w:autoSpaceDE w:val="0"/>
        <w:autoSpaceDN w:val="0"/>
        <w:adjustRightInd w:val="0"/>
        <w:spacing w:after="0" w:line="360" w:lineRule="auto"/>
        <w:jc w:val="both"/>
        <w:rPr>
          <w:rFonts w:ascii="Arial" w:hAnsi="Arial" w:cs="Arial"/>
          <w:color w:val="000000" w:themeColor="text1"/>
          <w:sz w:val="24"/>
          <w:szCs w:val="24"/>
        </w:rPr>
      </w:pPr>
      <w:r w:rsidRPr="001549E4">
        <w:rPr>
          <w:rFonts w:ascii="Arial" w:hAnsi="Arial" w:cs="Arial"/>
          <w:color w:val="000000" w:themeColor="text1"/>
          <w:sz w:val="24"/>
          <w:szCs w:val="24"/>
        </w:rPr>
        <w:t>I - a maior igualdade possível, seja quanto ao valor, seja</w:t>
      </w:r>
      <w:r>
        <w:rPr>
          <w:rFonts w:ascii="Arial" w:hAnsi="Arial" w:cs="Arial"/>
          <w:color w:val="000000" w:themeColor="text1"/>
          <w:sz w:val="24"/>
          <w:szCs w:val="24"/>
        </w:rPr>
        <w:t xml:space="preserve"> </w:t>
      </w:r>
      <w:r w:rsidRPr="001549E4">
        <w:rPr>
          <w:rFonts w:ascii="Arial" w:hAnsi="Arial" w:cs="Arial"/>
          <w:color w:val="000000" w:themeColor="text1"/>
          <w:sz w:val="24"/>
          <w:szCs w:val="24"/>
        </w:rPr>
        <w:t>quanto à natureza e à qualidade dos bens;</w:t>
      </w:r>
    </w:p>
    <w:p w:rsidR="001549E4" w:rsidRPr="001549E4" w:rsidRDefault="001549E4" w:rsidP="003B32B4">
      <w:pPr>
        <w:autoSpaceDE w:val="0"/>
        <w:autoSpaceDN w:val="0"/>
        <w:adjustRightInd w:val="0"/>
        <w:spacing w:after="0" w:line="360" w:lineRule="auto"/>
        <w:jc w:val="both"/>
        <w:rPr>
          <w:rFonts w:ascii="Arial" w:hAnsi="Arial" w:cs="Arial"/>
          <w:color w:val="000000" w:themeColor="text1"/>
          <w:sz w:val="24"/>
          <w:szCs w:val="24"/>
        </w:rPr>
      </w:pPr>
      <w:r w:rsidRPr="001549E4">
        <w:rPr>
          <w:rFonts w:ascii="Arial" w:hAnsi="Arial" w:cs="Arial"/>
          <w:color w:val="000000" w:themeColor="text1"/>
          <w:sz w:val="24"/>
          <w:szCs w:val="24"/>
        </w:rPr>
        <w:t>II - a prevenção de litígios futuros;</w:t>
      </w:r>
    </w:p>
    <w:p w:rsidR="00483B79" w:rsidRPr="001549E4" w:rsidRDefault="001549E4" w:rsidP="003B32B4">
      <w:pPr>
        <w:autoSpaceDE w:val="0"/>
        <w:autoSpaceDN w:val="0"/>
        <w:adjustRightInd w:val="0"/>
        <w:spacing w:after="0" w:line="360" w:lineRule="auto"/>
        <w:jc w:val="both"/>
        <w:rPr>
          <w:rFonts w:ascii="Arial" w:hAnsi="Arial" w:cs="Arial"/>
          <w:color w:val="000000" w:themeColor="text1"/>
          <w:sz w:val="24"/>
          <w:szCs w:val="24"/>
        </w:rPr>
      </w:pPr>
      <w:r w:rsidRPr="001549E4">
        <w:rPr>
          <w:rFonts w:ascii="Arial" w:hAnsi="Arial" w:cs="Arial"/>
          <w:color w:val="000000" w:themeColor="text1"/>
          <w:sz w:val="24"/>
          <w:szCs w:val="24"/>
        </w:rPr>
        <w:t xml:space="preserve">III - a maior comodidade dos </w:t>
      </w:r>
      <w:proofErr w:type="spellStart"/>
      <w:proofErr w:type="gramStart"/>
      <w:r w:rsidRPr="001549E4">
        <w:rPr>
          <w:rFonts w:ascii="Arial" w:hAnsi="Arial" w:cs="Arial"/>
          <w:color w:val="000000" w:themeColor="text1"/>
          <w:sz w:val="24"/>
          <w:szCs w:val="24"/>
        </w:rPr>
        <w:t>co-herdeiros</w:t>
      </w:r>
      <w:proofErr w:type="spellEnd"/>
      <w:proofErr w:type="gramEnd"/>
      <w:r w:rsidRPr="001549E4">
        <w:rPr>
          <w:rFonts w:ascii="Arial" w:hAnsi="Arial" w:cs="Arial"/>
          <w:color w:val="000000" w:themeColor="text1"/>
          <w:sz w:val="24"/>
          <w:szCs w:val="24"/>
        </w:rPr>
        <w:t>, do cônjuge ou</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do companheiro, se for o caso.</w:t>
      </w:r>
    </w:p>
    <w:p w:rsidR="001549E4" w:rsidRPr="001549E4" w:rsidRDefault="001549E4" w:rsidP="003B32B4">
      <w:pPr>
        <w:autoSpaceDE w:val="0"/>
        <w:autoSpaceDN w:val="0"/>
        <w:adjustRightInd w:val="0"/>
        <w:spacing w:after="0" w:line="360" w:lineRule="auto"/>
        <w:jc w:val="both"/>
        <w:rPr>
          <w:rFonts w:ascii="Arial" w:hAnsi="Arial" w:cs="Arial"/>
          <w:color w:val="000000" w:themeColor="text1"/>
          <w:sz w:val="24"/>
          <w:szCs w:val="24"/>
        </w:rPr>
      </w:pPr>
      <w:r w:rsidRPr="001549E4">
        <w:rPr>
          <w:rFonts w:ascii="Arial" w:hAnsi="Arial" w:cs="Arial"/>
          <w:color w:val="000000" w:themeColor="text1"/>
          <w:sz w:val="24"/>
          <w:szCs w:val="24"/>
        </w:rPr>
        <w:tab/>
        <w:t>Art. 590. Os bens insuscetíveis de divisão cômoda que</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não couberem na</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parte do cônjuge ou companheiro</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supérstite ou no quinhão de um só herdeiro serão</w:t>
      </w:r>
    </w:p>
    <w:p w:rsidR="001549E4" w:rsidRPr="001549E4" w:rsidRDefault="001549E4" w:rsidP="003B32B4">
      <w:pPr>
        <w:autoSpaceDE w:val="0"/>
        <w:autoSpaceDN w:val="0"/>
        <w:adjustRightInd w:val="0"/>
        <w:spacing w:after="0" w:line="360" w:lineRule="auto"/>
        <w:jc w:val="both"/>
        <w:rPr>
          <w:rFonts w:ascii="Arial" w:hAnsi="Arial" w:cs="Arial"/>
          <w:color w:val="000000" w:themeColor="text1"/>
          <w:sz w:val="24"/>
          <w:szCs w:val="24"/>
        </w:rPr>
      </w:pPr>
      <w:proofErr w:type="gramStart"/>
      <w:r w:rsidRPr="001549E4">
        <w:rPr>
          <w:rFonts w:ascii="Arial" w:hAnsi="Arial" w:cs="Arial"/>
          <w:color w:val="000000" w:themeColor="text1"/>
          <w:sz w:val="24"/>
          <w:szCs w:val="24"/>
        </w:rPr>
        <w:t>licitados</w:t>
      </w:r>
      <w:proofErr w:type="gramEnd"/>
      <w:r w:rsidRPr="001549E4">
        <w:rPr>
          <w:rFonts w:ascii="Arial" w:hAnsi="Arial" w:cs="Arial"/>
          <w:color w:val="000000" w:themeColor="text1"/>
          <w:sz w:val="24"/>
          <w:szCs w:val="24"/>
        </w:rPr>
        <w:t xml:space="preserve"> entre os interessados ou vendidos</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judicialmente, partilhando-se o valor apurado, a não ser</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que haja acordo para serem adjudicados a todos.</w:t>
      </w:r>
    </w:p>
    <w:p w:rsidR="001549E4" w:rsidRDefault="001549E4" w:rsidP="003B32B4">
      <w:pPr>
        <w:autoSpaceDE w:val="0"/>
        <w:autoSpaceDN w:val="0"/>
        <w:adjustRightInd w:val="0"/>
        <w:spacing w:after="0" w:line="360" w:lineRule="auto"/>
        <w:jc w:val="both"/>
        <w:rPr>
          <w:rFonts w:ascii="Arial" w:hAnsi="Arial" w:cs="Arial"/>
          <w:color w:val="000000" w:themeColor="text1"/>
          <w:sz w:val="24"/>
          <w:szCs w:val="24"/>
        </w:rPr>
      </w:pPr>
      <w:r w:rsidRPr="001549E4">
        <w:rPr>
          <w:rFonts w:ascii="Arial" w:hAnsi="Arial" w:cs="Arial"/>
          <w:color w:val="000000" w:themeColor="text1"/>
          <w:sz w:val="24"/>
          <w:szCs w:val="24"/>
        </w:rPr>
        <w:tab/>
        <w:t>Art. 591. Se um dos interessados for nascituro, o</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quinhão que lhe caberá será reservado em poder do</w:t>
      </w:r>
      <w:r w:rsidR="003B32B4">
        <w:rPr>
          <w:rFonts w:ascii="Arial" w:hAnsi="Arial" w:cs="Arial"/>
          <w:color w:val="000000" w:themeColor="text1"/>
          <w:sz w:val="24"/>
          <w:szCs w:val="24"/>
        </w:rPr>
        <w:t xml:space="preserve"> </w:t>
      </w:r>
      <w:r w:rsidRPr="001549E4">
        <w:rPr>
          <w:rFonts w:ascii="Arial" w:hAnsi="Arial" w:cs="Arial"/>
          <w:color w:val="000000" w:themeColor="text1"/>
          <w:sz w:val="24"/>
          <w:szCs w:val="24"/>
        </w:rPr>
        <w:t>inventariante até o seu nascimento.</w:t>
      </w:r>
    </w:p>
    <w:p w:rsidR="003B32B4" w:rsidRDefault="003B32B4" w:rsidP="003B32B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b/>
        <w:t>Os três artigos acima foram outras inovações trazidas pelo Projeto de Lei do Senado Federal de 2010, como forma de dispor o novo projeto de CPC de mais efetividade no que se relaciona a partilha</w:t>
      </w:r>
      <w:r w:rsidR="000C39D6">
        <w:rPr>
          <w:rFonts w:ascii="Arial" w:hAnsi="Arial" w:cs="Arial"/>
          <w:color w:val="000000" w:themeColor="text1"/>
          <w:sz w:val="24"/>
          <w:szCs w:val="24"/>
        </w:rPr>
        <w:t>.</w:t>
      </w:r>
    </w:p>
    <w:p w:rsidR="00160510" w:rsidRDefault="00160510" w:rsidP="003B32B4">
      <w:pPr>
        <w:autoSpaceDE w:val="0"/>
        <w:autoSpaceDN w:val="0"/>
        <w:adjustRightInd w:val="0"/>
        <w:spacing w:after="0" w:line="360" w:lineRule="auto"/>
        <w:jc w:val="both"/>
        <w:rPr>
          <w:rFonts w:ascii="Arial" w:hAnsi="Arial" w:cs="Arial"/>
          <w:color w:val="000000" w:themeColor="text1"/>
          <w:sz w:val="24"/>
          <w:szCs w:val="24"/>
        </w:rPr>
      </w:pPr>
    </w:p>
    <w:p w:rsidR="00160510" w:rsidRDefault="00160510" w:rsidP="003B32B4">
      <w:pPr>
        <w:autoSpaceDE w:val="0"/>
        <w:autoSpaceDN w:val="0"/>
        <w:adjustRightInd w:val="0"/>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CONSIDERAÇÕES FINAIS</w:t>
      </w:r>
    </w:p>
    <w:p w:rsidR="00160510" w:rsidRDefault="00160510" w:rsidP="003B32B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b/>
      </w:r>
    </w:p>
    <w:p w:rsidR="00160510" w:rsidRDefault="003027E2" w:rsidP="003B32B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Conclui-se a</w:t>
      </w:r>
      <w:r w:rsidR="00160510">
        <w:rPr>
          <w:rFonts w:ascii="Arial" w:hAnsi="Arial" w:cs="Arial"/>
          <w:color w:val="000000" w:themeColor="text1"/>
          <w:sz w:val="24"/>
          <w:szCs w:val="24"/>
        </w:rPr>
        <w:t>o término</w:t>
      </w:r>
      <w:r>
        <w:rPr>
          <w:rFonts w:ascii="Arial" w:hAnsi="Arial" w:cs="Arial"/>
          <w:color w:val="000000" w:themeColor="text1"/>
          <w:sz w:val="24"/>
          <w:szCs w:val="24"/>
        </w:rPr>
        <w:t xml:space="preserve"> do presente trabalho que embora alguns não considerem a celeridade/efetividade no novo Projeto do Código de Processo Civil, foi demonstrado aqui que além das inovações trazidas por este, o mesmo trouxe mudanças de termos que tornarão mais efetivo o disposto no atual CPC.</w:t>
      </w:r>
    </w:p>
    <w:p w:rsidR="003027E2" w:rsidRDefault="003027E2" w:rsidP="008773F9">
      <w:pPr>
        <w:autoSpaceDE w:val="0"/>
        <w:autoSpaceDN w:val="0"/>
        <w:adjustRightInd w:val="0"/>
        <w:spacing w:after="0" w:line="360" w:lineRule="auto"/>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Percebeu-se</w:t>
      </w:r>
      <w:proofErr w:type="gramEnd"/>
      <w:r>
        <w:rPr>
          <w:rFonts w:ascii="Arial" w:hAnsi="Arial" w:cs="Arial"/>
          <w:color w:val="000000" w:themeColor="text1"/>
          <w:sz w:val="24"/>
          <w:szCs w:val="24"/>
        </w:rPr>
        <w:t xml:space="preserve"> </w:t>
      </w:r>
      <w:r w:rsidR="00DA2EEF">
        <w:rPr>
          <w:rFonts w:ascii="Arial" w:hAnsi="Arial" w:cs="Arial"/>
          <w:color w:val="000000" w:themeColor="text1"/>
          <w:sz w:val="24"/>
          <w:szCs w:val="24"/>
        </w:rPr>
        <w:t xml:space="preserve">inovações trazidas na execução para entrega de coisa certa, reduzindo o prazo de 10 para 3 dias para que o executado entregue o bem. E no que tange a penhora o art. 769 do parágrafo 1° será acrescentado que o imóvel será penhorado, independentemente de onde se encontre, </w:t>
      </w:r>
      <w:r w:rsidR="00DA2EEF" w:rsidRPr="00AA7C14">
        <w:rPr>
          <w:rFonts w:ascii="Arial" w:hAnsi="Arial" w:cs="Arial"/>
          <w:color w:val="000000" w:themeColor="text1"/>
          <w:sz w:val="24"/>
          <w:szCs w:val="24"/>
        </w:rPr>
        <w:t>quando apresentada certidão da respectiva matrícula, e a penhora de veículos automotores, quando apresentada certidão que ateste a sua existência, serão</w:t>
      </w:r>
      <w:r w:rsidR="00AA7C14">
        <w:rPr>
          <w:rFonts w:ascii="Arial" w:hAnsi="Arial" w:cs="Arial"/>
          <w:color w:val="000000" w:themeColor="text1"/>
          <w:sz w:val="24"/>
          <w:szCs w:val="24"/>
        </w:rPr>
        <w:t xml:space="preserve"> </w:t>
      </w:r>
      <w:r w:rsidR="00DA2EEF" w:rsidRPr="00AA7C14">
        <w:rPr>
          <w:rFonts w:ascii="Arial" w:hAnsi="Arial" w:cs="Arial"/>
          <w:color w:val="000000" w:themeColor="text1"/>
          <w:sz w:val="24"/>
          <w:szCs w:val="24"/>
        </w:rPr>
        <w:t>realizadas</w:t>
      </w:r>
      <w:r w:rsidR="00AA7C14">
        <w:rPr>
          <w:rFonts w:ascii="Arial" w:hAnsi="Arial" w:cs="Arial"/>
          <w:color w:val="000000" w:themeColor="text1"/>
          <w:sz w:val="24"/>
          <w:szCs w:val="24"/>
        </w:rPr>
        <w:t xml:space="preserve"> por termos nos autos.</w:t>
      </w:r>
    </w:p>
    <w:p w:rsidR="00D0583E" w:rsidRDefault="00D0583E" w:rsidP="008773F9">
      <w:pPr>
        <w:autoSpaceDE w:val="0"/>
        <w:autoSpaceDN w:val="0"/>
        <w:adjustRightInd w:val="0"/>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Em relação </w:t>
      </w: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substituição da penhora só houve mudanças no que toca aos termos inseridos em cada inciso do art. 668 do código atual, tornando mais efetivo, pois, cita que esta poderá se efetivar se no decorrer do processo o bem</w:t>
      </w:r>
      <w:r w:rsidR="00E92341">
        <w:rPr>
          <w:rFonts w:ascii="Arial" w:hAnsi="Arial" w:cs="Arial"/>
          <w:color w:val="000000" w:themeColor="text1"/>
          <w:sz w:val="24"/>
          <w:szCs w:val="24"/>
        </w:rPr>
        <w:t xml:space="preserve"> sofrer mudança significativ</w:t>
      </w:r>
      <w:r>
        <w:rPr>
          <w:rFonts w:ascii="Arial" w:hAnsi="Arial" w:cs="Arial"/>
          <w:color w:val="000000" w:themeColor="text1"/>
          <w:sz w:val="24"/>
          <w:szCs w:val="24"/>
        </w:rPr>
        <w:t>a em relação ao valor de mercado</w:t>
      </w:r>
      <w:r w:rsidR="00E92341">
        <w:rPr>
          <w:rFonts w:ascii="Arial" w:hAnsi="Arial" w:cs="Arial"/>
          <w:color w:val="000000" w:themeColor="text1"/>
          <w:sz w:val="24"/>
          <w:szCs w:val="24"/>
        </w:rPr>
        <w:t>.</w:t>
      </w:r>
    </w:p>
    <w:p w:rsidR="00E92341" w:rsidRDefault="008A70C4" w:rsidP="008A70C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Quanto </w:t>
      </w: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suspensão e extinção do processo de execução foi notada uma necessária inovação, pois, suspende-se este </w:t>
      </w:r>
      <w:r w:rsidRPr="008D64FF">
        <w:rPr>
          <w:rFonts w:ascii="Arial" w:hAnsi="Arial" w:cs="Arial"/>
          <w:color w:val="000000" w:themeColor="text1"/>
          <w:sz w:val="24"/>
          <w:szCs w:val="24"/>
        </w:rPr>
        <w:t>se a alienação dos bens penhorados não se realizar</w:t>
      </w:r>
      <w:r>
        <w:rPr>
          <w:rFonts w:ascii="Arial" w:hAnsi="Arial" w:cs="Arial"/>
          <w:color w:val="000000" w:themeColor="text1"/>
          <w:sz w:val="24"/>
          <w:szCs w:val="24"/>
        </w:rPr>
        <w:t xml:space="preserve"> </w:t>
      </w:r>
      <w:r w:rsidRPr="008D64FF">
        <w:rPr>
          <w:rFonts w:ascii="Arial" w:hAnsi="Arial" w:cs="Arial"/>
          <w:color w:val="000000" w:themeColor="text1"/>
          <w:sz w:val="24"/>
          <w:szCs w:val="24"/>
        </w:rPr>
        <w:t>por falta de licitantes e o exequente, em dez dias, não</w:t>
      </w:r>
      <w:r>
        <w:rPr>
          <w:rFonts w:ascii="Arial" w:hAnsi="Arial" w:cs="Arial"/>
          <w:color w:val="000000" w:themeColor="text1"/>
          <w:sz w:val="24"/>
          <w:szCs w:val="24"/>
        </w:rPr>
        <w:t xml:space="preserve"> </w:t>
      </w:r>
      <w:r w:rsidRPr="008D64FF">
        <w:rPr>
          <w:rFonts w:ascii="Arial" w:hAnsi="Arial" w:cs="Arial"/>
          <w:color w:val="000000" w:themeColor="text1"/>
          <w:sz w:val="24"/>
          <w:szCs w:val="24"/>
        </w:rPr>
        <w:t>requerer a adjudicação nem indicar outros bens</w:t>
      </w:r>
      <w:r>
        <w:rPr>
          <w:rFonts w:ascii="Arial" w:hAnsi="Arial" w:cs="Arial"/>
          <w:color w:val="000000" w:themeColor="text1"/>
          <w:sz w:val="24"/>
          <w:szCs w:val="24"/>
        </w:rPr>
        <w:t xml:space="preserve"> </w:t>
      </w:r>
      <w:r w:rsidRPr="008D64FF">
        <w:rPr>
          <w:rFonts w:ascii="Arial" w:hAnsi="Arial" w:cs="Arial"/>
          <w:color w:val="000000" w:themeColor="text1"/>
          <w:sz w:val="24"/>
          <w:szCs w:val="24"/>
        </w:rPr>
        <w:t>penhoráveis</w:t>
      </w:r>
      <w:r>
        <w:rPr>
          <w:rFonts w:ascii="Arial" w:hAnsi="Arial" w:cs="Arial"/>
          <w:color w:val="000000" w:themeColor="text1"/>
          <w:sz w:val="24"/>
          <w:szCs w:val="24"/>
        </w:rPr>
        <w:t>.</w:t>
      </w:r>
    </w:p>
    <w:p w:rsidR="008A70C4" w:rsidRDefault="008A70C4" w:rsidP="008A70C4">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Ademais, notou-se celeridade/efetividade quanto </w:t>
      </w: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extinção da execução, trazendo o seguinte: </w:t>
      </w:r>
      <w:r w:rsidR="006A6672">
        <w:rPr>
          <w:rFonts w:ascii="Arial" w:hAnsi="Arial" w:cs="Arial"/>
          <w:color w:val="000000" w:themeColor="text1"/>
          <w:sz w:val="24"/>
          <w:szCs w:val="24"/>
        </w:rPr>
        <w:t>a petição inicial é indeferida e</w:t>
      </w:r>
      <w:r w:rsidRPr="0034458B">
        <w:rPr>
          <w:rFonts w:ascii="Arial" w:hAnsi="Arial" w:cs="Arial"/>
          <w:color w:val="000000" w:themeColor="text1"/>
          <w:sz w:val="24"/>
          <w:szCs w:val="24"/>
        </w:rPr>
        <w:t xml:space="preserve"> oco</w:t>
      </w:r>
      <w:r w:rsidR="006A6672">
        <w:rPr>
          <w:rFonts w:ascii="Arial" w:hAnsi="Arial" w:cs="Arial"/>
          <w:color w:val="000000" w:themeColor="text1"/>
          <w:sz w:val="24"/>
          <w:szCs w:val="24"/>
        </w:rPr>
        <w:t>rrer a prescrição intercorrente.</w:t>
      </w:r>
    </w:p>
    <w:p w:rsidR="008773F9" w:rsidRDefault="008773F9" w:rsidP="00081830">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proofErr w:type="gramStart"/>
      <w:r w:rsidR="006A6672">
        <w:rPr>
          <w:rFonts w:ascii="Arial" w:hAnsi="Arial" w:cs="Arial"/>
          <w:color w:val="000000" w:themeColor="text1"/>
          <w:sz w:val="24"/>
          <w:szCs w:val="24"/>
        </w:rPr>
        <w:t>Constatou-se</w:t>
      </w:r>
      <w:proofErr w:type="gramEnd"/>
      <w:r w:rsidR="006A6672">
        <w:rPr>
          <w:rFonts w:ascii="Arial" w:hAnsi="Arial" w:cs="Arial"/>
          <w:color w:val="000000" w:themeColor="text1"/>
          <w:sz w:val="24"/>
          <w:szCs w:val="24"/>
        </w:rPr>
        <w:t xml:space="preserve"> em relação aos honorários advocatícios, inovações trazidas no corpo do </w:t>
      </w:r>
      <w:r w:rsidRPr="00B57B47">
        <w:rPr>
          <w:rFonts w:ascii="Arial" w:hAnsi="Arial" w:cs="Arial"/>
          <w:color w:val="000000" w:themeColor="text1"/>
          <w:sz w:val="24"/>
          <w:szCs w:val="24"/>
        </w:rPr>
        <w:t>Art. 752.</w:t>
      </w:r>
      <w:r w:rsidR="006A6672">
        <w:rPr>
          <w:rFonts w:ascii="Arial" w:hAnsi="Arial" w:cs="Arial"/>
          <w:color w:val="000000" w:themeColor="text1"/>
          <w:sz w:val="24"/>
          <w:szCs w:val="24"/>
        </w:rPr>
        <w:t xml:space="preserve"> Do novo PLS que preceitua:</w:t>
      </w:r>
      <w:r w:rsidRPr="00B57B47">
        <w:rPr>
          <w:rFonts w:ascii="Arial" w:hAnsi="Arial" w:cs="Arial"/>
          <w:color w:val="000000" w:themeColor="text1"/>
          <w:sz w:val="24"/>
          <w:szCs w:val="24"/>
        </w:rPr>
        <w:t xml:space="preserve"> Ao despachar a inicial, o juiz </w:t>
      </w:r>
      <w:proofErr w:type="gramStart"/>
      <w:r w:rsidRPr="00B57B47">
        <w:rPr>
          <w:rFonts w:ascii="Arial" w:hAnsi="Arial" w:cs="Arial"/>
          <w:color w:val="000000" w:themeColor="text1"/>
          <w:sz w:val="24"/>
          <w:szCs w:val="24"/>
        </w:rPr>
        <w:t>fixará,</w:t>
      </w:r>
      <w:proofErr w:type="gramEnd"/>
      <w:r w:rsidRPr="00B57B47">
        <w:rPr>
          <w:rFonts w:ascii="Arial" w:hAnsi="Arial" w:cs="Arial"/>
          <w:color w:val="000000" w:themeColor="text1"/>
          <w:sz w:val="24"/>
          <w:szCs w:val="24"/>
        </w:rPr>
        <w:t xml:space="preserve"> de plano, os honorários advocatícios de dez por cent</w:t>
      </w:r>
      <w:r w:rsidR="00081830">
        <w:rPr>
          <w:rFonts w:ascii="Arial" w:hAnsi="Arial" w:cs="Arial"/>
          <w:color w:val="000000" w:themeColor="text1"/>
          <w:sz w:val="24"/>
          <w:szCs w:val="24"/>
        </w:rPr>
        <w:t xml:space="preserve">o, a serem pagos pelo executado e seu </w:t>
      </w:r>
      <w:r w:rsidRPr="00B57B47">
        <w:rPr>
          <w:rFonts w:ascii="Arial" w:hAnsi="Arial" w:cs="Arial"/>
          <w:color w:val="000000" w:themeColor="text1"/>
          <w:sz w:val="24"/>
          <w:szCs w:val="24"/>
        </w:rPr>
        <w:t>§ 2º Rejeitados os embargos eventualmente opostos pelo executado ou caso estes não tenham sido opostos, ao final do procedimento executivo, o valor dos honorários poderá ser acrescido até o limite de vinte por cento, em atenção ao trabalho realizado supervenientemente à citação.</w:t>
      </w:r>
    </w:p>
    <w:p w:rsidR="00081830" w:rsidRDefault="00081830" w:rsidP="00081830">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00294DD2">
        <w:rPr>
          <w:rFonts w:ascii="Arial" w:hAnsi="Arial" w:cs="Arial"/>
          <w:color w:val="000000" w:themeColor="text1"/>
          <w:sz w:val="24"/>
          <w:szCs w:val="24"/>
        </w:rPr>
        <w:t xml:space="preserve">No último tópico do trabalho </w:t>
      </w:r>
      <w:proofErr w:type="gramStart"/>
      <w:r w:rsidR="00294DD2">
        <w:rPr>
          <w:rFonts w:ascii="Arial" w:hAnsi="Arial" w:cs="Arial"/>
          <w:color w:val="000000" w:themeColor="text1"/>
          <w:sz w:val="24"/>
          <w:szCs w:val="24"/>
        </w:rPr>
        <w:t>aponta-se</w:t>
      </w:r>
      <w:proofErr w:type="gramEnd"/>
      <w:r w:rsidR="00294DD2">
        <w:rPr>
          <w:rFonts w:ascii="Arial" w:hAnsi="Arial" w:cs="Arial"/>
          <w:color w:val="000000" w:themeColor="text1"/>
          <w:sz w:val="24"/>
          <w:szCs w:val="24"/>
        </w:rPr>
        <w:t xml:space="preserve"> </w:t>
      </w:r>
      <w:r>
        <w:rPr>
          <w:rFonts w:ascii="Arial" w:hAnsi="Arial" w:cs="Arial"/>
          <w:color w:val="000000" w:themeColor="text1"/>
          <w:sz w:val="24"/>
          <w:szCs w:val="24"/>
        </w:rPr>
        <w:t>outras inovações trazidas pelo Projeto de Lei do Senado Federal de 2010, como forma de dispor o novo projeto de CPC de mais efetividade no que se relaciona a partilha, pois, sobre o tema o novo projeto é bastante incisivo e não deixa espaço para dúvidas</w:t>
      </w:r>
      <w:r w:rsidR="00B1266C">
        <w:rPr>
          <w:rFonts w:ascii="Arial" w:hAnsi="Arial" w:cs="Arial"/>
          <w:color w:val="000000" w:themeColor="text1"/>
          <w:sz w:val="24"/>
          <w:szCs w:val="24"/>
        </w:rPr>
        <w:t>, no que toca a termos que antigamente se distorciam.</w:t>
      </w:r>
    </w:p>
    <w:p w:rsidR="00294DD2" w:rsidRDefault="00294DD2" w:rsidP="00081830">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Por fim parabenizo o legislador pelas intenções e inovações trazidas </w:t>
      </w: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nova sistemática de execução dos títulos extrajudiciais</w:t>
      </w:r>
      <w:r w:rsidR="00427565">
        <w:rPr>
          <w:rFonts w:ascii="Arial" w:hAnsi="Arial" w:cs="Arial"/>
          <w:color w:val="000000" w:themeColor="text1"/>
          <w:sz w:val="24"/>
          <w:szCs w:val="24"/>
        </w:rPr>
        <w:t>, deixando claro que pela extensão da pesquisa a mesma não se conclui aqui, devendo ser analisada por outros pontos de vista e de posse de doutrina que ainda se produz sobre o tema.</w:t>
      </w:r>
    </w:p>
    <w:p w:rsidR="00294DD2" w:rsidRDefault="00294DD2" w:rsidP="00081830">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99206F" w:rsidRDefault="0099206F" w:rsidP="00C11051">
      <w:pPr>
        <w:autoSpaceDE w:val="0"/>
        <w:autoSpaceDN w:val="0"/>
        <w:adjustRightInd w:val="0"/>
        <w:spacing w:after="0" w:line="240" w:lineRule="auto"/>
        <w:jc w:val="both"/>
        <w:rPr>
          <w:rFonts w:ascii="Arial" w:hAnsi="Arial" w:cs="Arial"/>
          <w:b/>
          <w:sz w:val="24"/>
          <w:szCs w:val="24"/>
        </w:rPr>
      </w:pPr>
    </w:p>
    <w:p w:rsidR="00C5663E" w:rsidRPr="00483B79" w:rsidRDefault="00C5663E" w:rsidP="00C11051">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sz w:val="24"/>
          <w:szCs w:val="24"/>
        </w:rPr>
        <w:lastRenderedPageBreak/>
        <w:t>BIBLIOGRAFIA</w:t>
      </w:r>
    </w:p>
    <w:p w:rsidR="00C11051" w:rsidRDefault="00C11051" w:rsidP="00C11051">
      <w:pPr>
        <w:spacing w:after="0" w:line="240" w:lineRule="auto"/>
        <w:jc w:val="both"/>
        <w:rPr>
          <w:rFonts w:ascii="Arial" w:hAnsi="Arial" w:cs="Arial"/>
          <w:color w:val="000000" w:themeColor="text1"/>
          <w:sz w:val="24"/>
          <w:szCs w:val="24"/>
          <w:shd w:val="clear" w:color="auto" w:fill="FFFFFF"/>
        </w:rPr>
      </w:pPr>
    </w:p>
    <w:p w:rsidR="009678F9" w:rsidRDefault="00483B79" w:rsidP="003C0F84">
      <w:pPr>
        <w:spacing w:after="0" w:line="240" w:lineRule="auto"/>
        <w:jc w:val="both"/>
        <w:rPr>
          <w:rFonts w:ascii="Arial" w:hAnsi="Arial" w:cs="Arial"/>
          <w:color w:val="000000" w:themeColor="text1"/>
          <w:sz w:val="24"/>
          <w:szCs w:val="24"/>
          <w:shd w:val="clear" w:color="auto" w:fill="FFFFFF"/>
        </w:rPr>
      </w:pPr>
      <w:r w:rsidRPr="009678F9">
        <w:rPr>
          <w:rFonts w:ascii="Arial" w:hAnsi="Arial" w:cs="Arial"/>
          <w:color w:val="000000" w:themeColor="text1"/>
          <w:sz w:val="24"/>
          <w:szCs w:val="24"/>
          <w:shd w:val="clear" w:color="auto" w:fill="FFFFFF"/>
        </w:rPr>
        <w:t xml:space="preserve">Donaldo </w:t>
      </w:r>
      <w:proofErr w:type="spellStart"/>
      <w:r w:rsidRPr="009678F9">
        <w:rPr>
          <w:rFonts w:ascii="Arial" w:hAnsi="Arial" w:cs="Arial"/>
          <w:color w:val="000000" w:themeColor="text1"/>
          <w:sz w:val="24"/>
          <w:szCs w:val="24"/>
          <w:shd w:val="clear" w:color="auto" w:fill="FFFFFF"/>
        </w:rPr>
        <w:t>Armelin</w:t>
      </w:r>
      <w:proofErr w:type="spellEnd"/>
      <w:r w:rsidRPr="009678F9">
        <w:rPr>
          <w:rFonts w:ascii="Arial" w:hAnsi="Arial" w:cs="Arial"/>
          <w:color w:val="000000" w:themeColor="text1"/>
          <w:sz w:val="24"/>
          <w:szCs w:val="24"/>
          <w:shd w:val="clear" w:color="auto" w:fill="FFFFFF"/>
        </w:rPr>
        <w:t>... [</w:t>
      </w:r>
      <w:proofErr w:type="gramStart"/>
      <w:r w:rsidRPr="009678F9">
        <w:rPr>
          <w:rFonts w:ascii="Arial" w:hAnsi="Arial" w:cs="Arial"/>
          <w:color w:val="000000" w:themeColor="text1"/>
          <w:sz w:val="24"/>
          <w:szCs w:val="24"/>
          <w:shd w:val="clear" w:color="auto" w:fill="FFFFFF"/>
        </w:rPr>
        <w:t>et</w:t>
      </w:r>
      <w:proofErr w:type="gramEnd"/>
      <w:r w:rsidRPr="009678F9">
        <w:rPr>
          <w:rFonts w:ascii="Arial" w:hAnsi="Arial" w:cs="Arial"/>
          <w:color w:val="000000" w:themeColor="text1"/>
          <w:sz w:val="24"/>
          <w:szCs w:val="24"/>
          <w:shd w:val="clear" w:color="auto" w:fill="FFFFFF"/>
        </w:rPr>
        <w:t xml:space="preserve"> al.]</w:t>
      </w:r>
      <w:r>
        <w:rPr>
          <w:rFonts w:ascii="Arial" w:hAnsi="Arial" w:cs="Arial"/>
          <w:color w:val="000000" w:themeColor="text1"/>
          <w:sz w:val="24"/>
          <w:szCs w:val="24"/>
          <w:shd w:val="clear" w:color="auto" w:fill="FFFFFF"/>
        </w:rPr>
        <w:t xml:space="preserve"> </w:t>
      </w:r>
      <w:r w:rsidR="009678F9" w:rsidRPr="003C0F84">
        <w:rPr>
          <w:rFonts w:ascii="Arial" w:hAnsi="Arial" w:cs="Arial"/>
          <w:b/>
          <w:color w:val="000000" w:themeColor="text1"/>
          <w:sz w:val="24"/>
          <w:szCs w:val="24"/>
          <w:shd w:val="clear" w:color="auto" w:fill="FFFFFF"/>
        </w:rPr>
        <w:t>Comentários à execução civil : título judicial e extrajudicial (</w:t>
      </w:r>
      <w:r w:rsidRPr="003C0F84">
        <w:rPr>
          <w:rFonts w:ascii="Arial" w:hAnsi="Arial" w:cs="Arial"/>
          <w:b/>
          <w:color w:val="000000" w:themeColor="text1"/>
          <w:sz w:val="24"/>
          <w:szCs w:val="24"/>
          <w:shd w:val="clear" w:color="auto" w:fill="FFFFFF"/>
        </w:rPr>
        <w:t>artigo por artigo)</w:t>
      </w:r>
      <w:r>
        <w:rPr>
          <w:rFonts w:ascii="Arial" w:hAnsi="Arial" w:cs="Arial"/>
          <w:color w:val="000000" w:themeColor="text1"/>
          <w:sz w:val="24"/>
          <w:szCs w:val="24"/>
          <w:shd w:val="clear" w:color="auto" w:fill="FFFFFF"/>
        </w:rPr>
        <w:t xml:space="preserve"> </w:t>
      </w:r>
      <w:r w:rsidR="009678F9" w:rsidRPr="009678F9">
        <w:rPr>
          <w:rFonts w:ascii="Arial" w:hAnsi="Arial" w:cs="Arial"/>
          <w:color w:val="000000" w:themeColor="text1"/>
          <w:sz w:val="24"/>
          <w:szCs w:val="24"/>
          <w:shd w:val="clear" w:color="auto" w:fill="FFFFFF"/>
        </w:rPr>
        <w:t xml:space="preserve">apresentação Luiz Guilherme </w:t>
      </w:r>
      <w:proofErr w:type="spellStart"/>
      <w:r w:rsidR="009678F9" w:rsidRPr="009678F9">
        <w:rPr>
          <w:rFonts w:ascii="Arial" w:hAnsi="Arial" w:cs="Arial"/>
          <w:color w:val="000000" w:themeColor="text1"/>
          <w:sz w:val="24"/>
          <w:szCs w:val="24"/>
          <w:shd w:val="clear" w:color="auto" w:fill="FFFFFF"/>
        </w:rPr>
        <w:t>Marinoni</w:t>
      </w:r>
      <w:proofErr w:type="spellEnd"/>
      <w:r w:rsidR="009678F9" w:rsidRPr="009678F9">
        <w:rPr>
          <w:rFonts w:ascii="Arial" w:hAnsi="Arial" w:cs="Arial"/>
          <w:color w:val="000000" w:themeColor="text1"/>
          <w:sz w:val="24"/>
          <w:szCs w:val="24"/>
          <w:shd w:val="clear" w:color="auto" w:fill="FFFFFF"/>
        </w:rPr>
        <w:t xml:space="preserve">. – 2. </w:t>
      </w:r>
      <w:proofErr w:type="gramStart"/>
      <w:r w:rsidR="009678F9" w:rsidRPr="009678F9">
        <w:rPr>
          <w:rFonts w:ascii="Arial" w:hAnsi="Arial" w:cs="Arial"/>
          <w:color w:val="000000" w:themeColor="text1"/>
          <w:sz w:val="24"/>
          <w:szCs w:val="24"/>
          <w:shd w:val="clear" w:color="auto" w:fill="FFFFFF"/>
        </w:rPr>
        <w:t>ed.</w:t>
      </w:r>
      <w:proofErr w:type="gramEnd"/>
      <w:r w:rsidR="009678F9" w:rsidRPr="009678F9">
        <w:rPr>
          <w:rFonts w:ascii="Arial" w:hAnsi="Arial" w:cs="Arial"/>
          <w:color w:val="000000" w:themeColor="text1"/>
          <w:sz w:val="24"/>
          <w:szCs w:val="24"/>
          <w:shd w:val="clear" w:color="auto" w:fill="FFFFFF"/>
        </w:rPr>
        <w:t xml:space="preserve"> – São Paulo : Saraiva, 2009.</w:t>
      </w:r>
    </w:p>
    <w:p w:rsidR="003C0F84" w:rsidRDefault="003C0F84" w:rsidP="003C0F84">
      <w:pPr>
        <w:spacing w:after="0" w:line="240" w:lineRule="auto"/>
        <w:jc w:val="both"/>
        <w:rPr>
          <w:rFonts w:ascii="Arial" w:hAnsi="Arial" w:cs="Arial"/>
          <w:color w:val="000000" w:themeColor="text1"/>
          <w:sz w:val="24"/>
          <w:szCs w:val="24"/>
          <w:shd w:val="clear" w:color="auto" w:fill="FFFFFF"/>
        </w:rPr>
      </w:pPr>
    </w:p>
    <w:p w:rsidR="00C5663E" w:rsidRDefault="00C5663E" w:rsidP="003C0F84">
      <w:pPr>
        <w:spacing w:after="0" w:line="240" w:lineRule="auto"/>
        <w:jc w:val="both"/>
        <w:rPr>
          <w:rFonts w:ascii="Arial" w:hAnsi="Arial" w:cs="Arial"/>
          <w:color w:val="000000" w:themeColor="text1"/>
          <w:sz w:val="24"/>
          <w:szCs w:val="24"/>
          <w:shd w:val="clear" w:color="auto" w:fill="FFFFFF"/>
        </w:rPr>
      </w:pPr>
      <w:r w:rsidRPr="00C5663E">
        <w:rPr>
          <w:rFonts w:ascii="Arial" w:hAnsi="Arial" w:cs="Arial"/>
          <w:color w:val="000000" w:themeColor="text1"/>
          <w:sz w:val="24"/>
          <w:szCs w:val="24"/>
          <w:shd w:val="clear" w:color="auto" w:fill="FFFFFF"/>
        </w:rPr>
        <w:t xml:space="preserve">ALVIM, J.E. Carreira, CABRAL, Luciana G. </w:t>
      </w:r>
      <w:proofErr w:type="gramStart"/>
      <w:r w:rsidRPr="00C5663E">
        <w:rPr>
          <w:rFonts w:ascii="Arial" w:hAnsi="Arial" w:cs="Arial"/>
          <w:color w:val="000000" w:themeColor="text1"/>
          <w:sz w:val="24"/>
          <w:szCs w:val="24"/>
          <w:shd w:val="clear" w:color="auto" w:fill="FFFFFF"/>
        </w:rPr>
        <w:t>Carreira Alvim</w:t>
      </w:r>
      <w:proofErr w:type="gramEnd"/>
      <w:r w:rsidRPr="00C5663E">
        <w:rPr>
          <w:rFonts w:ascii="Arial" w:hAnsi="Arial" w:cs="Arial"/>
          <w:color w:val="000000" w:themeColor="text1"/>
          <w:sz w:val="24"/>
          <w:szCs w:val="24"/>
          <w:shd w:val="clear" w:color="auto" w:fill="FFFFFF"/>
        </w:rPr>
        <w:t xml:space="preserve">. </w:t>
      </w:r>
      <w:r w:rsidRPr="003C0F84">
        <w:rPr>
          <w:rFonts w:ascii="Arial" w:hAnsi="Arial" w:cs="Arial"/>
          <w:b/>
          <w:color w:val="000000" w:themeColor="text1"/>
          <w:sz w:val="24"/>
          <w:szCs w:val="24"/>
          <w:shd w:val="clear" w:color="auto" w:fill="FFFFFF"/>
        </w:rPr>
        <w:t>“Código de Processo Civil Reformado”</w:t>
      </w:r>
      <w:r w:rsidRPr="00C5663E">
        <w:rPr>
          <w:rFonts w:ascii="Arial" w:hAnsi="Arial" w:cs="Arial"/>
          <w:color w:val="000000" w:themeColor="text1"/>
          <w:sz w:val="24"/>
          <w:szCs w:val="24"/>
          <w:shd w:val="clear" w:color="auto" w:fill="FFFFFF"/>
        </w:rPr>
        <w:t xml:space="preserve">, </w:t>
      </w:r>
      <w:proofErr w:type="gramStart"/>
      <w:r w:rsidRPr="00C5663E">
        <w:rPr>
          <w:rFonts w:ascii="Arial" w:hAnsi="Arial" w:cs="Arial"/>
          <w:color w:val="000000" w:themeColor="text1"/>
          <w:sz w:val="24"/>
          <w:szCs w:val="24"/>
          <w:shd w:val="clear" w:color="auto" w:fill="FFFFFF"/>
        </w:rPr>
        <w:t>Editora Juruá</w:t>
      </w:r>
      <w:proofErr w:type="gramEnd"/>
      <w:r w:rsidRPr="00C5663E">
        <w:rPr>
          <w:rFonts w:ascii="Arial" w:hAnsi="Arial" w:cs="Arial"/>
          <w:color w:val="000000" w:themeColor="text1"/>
          <w:sz w:val="24"/>
          <w:szCs w:val="24"/>
          <w:shd w:val="clear" w:color="auto" w:fill="FFFFFF"/>
        </w:rPr>
        <w:t>, 2007, p. 510.</w:t>
      </w:r>
    </w:p>
    <w:p w:rsidR="003C0F84" w:rsidRDefault="003C0F84" w:rsidP="003C0F84">
      <w:pPr>
        <w:spacing w:after="0" w:line="240" w:lineRule="auto"/>
        <w:jc w:val="both"/>
        <w:rPr>
          <w:rFonts w:ascii="Arial" w:hAnsi="Arial" w:cs="Arial"/>
          <w:sz w:val="24"/>
          <w:szCs w:val="24"/>
        </w:rPr>
      </w:pPr>
    </w:p>
    <w:p w:rsidR="003F04EC" w:rsidRDefault="003F04EC" w:rsidP="003C0F84">
      <w:pPr>
        <w:spacing w:after="0" w:line="240" w:lineRule="auto"/>
        <w:jc w:val="both"/>
        <w:rPr>
          <w:rFonts w:ascii="Arial" w:hAnsi="Arial" w:cs="Arial"/>
          <w:sz w:val="24"/>
          <w:szCs w:val="24"/>
        </w:rPr>
      </w:pPr>
      <w:r w:rsidRPr="003F04EC">
        <w:rPr>
          <w:rFonts w:ascii="Arial" w:hAnsi="Arial" w:cs="Arial"/>
          <w:sz w:val="24"/>
          <w:szCs w:val="24"/>
        </w:rPr>
        <w:t xml:space="preserve">MACHADO, A. C. da Costa. </w:t>
      </w:r>
      <w:r w:rsidRPr="003C0F84">
        <w:rPr>
          <w:rFonts w:ascii="Arial" w:hAnsi="Arial" w:cs="Arial"/>
          <w:b/>
          <w:sz w:val="24"/>
          <w:szCs w:val="24"/>
        </w:rPr>
        <w:t>Código de Processo Civil Interpretado: artigo por artigo, parágrafo por parágrafo.</w:t>
      </w:r>
      <w:r w:rsidRPr="003F04EC">
        <w:rPr>
          <w:rFonts w:ascii="Arial" w:hAnsi="Arial" w:cs="Arial"/>
          <w:sz w:val="24"/>
          <w:szCs w:val="24"/>
        </w:rPr>
        <w:t xml:space="preserve"> 12 ed. Barueri: Manole, 2013.</w:t>
      </w:r>
    </w:p>
    <w:p w:rsidR="005845CF" w:rsidRPr="005845CF" w:rsidRDefault="005845CF" w:rsidP="003C0F84">
      <w:pPr>
        <w:spacing w:after="0" w:line="480" w:lineRule="auto"/>
        <w:jc w:val="both"/>
        <w:rPr>
          <w:rFonts w:ascii="Arial" w:hAnsi="Arial" w:cs="Arial"/>
          <w:b/>
          <w:color w:val="000000" w:themeColor="text1"/>
          <w:sz w:val="24"/>
          <w:szCs w:val="24"/>
        </w:rPr>
      </w:pPr>
      <w:r>
        <w:rPr>
          <w:rFonts w:ascii="Arial" w:hAnsi="Arial" w:cs="Arial"/>
          <w:sz w:val="24"/>
          <w:szCs w:val="24"/>
        </w:rPr>
        <w:t xml:space="preserve">Disponível em: </w:t>
      </w:r>
      <w:r w:rsidR="00C11051" w:rsidRPr="003C0F84">
        <w:rPr>
          <w:rFonts w:ascii="Arial" w:hAnsi="Arial" w:cs="Arial"/>
          <w:b/>
          <w:sz w:val="24"/>
          <w:szCs w:val="24"/>
        </w:rPr>
        <w:t>&lt;</w:t>
      </w:r>
      <w:r w:rsidRPr="003C0F84">
        <w:rPr>
          <w:rFonts w:ascii="Arial" w:hAnsi="Arial" w:cs="Arial"/>
          <w:b/>
          <w:sz w:val="24"/>
          <w:szCs w:val="24"/>
        </w:rPr>
        <w:t>http://www.senado.gov.br/atividade/materia/getPDF.asp?t=84496</w:t>
      </w:r>
      <w:r w:rsidR="00C11051" w:rsidRPr="003C0F84">
        <w:rPr>
          <w:rFonts w:ascii="Arial" w:hAnsi="Arial" w:cs="Arial"/>
          <w:b/>
          <w:sz w:val="24"/>
          <w:szCs w:val="24"/>
        </w:rPr>
        <w:t>&gt;</w:t>
      </w:r>
      <w:r>
        <w:rPr>
          <w:rFonts w:ascii="Arial" w:hAnsi="Arial" w:cs="Arial"/>
          <w:sz w:val="24"/>
          <w:szCs w:val="24"/>
        </w:rPr>
        <w:t xml:space="preserve"> Acesso em: </w:t>
      </w:r>
      <w:r w:rsidR="00C11051">
        <w:rPr>
          <w:rFonts w:ascii="Arial" w:hAnsi="Arial" w:cs="Arial"/>
          <w:sz w:val="24"/>
          <w:szCs w:val="24"/>
        </w:rPr>
        <w:t xml:space="preserve">22/11/2013 às </w:t>
      </w:r>
      <w:proofErr w:type="gramStart"/>
      <w:r w:rsidR="00C11051">
        <w:rPr>
          <w:rFonts w:ascii="Arial" w:hAnsi="Arial" w:cs="Arial"/>
          <w:sz w:val="24"/>
          <w:szCs w:val="24"/>
        </w:rPr>
        <w:t>09:00</w:t>
      </w:r>
      <w:proofErr w:type="gramEnd"/>
      <w:r w:rsidR="00C11051">
        <w:rPr>
          <w:rFonts w:ascii="Arial" w:hAnsi="Arial" w:cs="Arial"/>
          <w:sz w:val="24"/>
          <w:szCs w:val="24"/>
        </w:rPr>
        <w:t xml:space="preserve"> </w:t>
      </w:r>
      <w:proofErr w:type="spellStart"/>
      <w:r w:rsidR="00C11051">
        <w:rPr>
          <w:rFonts w:ascii="Arial" w:hAnsi="Arial" w:cs="Arial"/>
          <w:sz w:val="24"/>
          <w:szCs w:val="24"/>
        </w:rPr>
        <w:t>hs</w:t>
      </w:r>
      <w:proofErr w:type="spellEnd"/>
      <w:r w:rsidR="00C11051">
        <w:rPr>
          <w:rFonts w:ascii="Arial" w:hAnsi="Arial" w:cs="Arial"/>
          <w:sz w:val="24"/>
          <w:szCs w:val="24"/>
        </w:rPr>
        <w:t>.</w:t>
      </w:r>
      <w:bookmarkEnd w:id="0"/>
    </w:p>
    <w:sectPr w:rsidR="005845CF" w:rsidRPr="005845CF" w:rsidSect="002346A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2D" w:rsidRDefault="0077282D" w:rsidP="00D464DF">
      <w:pPr>
        <w:spacing w:after="0" w:line="240" w:lineRule="auto"/>
      </w:pPr>
      <w:r>
        <w:separator/>
      </w:r>
    </w:p>
  </w:endnote>
  <w:endnote w:type="continuationSeparator" w:id="0">
    <w:p w:rsidR="0077282D" w:rsidRDefault="0077282D" w:rsidP="00D4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2D" w:rsidRDefault="0077282D" w:rsidP="00D464DF">
      <w:pPr>
        <w:spacing w:after="0" w:line="240" w:lineRule="auto"/>
      </w:pPr>
      <w:r>
        <w:separator/>
      </w:r>
    </w:p>
  </w:footnote>
  <w:footnote w:type="continuationSeparator" w:id="0">
    <w:p w:rsidR="0077282D" w:rsidRDefault="0077282D" w:rsidP="00D464DF">
      <w:pPr>
        <w:spacing w:after="0" w:line="240" w:lineRule="auto"/>
      </w:pPr>
      <w:r>
        <w:continuationSeparator/>
      </w:r>
    </w:p>
  </w:footnote>
  <w:footnote w:id="1">
    <w:p w:rsidR="00D464DF" w:rsidRPr="00D464DF" w:rsidRDefault="00D464DF" w:rsidP="00D464DF">
      <w:pPr>
        <w:pStyle w:val="Textodenotaderodap"/>
        <w:jc w:val="both"/>
      </w:pPr>
      <w:r>
        <w:rPr>
          <w:rStyle w:val="Refdenotaderodap"/>
        </w:rPr>
        <w:footnoteRef/>
      </w:r>
      <w:r w:rsidRPr="00D464DF">
        <w:t xml:space="preserve">Cf. Daniel Amorim Assumpção Neves, Glauco </w:t>
      </w:r>
      <w:proofErr w:type="spellStart"/>
      <w:r w:rsidRPr="00D464DF">
        <w:t>Gumerato</w:t>
      </w:r>
      <w:proofErr w:type="spellEnd"/>
      <w:r w:rsidRPr="00D464DF">
        <w:t xml:space="preserve"> Ramos, Rodrigo da Cunha Lima Freire, Rodrigo </w:t>
      </w:r>
      <w:proofErr w:type="spellStart"/>
      <w:r w:rsidRPr="00D464DF">
        <w:t>Mazzei</w:t>
      </w:r>
      <w:proofErr w:type="spellEnd"/>
      <w:r w:rsidRPr="00D464DF">
        <w:t>. Segundo os Autores, “pela íntima ligação que há entre tutela executiva e os conceitos e contornos do direito obrigacional, deve o intérprete estar absolutamente atento à arquitetura legal que emana do nosso Código Civil (...)”. Destacam ainda que, “no atual estágio, não se permite mais pensar em codificações com completude, isto é, sem qualquer tipo de interação com outros diplomas normativos, com a (falsa) pretensão de ser o eixo único da regulação da matéria. Igualmente, parece falecer</w:t>
      </w:r>
      <w:r>
        <w:t xml:space="preserve"> </w:t>
      </w:r>
      <w:r w:rsidRPr="00D464DF">
        <w:t>o discurso que cria uma divisão fechada, absolutamente estanque, entre direito material e processual. Daí porque deve ser trabalhada a concepção de códigos com função participativa e a interpenetração (e comunicação) de regras de direito processual com dispositivos de direito material, até porque a ciência processual – que se mira na efetividade – está intrinsecamente relacionada com uma das mais importantes diretrizes do direito material que é a operabilidade” (Reforma do CPC, v. 2, pp. 59-61</w:t>
      </w:r>
      <w:r>
        <w:t>).</w:t>
      </w:r>
    </w:p>
  </w:footnote>
  <w:footnote w:id="2">
    <w:p w:rsidR="002B7396" w:rsidRPr="002B7396" w:rsidRDefault="002B7396">
      <w:pPr>
        <w:pStyle w:val="Textodenotaderodap"/>
      </w:pPr>
      <w:r>
        <w:rPr>
          <w:rStyle w:val="Refdenotaderodap"/>
        </w:rPr>
        <w:footnoteRef/>
      </w:r>
      <w:r>
        <w:t xml:space="preserve"> Art. 633 CPC. Se no prazo fixado, o devedor não satisfazer a obrigação, é lícito ao credor, nos próprios autos do processo, requerer que ela seja executada à custa do devedor, ou haver perdas e danos; caso em que ela se converte em indenização. </w:t>
      </w:r>
    </w:p>
  </w:footnote>
  <w:footnote w:id="3">
    <w:p w:rsidR="002B7396" w:rsidRPr="003F04EC" w:rsidRDefault="002B7396">
      <w:pPr>
        <w:pStyle w:val="Textodenotaderodap"/>
      </w:pPr>
      <w:r>
        <w:rPr>
          <w:rStyle w:val="Refdenotaderodap"/>
        </w:rPr>
        <w:footnoteRef/>
      </w:r>
      <w:r>
        <w:t xml:space="preserve"> MACHADO, A. C. da Costa</w:t>
      </w:r>
      <w:r w:rsidR="003F04EC">
        <w:t>. Código de Processo Civil Interpretado: artigo por artigo, parágrafo por parágrafo. 12 ed. Barueri: Manole, 2013.</w:t>
      </w:r>
    </w:p>
  </w:footnote>
  <w:footnote w:id="4">
    <w:p w:rsidR="00B15038" w:rsidRPr="009B39E8" w:rsidRDefault="00B15038" w:rsidP="00B15038">
      <w:pPr>
        <w:autoSpaceDE w:val="0"/>
        <w:autoSpaceDN w:val="0"/>
        <w:adjustRightInd w:val="0"/>
        <w:spacing w:after="0" w:line="360" w:lineRule="auto"/>
        <w:jc w:val="both"/>
        <w:rPr>
          <w:rFonts w:ascii="Arial" w:hAnsi="Arial" w:cs="Arial"/>
          <w:color w:val="000000" w:themeColor="text1"/>
          <w:sz w:val="20"/>
          <w:szCs w:val="20"/>
        </w:rPr>
      </w:pPr>
      <w:r>
        <w:rPr>
          <w:rStyle w:val="Refdenotaderodap"/>
        </w:rPr>
        <w:footnoteRef/>
      </w:r>
      <w:r>
        <w:t xml:space="preserve"> </w:t>
      </w:r>
      <w:r w:rsidRPr="009B39E8">
        <w:rPr>
          <w:rFonts w:ascii="Arial" w:hAnsi="Arial" w:cs="Arial"/>
          <w:color w:val="000000" w:themeColor="text1"/>
          <w:sz w:val="20"/>
          <w:szCs w:val="20"/>
        </w:rPr>
        <w:t>Art. 792. O juiz poderá nomear administrador-depositário o credor ou o devedor, ouvida a parte contrária; não havendo acordo, o juiz nomeará profissional qualificado para o desempenho da função.</w:t>
      </w:r>
    </w:p>
    <w:p w:rsidR="00B15038" w:rsidRPr="009B39E8" w:rsidRDefault="00B15038" w:rsidP="00B15038">
      <w:pPr>
        <w:autoSpaceDE w:val="0"/>
        <w:autoSpaceDN w:val="0"/>
        <w:adjustRightInd w:val="0"/>
        <w:spacing w:after="0" w:line="360" w:lineRule="auto"/>
        <w:ind w:firstLine="708"/>
        <w:jc w:val="both"/>
        <w:rPr>
          <w:rFonts w:ascii="Arial" w:hAnsi="Arial" w:cs="Arial"/>
          <w:color w:val="000000" w:themeColor="text1"/>
          <w:sz w:val="20"/>
          <w:szCs w:val="20"/>
        </w:rPr>
      </w:pPr>
      <w:r w:rsidRPr="009B39E8">
        <w:rPr>
          <w:rFonts w:ascii="Arial" w:hAnsi="Arial" w:cs="Arial"/>
          <w:color w:val="000000" w:themeColor="text1"/>
          <w:sz w:val="20"/>
          <w:szCs w:val="20"/>
        </w:rPr>
        <w:t>§ 1º O administrador submeterá à aprovação judicial a</w:t>
      </w:r>
    </w:p>
    <w:p w:rsidR="00B15038" w:rsidRPr="009B39E8" w:rsidRDefault="00B15038" w:rsidP="00B15038">
      <w:pPr>
        <w:autoSpaceDE w:val="0"/>
        <w:autoSpaceDN w:val="0"/>
        <w:adjustRightInd w:val="0"/>
        <w:spacing w:after="0" w:line="360" w:lineRule="auto"/>
        <w:jc w:val="both"/>
        <w:rPr>
          <w:rFonts w:ascii="Arial" w:hAnsi="Arial" w:cs="Arial"/>
          <w:color w:val="000000" w:themeColor="text1"/>
          <w:sz w:val="20"/>
          <w:szCs w:val="20"/>
        </w:rPr>
      </w:pPr>
      <w:proofErr w:type="gramStart"/>
      <w:r w:rsidRPr="009B39E8">
        <w:rPr>
          <w:rFonts w:ascii="Arial" w:hAnsi="Arial" w:cs="Arial"/>
          <w:color w:val="000000" w:themeColor="text1"/>
          <w:sz w:val="20"/>
          <w:szCs w:val="20"/>
        </w:rPr>
        <w:t>forma</w:t>
      </w:r>
      <w:proofErr w:type="gramEnd"/>
      <w:r w:rsidRPr="009B39E8">
        <w:rPr>
          <w:rFonts w:ascii="Arial" w:hAnsi="Arial" w:cs="Arial"/>
          <w:color w:val="000000" w:themeColor="text1"/>
          <w:sz w:val="20"/>
          <w:szCs w:val="20"/>
        </w:rPr>
        <w:t xml:space="preserve"> de administração, bem como a de prestar contas</w:t>
      </w:r>
      <w:r w:rsidR="009B39E8" w:rsidRPr="009B39E8">
        <w:rPr>
          <w:rFonts w:ascii="Arial" w:hAnsi="Arial" w:cs="Arial"/>
          <w:color w:val="000000" w:themeColor="text1"/>
          <w:sz w:val="20"/>
          <w:szCs w:val="20"/>
        </w:rPr>
        <w:t xml:space="preserve"> periodicamente.</w:t>
      </w:r>
    </w:p>
    <w:p w:rsidR="00B15038" w:rsidRPr="00B15038" w:rsidRDefault="00B15038">
      <w:pPr>
        <w:pStyle w:val="Textodenotaderodap"/>
      </w:pPr>
    </w:p>
  </w:footnote>
  <w:footnote w:id="5">
    <w:p w:rsidR="00C43684" w:rsidRPr="00C43684" w:rsidRDefault="00C43684">
      <w:pPr>
        <w:pStyle w:val="Textodenotaderodap"/>
      </w:pPr>
      <w:r>
        <w:rPr>
          <w:rStyle w:val="Refdenotaderodap"/>
        </w:rPr>
        <w:footnoteRef/>
      </w:r>
      <w:r>
        <w:t xml:space="preserve"> Texto em negrito, acrescentados no novo projeto do CPC, e busca dar mais efetividade ao processo de execução.</w:t>
      </w:r>
    </w:p>
  </w:footnote>
  <w:footnote w:id="6">
    <w:p w:rsidR="008D64FF" w:rsidRPr="00094817" w:rsidRDefault="008D64FF">
      <w:pPr>
        <w:pStyle w:val="Textodenotaderodap"/>
      </w:pPr>
      <w:r>
        <w:rPr>
          <w:rStyle w:val="Refdenotaderodap"/>
        </w:rPr>
        <w:footnoteRef/>
      </w:r>
      <w:r>
        <w:t xml:space="preserve"> </w:t>
      </w:r>
      <w:r w:rsidR="00094817" w:rsidRPr="00094817">
        <w:t>Inciso acrescentado na proposta do novo projeto do CPC.</w:t>
      </w:r>
    </w:p>
  </w:footnote>
  <w:footnote w:id="7">
    <w:p w:rsidR="006772E6" w:rsidRPr="006772E6" w:rsidRDefault="006772E6">
      <w:pPr>
        <w:pStyle w:val="Textodenotaderodap"/>
      </w:pPr>
      <w:r>
        <w:rPr>
          <w:rStyle w:val="Refdenotaderodap"/>
        </w:rPr>
        <w:footnoteRef/>
      </w:r>
      <w:r>
        <w:t xml:space="preserve"> </w:t>
      </w:r>
      <w:r w:rsidRPr="006772E6">
        <w:t>Parte em negrito acrescentado no novo projeto do CPC.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456901"/>
      <w:docPartObj>
        <w:docPartGallery w:val="Page Numbers (Top of Page)"/>
        <w:docPartUnique/>
      </w:docPartObj>
    </w:sdtPr>
    <w:sdtEndPr/>
    <w:sdtContent>
      <w:p w:rsidR="008B6022" w:rsidRDefault="008B6022">
        <w:pPr>
          <w:pStyle w:val="Cabealho"/>
          <w:jc w:val="right"/>
        </w:pPr>
        <w:r>
          <w:fldChar w:fldCharType="begin"/>
        </w:r>
        <w:r>
          <w:instrText>PAGE   \* MERGEFORMAT</w:instrText>
        </w:r>
        <w:r>
          <w:fldChar w:fldCharType="separate"/>
        </w:r>
        <w:r w:rsidR="00C62E7B">
          <w:rPr>
            <w:noProof/>
          </w:rPr>
          <w:t>1</w:t>
        </w:r>
        <w:r>
          <w:fldChar w:fldCharType="end"/>
        </w:r>
      </w:p>
    </w:sdtContent>
  </w:sdt>
  <w:p w:rsidR="008B6022" w:rsidRDefault="008B602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7D"/>
    <w:rsid w:val="00031BF1"/>
    <w:rsid w:val="000716D6"/>
    <w:rsid w:val="00081830"/>
    <w:rsid w:val="00094817"/>
    <w:rsid w:val="00094EE2"/>
    <w:rsid w:val="000C39D6"/>
    <w:rsid w:val="000C7D7B"/>
    <w:rsid w:val="000E43C8"/>
    <w:rsid w:val="000F4074"/>
    <w:rsid w:val="001356A9"/>
    <w:rsid w:val="00146B61"/>
    <w:rsid w:val="001549E4"/>
    <w:rsid w:val="00160510"/>
    <w:rsid w:val="0020138F"/>
    <w:rsid w:val="002346AD"/>
    <w:rsid w:val="00261F2E"/>
    <w:rsid w:val="00271A01"/>
    <w:rsid w:val="00294DD2"/>
    <w:rsid w:val="002B7396"/>
    <w:rsid w:val="003027E2"/>
    <w:rsid w:val="0034458B"/>
    <w:rsid w:val="00353FA3"/>
    <w:rsid w:val="0036679E"/>
    <w:rsid w:val="003B32B4"/>
    <w:rsid w:val="003C0F84"/>
    <w:rsid w:val="003D2C4D"/>
    <w:rsid w:val="003F04EC"/>
    <w:rsid w:val="00427565"/>
    <w:rsid w:val="00483B79"/>
    <w:rsid w:val="00490CBE"/>
    <w:rsid w:val="004C3E7D"/>
    <w:rsid w:val="004D1553"/>
    <w:rsid w:val="005466BE"/>
    <w:rsid w:val="005845CF"/>
    <w:rsid w:val="005F2D31"/>
    <w:rsid w:val="00633DFF"/>
    <w:rsid w:val="006772E6"/>
    <w:rsid w:val="006A6672"/>
    <w:rsid w:val="00706DE5"/>
    <w:rsid w:val="0077282D"/>
    <w:rsid w:val="0077544E"/>
    <w:rsid w:val="00777813"/>
    <w:rsid w:val="007E7EE0"/>
    <w:rsid w:val="00846126"/>
    <w:rsid w:val="00870681"/>
    <w:rsid w:val="008773F9"/>
    <w:rsid w:val="00881865"/>
    <w:rsid w:val="008A49C3"/>
    <w:rsid w:val="008A70C4"/>
    <w:rsid w:val="008B6022"/>
    <w:rsid w:val="008D64FF"/>
    <w:rsid w:val="009678F9"/>
    <w:rsid w:val="0099206F"/>
    <w:rsid w:val="00993FAE"/>
    <w:rsid w:val="009B39E8"/>
    <w:rsid w:val="00A35B7A"/>
    <w:rsid w:val="00A5397C"/>
    <w:rsid w:val="00AA7C14"/>
    <w:rsid w:val="00AE654E"/>
    <w:rsid w:val="00B1266C"/>
    <w:rsid w:val="00B15038"/>
    <w:rsid w:val="00B45225"/>
    <w:rsid w:val="00B57B47"/>
    <w:rsid w:val="00BA3990"/>
    <w:rsid w:val="00C11051"/>
    <w:rsid w:val="00C24E63"/>
    <w:rsid w:val="00C338A2"/>
    <w:rsid w:val="00C43684"/>
    <w:rsid w:val="00C5663E"/>
    <w:rsid w:val="00C62E7B"/>
    <w:rsid w:val="00CF062A"/>
    <w:rsid w:val="00D0583E"/>
    <w:rsid w:val="00D464DF"/>
    <w:rsid w:val="00D75618"/>
    <w:rsid w:val="00DA2EEF"/>
    <w:rsid w:val="00DC68E1"/>
    <w:rsid w:val="00DD51D9"/>
    <w:rsid w:val="00E92341"/>
    <w:rsid w:val="00F52B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3E7D"/>
    <w:rPr>
      <w:color w:val="0000FF"/>
      <w:u w:val="single"/>
    </w:rPr>
  </w:style>
  <w:style w:type="character" w:customStyle="1" w:styleId="hps">
    <w:name w:val="hps"/>
    <w:basedOn w:val="Fontepargpadro"/>
    <w:rsid w:val="004C3E7D"/>
  </w:style>
  <w:style w:type="character" w:customStyle="1" w:styleId="shorttext">
    <w:name w:val="short_text"/>
    <w:basedOn w:val="Fontepargpadro"/>
    <w:rsid w:val="004C3E7D"/>
  </w:style>
  <w:style w:type="character" w:customStyle="1" w:styleId="apple-converted-space">
    <w:name w:val="apple-converted-space"/>
    <w:basedOn w:val="Fontepargpadro"/>
    <w:rsid w:val="00146B61"/>
  </w:style>
  <w:style w:type="paragraph" w:styleId="Textodenotaderodap">
    <w:name w:val="footnote text"/>
    <w:basedOn w:val="Normal"/>
    <w:link w:val="TextodenotaderodapChar"/>
    <w:uiPriority w:val="99"/>
    <w:semiHidden/>
    <w:unhideWhenUsed/>
    <w:rsid w:val="00D464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64DF"/>
    <w:rPr>
      <w:sz w:val="20"/>
      <w:szCs w:val="20"/>
    </w:rPr>
  </w:style>
  <w:style w:type="character" w:styleId="Refdenotaderodap">
    <w:name w:val="footnote reference"/>
    <w:basedOn w:val="Fontepargpadro"/>
    <w:uiPriority w:val="99"/>
    <w:semiHidden/>
    <w:unhideWhenUsed/>
    <w:rsid w:val="00D464DF"/>
    <w:rPr>
      <w:vertAlign w:val="superscript"/>
    </w:rPr>
  </w:style>
  <w:style w:type="paragraph" w:styleId="Cabealho">
    <w:name w:val="header"/>
    <w:basedOn w:val="Normal"/>
    <w:link w:val="CabealhoChar"/>
    <w:uiPriority w:val="99"/>
    <w:unhideWhenUsed/>
    <w:rsid w:val="008B60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6022"/>
  </w:style>
  <w:style w:type="paragraph" w:styleId="Rodap">
    <w:name w:val="footer"/>
    <w:basedOn w:val="Normal"/>
    <w:link w:val="RodapChar"/>
    <w:uiPriority w:val="99"/>
    <w:unhideWhenUsed/>
    <w:rsid w:val="008B6022"/>
    <w:pPr>
      <w:tabs>
        <w:tab w:val="center" w:pos="4252"/>
        <w:tab w:val="right" w:pos="8504"/>
      </w:tabs>
      <w:spacing w:after="0" w:line="240" w:lineRule="auto"/>
    </w:pPr>
  </w:style>
  <w:style w:type="character" w:customStyle="1" w:styleId="RodapChar">
    <w:name w:val="Rodapé Char"/>
    <w:basedOn w:val="Fontepargpadro"/>
    <w:link w:val="Rodap"/>
    <w:uiPriority w:val="99"/>
    <w:rsid w:val="008B6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3E7D"/>
    <w:rPr>
      <w:color w:val="0000FF"/>
      <w:u w:val="single"/>
    </w:rPr>
  </w:style>
  <w:style w:type="character" w:customStyle="1" w:styleId="hps">
    <w:name w:val="hps"/>
    <w:basedOn w:val="Fontepargpadro"/>
    <w:rsid w:val="004C3E7D"/>
  </w:style>
  <w:style w:type="character" w:customStyle="1" w:styleId="shorttext">
    <w:name w:val="short_text"/>
    <w:basedOn w:val="Fontepargpadro"/>
    <w:rsid w:val="004C3E7D"/>
  </w:style>
  <w:style w:type="character" w:customStyle="1" w:styleId="apple-converted-space">
    <w:name w:val="apple-converted-space"/>
    <w:basedOn w:val="Fontepargpadro"/>
    <w:rsid w:val="00146B61"/>
  </w:style>
  <w:style w:type="paragraph" w:styleId="Textodenotaderodap">
    <w:name w:val="footnote text"/>
    <w:basedOn w:val="Normal"/>
    <w:link w:val="TextodenotaderodapChar"/>
    <w:uiPriority w:val="99"/>
    <w:semiHidden/>
    <w:unhideWhenUsed/>
    <w:rsid w:val="00D464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64DF"/>
    <w:rPr>
      <w:sz w:val="20"/>
      <w:szCs w:val="20"/>
    </w:rPr>
  </w:style>
  <w:style w:type="character" w:styleId="Refdenotaderodap">
    <w:name w:val="footnote reference"/>
    <w:basedOn w:val="Fontepargpadro"/>
    <w:uiPriority w:val="99"/>
    <w:semiHidden/>
    <w:unhideWhenUsed/>
    <w:rsid w:val="00D464DF"/>
    <w:rPr>
      <w:vertAlign w:val="superscript"/>
    </w:rPr>
  </w:style>
  <w:style w:type="paragraph" w:styleId="Cabealho">
    <w:name w:val="header"/>
    <w:basedOn w:val="Normal"/>
    <w:link w:val="CabealhoChar"/>
    <w:uiPriority w:val="99"/>
    <w:unhideWhenUsed/>
    <w:rsid w:val="008B60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6022"/>
  </w:style>
  <w:style w:type="paragraph" w:styleId="Rodap">
    <w:name w:val="footer"/>
    <w:basedOn w:val="Normal"/>
    <w:link w:val="RodapChar"/>
    <w:uiPriority w:val="99"/>
    <w:unhideWhenUsed/>
    <w:rsid w:val="008B6022"/>
    <w:pPr>
      <w:tabs>
        <w:tab w:val="center" w:pos="4252"/>
        <w:tab w:val="right" w:pos="8504"/>
      </w:tabs>
      <w:spacing w:after="0" w:line="240" w:lineRule="auto"/>
    </w:pPr>
  </w:style>
  <w:style w:type="character" w:customStyle="1" w:styleId="RodapChar">
    <w:name w:val="Rodapé Char"/>
    <w:basedOn w:val="Fontepargpadro"/>
    <w:link w:val="Rodap"/>
    <w:uiPriority w:val="99"/>
    <w:rsid w:val="008B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DCAE-ED51-44AD-8E9E-37E27CBD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2425</Words>
  <Characters>13095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2</cp:revision>
  <dcterms:created xsi:type="dcterms:W3CDTF">2013-12-18T23:10:00Z</dcterms:created>
  <dcterms:modified xsi:type="dcterms:W3CDTF">2013-12-18T23:10:00Z</dcterms:modified>
</cp:coreProperties>
</file>