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DF" w:rsidRDefault="00C318DF" w:rsidP="009E140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O DIFERENCIAL DE ALÍQUOTAS NO ESTADO DE ALAGOAS</w:t>
      </w:r>
    </w:p>
    <w:p w:rsidR="00C318DF" w:rsidRDefault="00C318DF" w:rsidP="00C318DF">
      <w:pPr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9E1401" w:rsidRDefault="009E1401" w:rsidP="00C318DF">
      <w:pPr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9E1401" w:rsidRDefault="009E1401" w:rsidP="009E1401">
      <w:pPr>
        <w:jc w:val="right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ab/>
      </w:r>
      <w:r>
        <w:rPr>
          <w:rFonts w:ascii="Times New Roman" w:hAnsi="Times New Roman"/>
          <w:b/>
          <w:smallCaps/>
          <w:sz w:val="24"/>
          <w:szCs w:val="24"/>
        </w:rPr>
        <w:tab/>
      </w:r>
      <w:r>
        <w:rPr>
          <w:rFonts w:ascii="Times New Roman" w:hAnsi="Times New Roman"/>
          <w:b/>
          <w:smallCaps/>
          <w:sz w:val="24"/>
          <w:szCs w:val="24"/>
        </w:rPr>
        <w:tab/>
      </w:r>
      <w:r>
        <w:rPr>
          <w:rFonts w:ascii="Times New Roman" w:hAnsi="Times New Roman"/>
          <w:b/>
          <w:smallCaps/>
          <w:sz w:val="24"/>
          <w:szCs w:val="24"/>
        </w:rPr>
        <w:tab/>
      </w:r>
      <w:r>
        <w:rPr>
          <w:rFonts w:ascii="Times New Roman" w:hAnsi="Times New Roman"/>
          <w:b/>
          <w:smallCaps/>
          <w:sz w:val="24"/>
          <w:szCs w:val="24"/>
        </w:rPr>
        <w:tab/>
      </w:r>
      <w:r>
        <w:rPr>
          <w:rFonts w:ascii="Times New Roman" w:hAnsi="Times New Roman"/>
          <w:b/>
          <w:smallCaps/>
          <w:sz w:val="24"/>
          <w:szCs w:val="24"/>
        </w:rPr>
        <w:tab/>
      </w:r>
      <w:r>
        <w:rPr>
          <w:rFonts w:ascii="Times New Roman" w:hAnsi="Times New Roman"/>
          <w:b/>
          <w:smallCaps/>
          <w:sz w:val="24"/>
          <w:szCs w:val="24"/>
        </w:rPr>
        <w:tab/>
        <w:t>Felipe Augusto Marcos</w:t>
      </w:r>
    </w:p>
    <w:p w:rsidR="009E1401" w:rsidRPr="009E1401" w:rsidRDefault="009E1401" w:rsidP="009E1401">
      <w:pPr>
        <w:jc w:val="right"/>
        <w:rPr>
          <w:rFonts w:ascii="Times New Roman" w:hAnsi="Times New Roman"/>
          <w:smallCaps/>
          <w:sz w:val="16"/>
          <w:szCs w:val="16"/>
        </w:rPr>
      </w:pPr>
      <w:r w:rsidRPr="009E1401">
        <w:rPr>
          <w:rFonts w:ascii="Times New Roman" w:hAnsi="Times New Roman"/>
          <w:smallCaps/>
          <w:sz w:val="16"/>
          <w:szCs w:val="16"/>
        </w:rPr>
        <w:t>Acadêmico da Universidade Presbiteriana Mackenzie</w:t>
      </w:r>
    </w:p>
    <w:p w:rsidR="009E1401" w:rsidRDefault="009E1401" w:rsidP="00C318DF">
      <w:pPr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9E1401" w:rsidRDefault="009E1401" w:rsidP="00C318DF">
      <w:pPr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b/>
          <w:smallCaps/>
          <w:sz w:val="24"/>
          <w:szCs w:val="24"/>
        </w:rPr>
      </w:pPr>
      <w:r w:rsidRPr="007F4D7F">
        <w:rPr>
          <w:rFonts w:ascii="Times New Roman" w:hAnsi="Times New Roman"/>
          <w:b/>
          <w:smallCaps/>
          <w:sz w:val="24"/>
          <w:szCs w:val="24"/>
        </w:rPr>
        <w:t>I – O Diferencial de Alíquotas nas Aquisições Interestaduais</w:t>
      </w:r>
    </w:p>
    <w:p w:rsidR="00C318DF" w:rsidRPr="007F4D7F" w:rsidRDefault="00C318DF" w:rsidP="00C318DF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7F4D7F">
        <w:rPr>
          <w:rFonts w:ascii="Times New Roman" w:hAnsi="Times New Roman"/>
          <w:bCs/>
          <w:iCs/>
          <w:sz w:val="24"/>
          <w:szCs w:val="24"/>
        </w:rPr>
        <w:t xml:space="preserve">O Diferencial de Alíquotas (DIFAL) </w:t>
      </w:r>
      <w:r>
        <w:rPr>
          <w:rFonts w:ascii="Times New Roman" w:hAnsi="Times New Roman"/>
          <w:bCs/>
          <w:iCs/>
          <w:sz w:val="24"/>
          <w:szCs w:val="24"/>
        </w:rPr>
        <w:t xml:space="preserve">é </w:t>
      </w:r>
      <w:r w:rsidRPr="00A75DF6">
        <w:rPr>
          <w:rFonts w:ascii="Times New Roman" w:hAnsi="Times New Roman"/>
          <w:bCs/>
          <w:iCs/>
          <w:sz w:val="24"/>
          <w:szCs w:val="24"/>
        </w:rPr>
        <w:t>o imposto</w:t>
      </w:r>
      <w:r>
        <w:rPr>
          <w:rFonts w:ascii="Times New Roman" w:hAnsi="Times New Roman"/>
          <w:bCs/>
          <w:iCs/>
          <w:sz w:val="24"/>
          <w:szCs w:val="24"/>
        </w:rPr>
        <w:t xml:space="preserve"> (ICMS)</w:t>
      </w:r>
      <w:r w:rsidRPr="00A75DF6">
        <w:rPr>
          <w:rFonts w:ascii="Times New Roman" w:hAnsi="Times New Roman"/>
          <w:bCs/>
          <w:iCs/>
          <w:sz w:val="24"/>
          <w:szCs w:val="24"/>
        </w:rPr>
        <w:t xml:space="preserve"> relativo à diferença existente entre a alíquota interna e a interestadual,</w:t>
      </w:r>
      <w:r>
        <w:rPr>
          <w:rFonts w:ascii="Times New Roman" w:hAnsi="Times New Roman"/>
          <w:bCs/>
          <w:iCs/>
          <w:sz w:val="24"/>
          <w:szCs w:val="24"/>
        </w:rPr>
        <w:t xml:space="preserve"> devido quando contribuintes do ICMS </w:t>
      </w:r>
      <w:r w:rsidRPr="00A75DF6">
        <w:rPr>
          <w:rFonts w:ascii="Times New Roman" w:hAnsi="Times New Roman"/>
          <w:bCs/>
          <w:iCs/>
          <w:sz w:val="24"/>
          <w:szCs w:val="24"/>
        </w:rPr>
        <w:t xml:space="preserve">adquirirem mercadorias de outra </w:t>
      </w:r>
      <w:r>
        <w:rPr>
          <w:rFonts w:ascii="Times New Roman" w:hAnsi="Times New Roman"/>
          <w:bCs/>
          <w:iCs/>
          <w:sz w:val="24"/>
          <w:szCs w:val="24"/>
        </w:rPr>
        <w:t>u</w:t>
      </w:r>
      <w:r w:rsidRPr="00A75DF6">
        <w:rPr>
          <w:rFonts w:ascii="Times New Roman" w:hAnsi="Times New Roman"/>
          <w:bCs/>
          <w:iCs/>
          <w:sz w:val="24"/>
          <w:szCs w:val="24"/>
        </w:rPr>
        <w:t xml:space="preserve">nidade da Federação </w:t>
      </w:r>
      <w:r>
        <w:rPr>
          <w:rFonts w:ascii="Times New Roman" w:hAnsi="Times New Roman"/>
          <w:bCs/>
          <w:iCs/>
          <w:sz w:val="24"/>
          <w:szCs w:val="24"/>
        </w:rPr>
        <w:t xml:space="preserve">(i) </w:t>
      </w:r>
      <w:r w:rsidRPr="00A75DF6">
        <w:rPr>
          <w:rFonts w:ascii="Times New Roman" w:hAnsi="Times New Roman"/>
          <w:bCs/>
          <w:iCs/>
          <w:sz w:val="24"/>
          <w:szCs w:val="24"/>
        </w:rPr>
        <w:t>p</w:t>
      </w:r>
      <w:r>
        <w:rPr>
          <w:rFonts w:ascii="Times New Roman" w:hAnsi="Times New Roman"/>
          <w:bCs/>
          <w:iCs/>
          <w:sz w:val="24"/>
          <w:szCs w:val="24"/>
        </w:rPr>
        <w:t>ara consumo ou ativo permanente</w:t>
      </w:r>
      <w:r w:rsidRPr="00A75DF6">
        <w:rPr>
          <w:rFonts w:ascii="Times New Roman" w:hAnsi="Times New Roman"/>
          <w:bCs/>
          <w:iCs/>
          <w:sz w:val="24"/>
          <w:szCs w:val="24"/>
        </w:rPr>
        <w:t xml:space="preserve"> ou </w:t>
      </w:r>
      <w:r>
        <w:rPr>
          <w:rFonts w:ascii="Times New Roman" w:hAnsi="Times New Roman"/>
          <w:bCs/>
          <w:iCs/>
          <w:sz w:val="24"/>
          <w:szCs w:val="24"/>
        </w:rPr>
        <w:t>(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ii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) </w:t>
      </w:r>
      <w:r w:rsidRPr="00A75DF6">
        <w:rPr>
          <w:rFonts w:ascii="Times New Roman" w:hAnsi="Times New Roman"/>
          <w:bCs/>
          <w:iCs/>
          <w:sz w:val="24"/>
          <w:szCs w:val="24"/>
        </w:rPr>
        <w:t xml:space="preserve">utilizarem serviços cuja prestação se tenha iniciado em outra </w:t>
      </w:r>
      <w:r>
        <w:rPr>
          <w:rFonts w:ascii="Times New Roman" w:hAnsi="Times New Roman"/>
          <w:bCs/>
          <w:iCs/>
          <w:sz w:val="24"/>
          <w:szCs w:val="24"/>
        </w:rPr>
        <w:t>u</w:t>
      </w:r>
      <w:r w:rsidRPr="00A75DF6">
        <w:rPr>
          <w:rFonts w:ascii="Times New Roman" w:hAnsi="Times New Roman"/>
          <w:bCs/>
          <w:iCs/>
          <w:sz w:val="24"/>
          <w:szCs w:val="24"/>
        </w:rPr>
        <w:t xml:space="preserve">nidade da Federação e não esteja vinculada à operação ou prestação </w:t>
      </w:r>
      <w:proofErr w:type="spellStart"/>
      <w:r w:rsidRPr="00A75DF6">
        <w:rPr>
          <w:rFonts w:ascii="Times New Roman" w:hAnsi="Times New Roman"/>
          <w:bCs/>
          <w:iCs/>
          <w:sz w:val="24"/>
          <w:szCs w:val="24"/>
        </w:rPr>
        <w:t>subseqüente</w:t>
      </w:r>
      <w:proofErr w:type="spellEnd"/>
      <w:r w:rsidRPr="00A75DF6">
        <w:rPr>
          <w:rFonts w:ascii="Times New Roman" w:hAnsi="Times New Roman"/>
          <w:bCs/>
          <w:iCs/>
          <w:sz w:val="24"/>
          <w:szCs w:val="24"/>
        </w:rPr>
        <w:t>.</w:t>
      </w:r>
      <w:r w:rsidRPr="007F4D7F">
        <w:rPr>
          <w:rFonts w:ascii="Times New Roman" w:hAnsi="Times New Roman"/>
          <w:bCs/>
          <w:iCs/>
          <w:sz w:val="24"/>
          <w:szCs w:val="24"/>
        </w:rPr>
        <w:t>. A regra está prevista no § 2°, VIII do art. 155 da Constituição Federal:</w:t>
      </w:r>
    </w:p>
    <w:p w:rsidR="00C318DF" w:rsidRPr="007F4D7F" w:rsidRDefault="00C318DF" w:rsidP="00C318DF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318DF" w:rsidRPr="007F4D7F" w:rsidRDefault="00C318DF" w:rsidP="00C318DF">
      <w:pPr>
        <w:ind w:left="226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“</w:t>
      </w:r>
      <w:r w:rsidRPr="007F4D7F">
        <w:rPr>
          <w:rFonts w:ascii="Times New Roman" w:hAnsi="Times New Roman"/>
          <w:color w:val="000000"/>
          <w:sz w:val="24"/>
          <w:szCs w:val="24"/>
        </w:rPr>
        <w:t>Art. 155.</w:t>
      </w:r>
      <w:proofErr w:type="gramEnd"/>
      <w:r w:rsidRPr="007F4D7F">
        <w:rPr>
          <w:rFonts w:ascii="Times New Roman" w:hAnsi="Times New Roman"/>
          <w:color w:val="000000"/>
          <w:sz w:val="24"/>
          <w:szCs w:val="24"/>
        </w:rPr>
        <w:t xml:space="preserve"> Compete aos Estados e ao Distrito Federal instituir impostos sobre:</w:t>
      </w:r>
    </w:p>
    <w:p w:rsidR="00C318DF" w:rsidRPr="007F4D7F" w:rsidRDefault="00C318DF" w:rsidP="00C318DF">
      <w:pPr>
        <w:ind w:left="22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18DF" w:rsidRPr="007F4D7F" w:rsidRDefault="00C318DF" w:rsidP="00C318DF">
      <w:pPr>
        <w:ind w:left="2268"/>
        <w:jc w:val="both"/>
        <w:rPr>
          <w:rFonts w:ascii="Times New Roman" w:hAnsi="Times New Roman"/>
          <w:color w:val="000000"/>
          <w:sz w:val="24"/>
          <w:szCs w:val="24"/>
        </w:rPr>
      </w:pPr>
      <w:r w:rsidRPr="007F4D7F">
        <w:rPr>
          <w:rFonts w:ascii="Times New Roman" w:hAnsi="Times New Roman"/>
          <w:color w:val="000000"/>
          <w:sz w:val="24"/>
          <w:szCs w:val="24"/>
        </w:rPr>
        <w:t>§ 2.º O imposto previsto no inciso II atenderá ao seguinte:</w:t>
      </w:r>
    </w:p>
    <w:p w:rsidR="00C318DF" w:rsidRPr="007F4D7F" w:rsidRDefault="00C318DF" w:rsidP="00C318DF">
      <w:pPr>
        <w:pStyle w:val="NormalWeb"/>
        <w:ind w:left="2268"/>
        <w:jc w:val="both"/>
        <w:rPr>
          <w:color w:val="000000"/>
        </w:rPr>
      </w:pPr>
      <w:r w:rsidRPr="007F4D7F">
        <w:rPr>
          <w:color w:val="000000"/>
        </w:rPr>
        <w:t xml:space="preserve">VII - em relação às operações e prestações que destinem bens e serviços </w:t>
      </w:r>
      <w:proofErr w:type="gramStart"/>
      <w:r w:rsidRPr="007F4D7F">
        <w:rPr>
          <w:color w:val="000000"/>
        </w:rPr>
        <w:t>a consumidor</w:t>
      </w:r>
      <w:proofErr w:type="gramEnd"/>
      <w:r w:rsidRPr="007F4D7F">
        <w:rPr>
          <w:color w:val="000000"/>
        </w:rPr>
        <w:t xml:space="preserve"> final localizado em outro Estado, adotar-se-á:</w:t>
      </w:r>
    </w:p>
    <w:p w:rsidR="00C318DF" w:rsidRPr="007F4D7F" w:rsidRDefault="00C318DF" w:rsidP="00C318DF">
      <w:pPr>
        <w:pStyle w:val="NormalWeb"/>
        <w:ind w:left="2268"/>
        <w:jc w:val="both"/>
        <w:rPr>
          <w:color w:val="000000"/>
        </w:rPr>
      </w:pPr>
      <w:r w:rsidRPr="007F4D7F">
        <w:rPr>
          <w:color w:val="000000"/>
        </w:rPr>
        <w:t>a) a alíquota interestadual, quando o destinatário for contribuinte do imposto;</w:t>
      </w:r>
    </w:p>
    <w:p w:rsidR="00C318DF" w:rsidRPr="007F4D7F" w:rsidRDefault="00C318DF" w:rsidP="00C318DF">
      <w:pPr>
        <w:pStyle w:val="NormalWeb"/>
        <w:ind w:left="2268"/>
        <w:jc w:val="both"/>
        <w:rPr>
          <w:color w:val="000000"/>
        </w:rPr>
      </w:pPr>
      <w:r w:rsidRPr="007F4D7F">
        <w:rPr>
          <w:color w:val="000000"/>
        </w:rPr>
        <w:t>b) a alíquota interna, quando o destinatário não for contribuinte dele;</w:t>
      </w:r>
    </w:p>
    <w:p w:rsidR="00C318DF" w:rsidRPr="007F4D7F" w:rsidRDefault="00C318DF" w:rsidP="00C318DF">
      <w:pPr>
        <w:pStyle w:val="NormalWeb"/>
        <w:ind w:left="2268"/>
        <w:jc w:val="both"/>
        <w:rPr>
          <w:color w:val="000000"/>
        </w:rPr>
      </w:pPr>
      <w:r w:rsidRPr="007F4D7F">
        <w:rPr>
          <w:color w:val="000000"/>
        </w:rPr>
        <w:t>VIII - na hipótese da alínea "a" do inciso anterior, caberá ao Estado da localização do destinatário o imposto correspondente à diferença entre a alíquota interna e a interestadual;</w:t>
      </w:r>
      <w:proofErr w:type="gramStart"/>
      <w:r>
        <w:rPr>
          <w:color w:val="000000"/>
        </w:rPr>
        <w:t>”</w:t>
      </w:r>
      <w:proofErr w:type="gramEnd"/>
    </w:p>
    <w:p w:rsidR="00C318DF" w:rsidRDefault="00C318DF" w:rsidP="00C318DF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7F4D7F">
        <w:rPr>
          <w:rFonts w:ascii="Times New Roman" w:hAnsi="Times New Roman"/>
          <w:bCs/>
          <w:iCs/>
          <w:sz w:val="24"/>
          <w:szCs w:val="24"/>
        </w:rPr>
        <w:t xml:space="preserve">Nessa linha de raciocínio, o Estado de destino (no caso, Alagoas) deverá tributar a diferença entre a alíquota interna e interestadual nas operações </w:t>
      </w:r>
      <w:r>
        <w:rPr>
          <w:rFonts w:ascii="Times New Roman" w:hAnsi="Times New Roman"/>
          <w:bCs/>
          <w:iCs/>
          <w:sz w:val="24"/>
          <w:szCs w:val="24"/>
        </w:rPr>
        <w:t xml:space="preserve">em que o contribuinte adquire </w:t>
      </w:r>
      <w:r w:rsidRPr="007F4D7F">
        <w:rPr>
          <w:rFonts w:ascii="Times New Roman" w:hAnsi="Times New Roman"/>
          <w:bCs/>
          <w:iCs/>
          <w:sz w:val="24"/>
          <w:szCs w:val="24"/>
        </w:rPr>
        <w:t>mercadorias destinadas ao seu próprio uso ou consumo, ou ainda ao seu ativo permanente</w:t>
      </w:r>
      <w:r>
        <w:rPr>
          <w:rFonts w:ascii="Times New Roman" w:hAnsi="Times New Roman"/>
          <w:bCs/>
          <w:iCs/>
          <w:sz w:val="24"/>
          <w:szCs w:val="24"/>
        </w:rPr>
        <w:t xml:space="preserve">, bem como na utilização dos serviços de transporte não vinculados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a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operação ou prestação subsequente.</w:t>
      </w:r>
    </w:p>
    <w:p w:rsidR="00C318DF" w:rsidRDefault="00C318DF" w:rsidP="00C318DF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Tal situação não se verifica quando da aquisição de mercadorias </w:t>
      </w:r>
      <w:r w:rsidRPr="007F4D7F">
        <w:rPr>
          <w:rFonts w:ascii="Times New Roman" w:hAnsi="Times New Roman"/>
          <w:bCs/>
          <w:iCs/>
          <w:sz w:val="24"/>
          <w:szCs w:val="24"/>
        </w:rPr>
        <w:t>que se destinem a uma futura revenda</w:t>
      </w:r>
      <w:r>
        <w:rPr>
          <w:rFonts w:ascii="Times New Roman" w:hAnsi="Times New Roman"/>
          <w:bCs/>
          <w:iCs/>
          <w:sz w:val="24"/>
          <w:szCs w:val="24"/>
        </w:rPr>
        <w:t>, bem como das prestações de serviço de transporte vinculadas</w:t>
      </w:r>
      <w:r w:rsidRPr="007F4D7F">
        <w:rPr>
          <w:rFonts w:ascii="Times New Roman" w:hAnsi="Times New Roman"/>
          <w:bCs/>
          <w:iCs/>
          <w:sz w:val="24"/>
          <w:szCs w:val="24"/>
        </w:rPr>
        <w:t>. Nesta situação, o DIFAL não deverá incidir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C318DF" w:rsidRDefault="00C318DF" w:rsidP="00C318DF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Dado que não se mostra devido o recolhimento do DIFAL nas prestações de serviço de transporte interestadual vinculadas a operações subsequentes (revenda), o</w:t>
      </w:r>
      <w:r w:rsidRPr="007F4D7F">
        <w:rPr>
          <w:rFonts w:ascii="Times New Roman" w:hAnsi="Times New Roman"/>
          <w:bCs/>
          <w:iCs/>
          <w:sz w:val="24"/>
          <w:szCs w:val="24"/>
        </w:rPr>
        <w:t xml:space="preserve"> recolhimento indevido do DIFAL</w:t>
      </w:r>
      <w:r>
        <w:rPr>
          <w:rFonts w:ascii="Times New Roman" w:hAnsi="Times New Roman"/>
          <w:bCs/>
          <w:iCs/>
          <w:sz w:val="24"/>
          <w:szCs w:val="24"/>
        </w:rPr>
        <w:t>, nessa hipótese,</w:t>
      </w:r>
      <w:r w:rsidRPr="007F4D7F">
        <w:rPr>
          <w:rFonts w:ascii="Times New Roman" w:hAnsi="Times New Roman"/>
          <w:bCs/>
          <w:iCs/>
          <w:sz w:val="24"/>
          <w:szCs w:val="24"/>
        </w:rPr>
        <w:t xml:space="preserve"> e a consequente apropriação de créditos de ICMS na operação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7F4D7F">
        <w:rPr>
          <w:rFonts w:ascii="Times New Roman" w:hAnsi="Times New Roman"/>
          <w:bCs/>
          <w:iCs/>
          <w:sz w:val="24"/>
          <w:szCs w:val="24"/>
        </w:rPr>
        <w:t xml:space="preserve"> pode levar a questionamentos por parte das autoridades fiscais, como será </w:t>
      </w:r>
      <w:proofErr w:type="gramStart"/>
      <w:r w:rsidRPr="007F4D7F">
        <w:rPr>
          <w:rFonts w:ascii="Times New Roman" w:hAnsi="Times New Roman"/>
          <w:bCs/>
          <w:iCs/>
          <w:sz w:val="24"/>
          <w:szCs w:val="24"/>
        </w:rPr>
        <w:t>melhor</w:t>
      </w:r>
      <w:proofErr w:type="gramEnd"/>
      <w:r w:rsidRPr="007F4D7F">
        <w:rPr>
          <w:rFonts w:ascii="Times New Roman" w:hAnsi="Times New Roman"/>
          <w:bCs/>
          <w:iCs/>
          <w:sz w:val="24"/>
          <w:szCs w:val="24"/>
        </w:rPr>
        <w:t xml:space="preserve"> abordado a seguir.</w:t>
      </w:r>
    </w:p>
    <w:p w:rsidR="00C318DF" w:rsidRPr="007F4D7F" w:rsidRDefault="00C318DF" w:rsidP="00C318DF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b/>
          <w:smallCaps/>
          <w:sz w:val="24"/>
          <w:szCs w:val="24"/>
        </w:rPr>
      </w:pPr>
      <w:r w:rsidRPr="007F4D7F">
        <w:rPr>
          <w:rFonts w:ascii="Times New Roman" w:hAnsi="Times New Roman"/>
          <w:b/>
          <w:smallCaps/>
          <w:sz w:val="24"/>
          <w:szCs w:val="24"/>
        </w:rPr>
        <w:lastRenderedPageBreak/>
        <w:t>II - Aproveitamento de créditos pelo diferencial de alíquotas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 xml:space="preserve">Em princípio, cumpre-nos observar que nas operações sujeitas ao recolhimento de diferencial de alíquotas, o adquirente poderá se creditar tanto com relação </w:t>
      </w:r>
      <w:r>
        <w:rPr>
          <w:rFonts w:ascii="Times New Roman" w:hAnsi="Times New Roman"/>
          <w:sz w:val="24"/>
          <w:szCs w:val="24"/>
        </w:rPr>
        <w:t>ao ICMS incidente sobre a</w:t>
      </w:r>
      <w:r w:rsidRPr="007F4D7F">
        <w:rPr>
          <w:rFonts w:ascii="Times New Roman" w:hAnsi="Times New Roman"/>
          <w:sz w:val="24"/>
          <w:szCs w:val="24"/>
        </w:rPr>
        <w:t xml:space="preserve"> operação interestadual, quanto ao valor que foi recolhido pelo diferencial de alíquotas. É o que preconiza a Lei Complementar n° 87/96 (“Lei Kandir”):</w:t>
      </w:r>
    </w:p>
    <w:p w:rsidR="00C318DF" w:rsidRPr="007F4D7F" w:rsidRDefault="00C318DF" w:rsidP="00C318DF">
      <w:pPr>
        <w:ind w:left="2832"/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ind w:left="2832"/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 xml:space="preserve">“Art. 20. Para a compensação a que se refere o artigo anterior, </w:t>
      </w:r>
      <w:r w:rsidRPr="007F4D7F">
        <w:rPr>
          <w:rFonts w:ascii="Times New Roman" w:hAnsi="Times New Roman"/>
          <w:b/>
          <w:bCs/>
          <w:sz w:val="24"/>
          <w:szCs w:val="24"/>
        </w:rPr>
        <w:t>é assegurado ao sujeito passivo o direito de creditar-se do imposto anteriormente cobrado</w:t>
      </w:r>
      <w:r w:rsidRPr="007F4D7F">
        <w:rPr>
          <w:rFonts w:ascii="Times New Roman" w:hAnsi="Times New Roman"/>
          <w:sz w:val="24"/>
          <w:szCs w:val="24"/>
        </w:rPr>
        <w:t xml:space="preserve"> em operações de que tenha resultado </w:t>
      </w:r>
      <w:proofErr w:type="gramStart"/>
      <w:r w:rsidRPr="007F4D7F">
        <w:rPr>
          <w:rFonts w:ascii="Times New Roman" w:hAnsi="Times New Roman"/>
          <w:sz w:val="24"/>
          <w:szCs w:val="24"/>
        </w:rPr>
        <w:t>a</w:t>
      </w:r>
      <w:proofErr w:type="gramEnd"/>
      <w:r w:rsidRPr="007F4D7F">
        <w:rPr>
          <w:rFonts w:ascii="Times New Roman" w:hAnsi="Times New Roman"/>
          <w:sz w:val="24"/>
          <w:szCs w:val="24"/>
        </w:rPr>
        <w:t xml:space="preserve"> entrada de mercadoria, real ou simbólica, no estabelecimento, inclusive a destinada ao seu uso ou consumo ou ao ativo permanente, ou </w:t>
      </w:r>
      <w:r w:rsidRPr="007F4D7F">
        <w:rPr>
          <w:rFonts w:ascii="Times New Roman" w:hAnsi="Times New Roman"/>
          <w:b/>
          <w:bCs/>
          <w:sz w:val="24"/>
          <w:szCs w:val="24"/>
        </w:rPr>
        <w:t>o recebimento de serviços de transporte interestadual</w:t>
      </w:r>
      <w:r w:rsidRPr="007F4D7F">
        <w:rPr>
          <w:rFonts w:ascii="Times New Roman" w:hAnsi="Times New Roman"/>
          <w:sz w:val="24"/>
          <w:szCs w:val="24"/>
        </w:rPr>
        <w:t xml:space="preserve"> e intermunicipal ou de comunicação.” (grifos nossos)</w:t>
      </w:r>
      <w:r>
        <w:rPr>
          <w:rFonts w:ascii="Times New Roman" w:hAnsi="Times New Roman"/>
          <w:sz w:val="24"/>
          <w:szCs w:val="24"/>
        </w:rPr>
        <w:t>”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>Ressalta-se que é permitido o aproveitamento de créditos tão somente com relação aos materiais destinados ao ativo permanente. As aquisições interestaduais de bens destinados a uso ou consumo darão ensejo a tal aproveitamento apenas a partir de 1º de janeiro de 2020 (art. 33, I da LC 87/96).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 xml:space="preserve">Já as aquisições de mercadorias destinadas </w:t>
      </w:r>
      <w:proofErr w:type="gramStart"/>
      <w:r w:rsidRPr="007F4D7F">
        <w:rPr>
          <w:rFonts w:ascii="Times New Roman" w:hAnsi="Times New Roman"/>
          <w:sz w:val="24"/>
          <w:szCs w:val="24"/>
        </w:rPr>
        <w:t>a</w:t>
      </w:r>
      <w:proofErr w:type="gramEnd"/>
      <w:r w:rsidRPr="007F4D7F">
        <w:rPr>
          <w:rFonts w:ascii="Times New Roman" w:hAnsi="Times New Roman"/>
          <w:sz w:val="24"/>
          <w:szCs w:val="24"/>
        </w:rPr>
        <w:t xml:space="preserve"> revenda, </w:t>
      </w:r>
      <w:r>
        <w:rPr>
          <w:rFonts w:ascii="Times New Roman" w:hAnsi="Times New Roman"/>
          <w:sz w:val="24"/>
          <w:szCs w:val="24"/>
        </w:rPr>
        <w:t>por não ser devido o</w:t>
      </w:r>
      <w:r w:rsidRPr="007F4D7F">
        <w:rPr>
          <w:rFonts w:ascii="Times New Roman" w:hAnsi="Times New Roman"/>
          <w:sz w:val="24"/>
          <w:szCs w:val="24"/>
        </w:rPr>
        <w:t xml:space="preserve"> recolhimento do DIFAL, não </w:t>
      </w:r>
      <w:r>
        <w:rPr>
          <w:rFonts w:ascii="Times New Roman" w:hAnsi="Times New Roman"/>
          <w:sz w:val="24"/>
          <w:szCs w:val="24"/>
        </w:rPr>
        <w:t>há que se falar em</w:t>
      </w:r>
      <w:r w:rsidRPr="007F4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4D7F">
        <w:rPr>
          <w:rFonts w:ascii="Times New Roman" w:hAnsi="Times New Roman"/>
          <w:sz w:val="24"/>
          <w:szCs w:val="24"/>
        </w:rPr>
        <w:t>creditamento</w:t>
      </w:r>
      <w:proofErr w:type="spellEnd"/>
      <w:r w:rsidRPr="007F4D7F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diferencial de alíquota</w:t>
      </w:r>
      <w:r w:rsidRPr="007F4D7F">
        <w:rPr>
          <w:rFonts w:ascii="Times New Roman" w:hAnsi="Times New Roman"/>
          <w:sz w:val="24"/>
          <w:szCs w:val="24"/>
        </w:rPr>
        <w:t xml:space="preserve">. 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 xml:space="preserve">Neste cenário, temos que </w:t>
      </w:r>
      <w:r>
        <w:rPr>
          <w:rFonts w:ascii="Times New Roman" w:hAnsi="Times New Roman"/>
          <w:sz w:val="24"/>
          <w:szCs w:val="24"/>
        </w:rPr>
        <w:t>o contribuinte</w:t>
      </w:r>
      <w:r w:rsidRPr="007F4D7F">
        <w:rPr>
          <w:rFonts w:ascii="Times New Roman" w:hAnsi="Times New Roman"/>
          <w:sz w:val="24"/>
          <w:szCs w:val="24"/>
        </w:rPr>
        <w:t xml:space="preserve"> deve recolher o DIFAL apenas sobre os serviços de transporte de mercadorias destinadas a uso ou consumo ou ao ativo permanente, tendo o direito de apropriar créditos de ICMS apenas sobre as últimas. Quanto ao transporte de mercadorias destinadas a revenda, não deve haver recolhimento do DIFAL, tampouco </w:t>
      </w:r>
      <w:proofErr w:type="spellStart"/>
      <w:r w:rsidRPr="007F4D7F">
        <w:rPr>
          <w:rFonts w:ascii="Times New Roman" w:hAnsi="Times New Roman"/>
          <w:sz w:val="24"/>
          <w:szCs w:val="24"/>
        </w:rPr>
        <w:t>creditamento</w:t>
      </w:r>
      <w:proofErr w:type="spellEnd"/>
      <w:r w:rsidRPr="007F4D7F">
        <w:rPr>
          <w:rFonts w:ascii="Times New Roman" w:hAnsi="Times New Roman"/>
          <w:sz w:val="24"/>
          <w:szCs w:val="24"/>
        </w:rPr>
        <w:t xml:space="preserve"> do imposto</w:t>
      </w:r>
      <w:r>
        <w:rPr>
          <w:rFonts w:ascii="Times New Roman" w:hAnsi="Times New Roman"/>
          <w:sz w:val="24"/>
          <w:szCs w:val="24"/>
        </w:rPr>
        <w:t xml:space="preserve"> (DIFAL)</w:t>
      </w:r>
      <w:r w:rsidRPr="007F4D7F">
        <w:rPr>
          <w:rFonts w:ascii="Times New Roman" w:hAnsi="Times New Roman"/>
          <w:sz w:val="24"/>
          <w:szCs w:val="24"/>
        </w:rPr>
        <w:t xml:space="preserve">. 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b/>
          <w:smallCaps/>
          <w:sz w:val="24"/>
          <w:szCs w:val="24"/>
        </w:rPr>
      </w:pPr>
      <w:r w:rsidRPr="007F4D7F">
        <w:rPr>
          <w:rFonts w:ascii="Times New Roman" w:hAnsi="Times New Roman"/>
          <w:b/>
          <w:smallCaps/>
          <w:sz w:val="24"/>
          <w:szCs w:val="24"/>
        </w:rPr>
        <w:t>I</w:t>
      </w:r>
      <w:r w:rsidR="009E1401">
        <w:rPr>
          <w:rFonts w:ascii="Times New Roman" w:hAnsi="Times New Roman"/>
          <w:b/>
          <w:smallCaps/>
          <w:sz w:val="24"/>
          <w:szCs w:val="24"/>
        </w:rPr>
        <w:t>II</w:t>
      </w:r>
      <w:r w:rsidRPr="007F4D7F">
        <w:rPr>
          <w:rFonts w:ascii="Times New Roman" w:hAnsi="Times New Roman"/>
          <w:b/>
          <w:smallCaps/>
          <w:sz w:val="24"/>
          <w:szCs w:val="24"/>
        </w:rPr>
        <w:t xml:space="preserve"> - Escrituração das operações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>No Estado de Alagoas, para a correta escrituração do recolhimento de valores por aquisição de serviços de transporte interestadual de materiais destinados a uso ou consumo ou ativo permanente, deverá ser observado o disposto na Instrução Normativa GSED n° 17/2012. De acordo com seu art. 1º: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spacing w:after="240"/>
        <w:ind w:left="22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7F">
        <w:rPr>
          <w:rFonts w:ascii="Times New Roman" w:hAnsi="Times New Roman"/>
          <w:sz w:val="24"/>
          <w:szCs w:val="24"/>
        </w:rPr>
        <w:t>“I</w:t>
      </w:r>
      <w:proofErr w:type="gramEnd"/>
      <w:r w:rsidRPr="007F4D7F">
        <w:rPr>
          <w:rFonts w:ascii="Times New Roman" w:hAnsi="Times New Roman"/>
          <w:sz w:val="24"/>
          <w:szCs w:val="24"/>
        </w:rPr>
        <w:t xml:space="preserve"> - o documento fiscal relativo à operação ou prestação será escriturado no livro Registro de Entradas, com utilização das colunas sob os títulos "ICMS - Valores Fiscais" e "Operações ou Prestações sem Crédito do Imposto", devendo ser anotado, na coluna "Observações":</w:t>
      </w:r>
    </w:p>
    <w:p w:rsidR="00C318DF" w:rsidRDefault="00C318DF" w:rsidP="00C318DF">
      <w:pPr>
        <w:spacing w:after="240"/>
        <w:ind w:left="2268"/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>a) o valor corresponde à diferença de alíquotas a recolher a este Estado;</w:t>
      </w:r>
    </w:p>
    <w:p w:rsidR="00C318DF" w:rsidRDefault="00C318DF" w:rsidP="00C318DF">
      <w:pPr>
        <w:spacing w:after="240"/>
        <w:ind w:left="2268"/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 xml:space="preserve">b) o valor do imposto relativo ao ativo permanente a ser creditado, se for o caso; </w:t>
      </w:r>
    </w:p>
    <w:p w:rsidR="00C318DF" w:rsidRPr="007F4D7F" w:rsidRDefault="00C318DF" w:rsidP="00C318DF">
      <w:pPr>
        <w:spacing w:after="240"/>
        <w:ind w:left="2268"/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 xml:space="preserve">c) que a mercadoria se destina a uso, consumo ou ativo permanente do estabelecimento, ou de que o serviço não está vinculado à operação ou prestação </w:t>
      </w:r>
      <w:proofErr w:type="gramStart"/>
      <w:r w:rsidRPr="007F4D7F">
        <w:rPr>
          <w:rFonts w:ascii="Times New Roman" w:hAnsi="Times New Roman"/>
          <w:sz w:val="24"/>
          <w:szCs w:val="24"/>
        </w:rPr>
        <w:t>subsequentes</w:t>
      </w:r>
      <w:proofErr w:type="gramEnd"/>
      <w:r w:rsidRPr="007F4D7F">
        <w:rPr>
          <w:rFonts w:ascii="Times New Roman" w:hAnsi="Times New Roman"/>
          <w:sz w:val="24"/>
          <w:szCs w:val="24"/>
        </w:rPr>
        <w:t>;</w:t>
      </w:r>
    </w:p>
    <w:p w:rsidR="00C318DF" w:rsidRPr="007F4D7F" w:rsidRDefault="00C318DF" w:rsidP="00C318DF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lastRenderedPageBreak/>
        <w:t>II - no final de cada período de apuração, os valores lançados na forma do inciso anterior serão somados, e os resultados do débito e, se for o caso, do crédito, lançados no campo "Observações" do livro Registro de Apuração do ICMS (RAICMS), com anotação da natureza dos lançamentos e das folhas do livro Registro de Entradas onde foram escriturados os respectivos documentos fiscais;</w:t>
      </w:r>
    </w:p>
    <w:p w:rsidR="00C318DF" w:rsidRPr="007F4D7F" w:rsidRDefault="00C318DF" w:rsidP="00C318DF">
      <w:pPr>
        <w:ind w:left="2268"/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 xml:space="preserve">III - o imposto será recolhido por meio de documento de arrecadação distinto, com código de receita 1561-0, com observação de tratar-se de recolhimento referente à diferença de alíquota por aquisição, em operação interestadual, de mercadoria destinada a uso, consumo ou ativo permanente, ou, sendo o caso, por utilização de serviço iniciado em outra unidade da Federação e não vinculado </w:t>
      </w:r>
      <w:proofErr w:type="gramStart"/>
      <w:r w:rsidRPr="007F4D7F">
        <w:rPr>
          <w:rFonts w:ascii="Times New Roman" w:hAnsi="Times New Roman"/>
          <w:sz w:val="24"/>
          <w:szCs w:val="24"/>
        </w:rPr>
        <w:t>a</w:t>
      </w:r>
      <w:proofErr w:type="gramEnd"/>
      <w:r w:rsidRPr="007F4D7F">
        <w:rPr>
          <w:rFonts w:ascii="Times New Roman" w:hAnsi="Times New Roman"/>
          <w:sz w:val="24"/>
          <w:szCs w:val="24"/>
        </w:rPr>
        <w:t xml:space="preserve"> operação ou prestação subsequentes;”</w:t>
      </w:r>
    </w:p>
    <w:p w:rsidR="00C318D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9E1401" w:rsidP="00C318DF">
      <w:pPr>
        <w:jc w:val="both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I</w:t>
      </w:r>
      <w:r w:rsidR="00C318DF" w:rsidRPr="007F4D7F">
        <w:rPr>
          <w:rFonts w:ascii="Times New Roman" w:hAnsi="Times New Roman"/>
          <w:b/>
          <w:smallCaps/>
          <w:sz w:val="24"/>
          <w:szCs w:val="24"/>
        </w:rPr>
        <w:t xml:space="preserve">V - Escrituração dos créditos 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 xml:space="preserve">Para o aproveitamento dos créditos dos serviços de transporte de mercadorias destinadas ao ativo permanente, </w:t>
      </w:r>
      <w:r>
        <w:rPr>
          <w:rFonts w:ascii="Times New Roman" w:hAnsi="Times New Roman"/>
          <w:sz w:val="24"/>
          <w:szCs w:val="24"/>
        </w:rPr>
        <w:t>o contribuinte</w:t>
      </w:r>
      <w:r w:rsidRPr="007F4D7F">
        <w:rPr>
          <w:rFonts w:ascii="Times New Roman" w:hAnsi="Times New Roman"/>
          <w:sz w:val="24"/>
          <w:szCs w:val="24"/>
        </w:rPr>
        <w:t xml:space="preserve"> deverá </w:t>
      </w:r>
      <w:proofErr w:type="gramStart"/>
      <w:r w:rsidRPr="007F4D7F">
        <w:rPr>
          <w:rFonts w:ascii="Times New Roman" w:hAnsi="Times New Roman"/>
          <w:sz w:val="24"/>
          <w:szCs w:val="24"/>
        </w:rPr>
        <w:t>observar,</w:t>
      </w:r>
      <w:proofErr w:type="gramEnd"/>
      <w:r w:rsidRPr="007F4D7F">
        <w:rPr>
          <w:rFonts w:ascii="Times New Roman" w:hAnsi="Times New Roman"/>
          <w:sz w:val="24"/>
          <w:szCs w:val="24"/>
        </w:rPr>
        <w:t xml:space="preserve"> além dos dispositivos acima, o contido no Inciso IV do artigo 1° da IN 17/12: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 xml:space="preserve">“IV - a soma dos valores a serem apropriados sob a forma crédito de bens destinados ao ativo permanente, quando for o caso, além do lançamento citado no inciso II deste artigo e após o lançamento no documento denominado Controle de Crédito de ICMS do Ativo Permanente (CIAP), conforme Decreto nº 614, de 12 de abril de 2002, </w:t>
      </w:r>
      <w:proofErr w:type="gramStart"/>
      <w:r w:rsidRPr="007F4D7F">
        <w:rPr>
          <w:rFonts w:ascii="Times New Roman" w:hAnsi="Times New Roman"/>
          <w:sz w:val="24"/>
          <w:szCs w:val="24"/>
        </w:rPr>
        <w:t>será</w:t>
      </w:r>
      <w:proofErr w:type="gramEnd"/>
      <w:r w:rsidRPr="007F4D7F">
        <w:rPr>
          <w:rFonts w:ascii="Times New Roman" w:hAnsi="Times New Roman"/>
          <w:sz w:val="24"/>
          <w:szCs w:val="24"/>
        </w:rPr>
        <w:t xml:space="preserve"> lançada no campo "Outros Créditos" do livro Registro de Apuração do ICMS (RAICMS).”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Default="00C318DF" w:rsidP="00C318DF">
      <w:pPr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>Por fim, caso a operação esteja sujeita ao recolhimento antecipado do diferencial de alíquotas previsto na Lei 6.474/2004, o recolhimento do inciso III destacado acima deverá ser feito sob o código de receita “1542-3 – ICMS Antecipação Lei n° 6.474/2004” (§ 3º do art. 1° da IN 17/12).</w:t>
      </w:r>
    </w:p>
    <w:p w:rsidR="00C318D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b/>
          <w:smallCaps/>
          <w:sz w:val="24"/>
          <w:szCs w:val="24"/>
        </w:rPr>
      </w:pPr>
      <w:r w:rsidRPr="007F4D7F">
        <w:rPr>
          <w:rFonts w:ascii="Times New Roman" w:hAnsi="Times New Roman"/>
          <w:b/>
          <w:smallCaps/>
          <w:sz w:val="24"/>
          <w:szCs w:val="24"/>
        </w:rPr>
        <w:t>V - Regularização da escrituração fiscal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07469F" w:rsidP="00C318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Caso o contribuinte recolha o DIFAL</w:t>
      </w:r>
      <w:r w:rsidR="00C318DF" w:rsidRPr="007F4D7F">
        <w:rPr>
          <w:rFonts w:ascii="Times New Roman" w:hAnsi="Times New Roman"/>
          <w:sz w:val="24"/>
          <w:szCs w:val="24"/>
        </w:rPr>
        <w:t xml:space="preserve"> e apropri</w:t>
      </w:r>
      <w:r>
        <w:rPr>
          <w:rFonts w:ascii="Times New Roman" w:hAnsi="Times New Roman"/>
          <w:sz w:val="24"/>
          <w:szCs w:val="24"/>
        </w:rPr>
        <w:t>e</w:t>
      </w:r>
      <w:r w:rsidR="00C318DF" w:rsidRPr="007F4D7F">
        <w:rPr>
          <w:rFonts w:ascii="Times New Roman" w:hAnsi="Times New Roman"/>
          <w:sz w:val="24"/>
          <w:szCs w:val="24"/>
        </w:rPr>
        <w:t xml:space="preserve"> créditos </w:t>
      </w:r>
      <w:r w:rsidR="00C318DF">
        <w:rPr>
          <w:rFonts w:ascii="Times New Roman" w:hAnsi="Times New Roman"/>
          <w:sz w:val="24"/>
          <w:szCs w:val="24"/>
        </w:rPr>
        <w:t xml:space="preserve">em relação à prestação de serviços de transporte interestadual relativas à aquisição </w:t>
      </w:r>
      <w:r w:rsidR="00C318DF" w:rsidRPr="007F4D7F">
        <w:rPr>
          <w:rFonts w:ascii="Times New Roman" w:hAnsi="Times New Roman"/>
          <w:sz w:val="24"/>
          <w:szCs w:val="24"/>
        </w:rPr>
        <w:t>de mercadorias destinadas a (i) revenda, (</w:t>
      </w:r>
      <w:proofErr w:type="gramStart"/>
      <w:r w:rsidR="00C318DF" w:rsidRPr="007F4D7F">
        <w:rPr>
          <w:rFonts w:ascii="Times New Roman" w:hAnsi="Times New Roman"/>
          <w:sz w:val="24"/>
          <w:szCs w:val="24"/>
        </w:rPr>
        <w:t>ii</w:t>
      </w:r>
      <w:proofErr w:type="gramEnd"/>
      <w:r w:rsidR="00C318DF" w:rsidRPr="007F4D7F">
        <w:rPr>
          <w:rFonts w:ascii="Times New Roman" w:hAnsi="Times New Roman"/>
          <w:sz w:val="24"/>
          <w:szCs w:val="24"/>
        </w:rPr>
        <w:t xml:space="preserve">) uso ou consumo e (iii) ativo permanente, deverá regularizar sua situação perante o Estado de Alagoas, com vistas a evitar possíveis questionamentos fiscais. </w:t>
      </w:r>
      <w:r>
        <w:rPr>
          <w:rFonts w:ascii="Times New Roman" w:hAnsi="Times New Roman"/>
          <w:sz w:val="24"/>
          <w:szCs w:val="24"/>
        </w:rPr>
        <w:t>Para tanto, deverá observar o que segue.</w:t>
      </w:r>
    </w:p>
    <w:p w:rsidR="00C318D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F4D7F">
        <w:rPr>
          <w:rFonts w:ascii="Times New Roman" w:hAnsi="Times New Roman"/>
          <w:b/>
          <w:i/>
          <w:sz w:val="24"/>
          <w:szCs w:val="24"/>
        </w:rPr>
        <w:t>Mercadorias para Revenda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Default="00C318DF" w:rsidP="00C318DF">
      <w:pPr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 xml:space="preserve">Conforme já destacado, </w:t>
      </w:r>
      <w:r>
        <w:rPr>
          <w:rFonts w:ascii="Times New Roman" w:hAnsi="Times New Roman"/>
          <w:sz w:val="24"/>
          <w:szCs w:val="24"/>
        </w:rPr>
        <w:t xml:space="preserve">a utilização de serviços de transporte interestadual relativo à aquisição de </w:t>
      </w:r>
      <w:r w:rsidRPr="007F4D7F">
        <w:rPr>
          <w:rFonts w:ascii="Times New Roman" w:hAnsi="Times New Roman"/>
          <w:sz w:val="24"/>
          <w:szCs w:val="24"/>
        </w:rPr>
        <w:t xml:space="preserve">mercadorias para revenda não obriga </w:t>
      </w:r>
      <w:r w:rsidR="0007469F">
        <w:rPr>
          <w:rFonts w:ascii="Times New Roman" w:hAnsi="Times New Roman"/>
          <w:sz w:val="24"/>
          <w:szCs w:val="24"/>
        </w:rPr>
        <w:t>o contribuinte</w:t>
      </w:r>
      <w:r w:rsidRPr="007F4D7F">
        <w:rPr>
          <w:rFonts w:ascii="Times New Roman" w:hAnsi="Times New Roman"/>
          <w:sz w:val="24"/>
          <w:szCs w:val="24"/>
        </w:rPr>
        <w:t xml:space="preserve"> a recolher o DIFAL, tampouco a autoriza a tomar créditos decorrentes deste recolhimento. </w:t>
      </w:r>
      <w:r>
        <w:rPr>
          <w:rFonts w:ascii="Times New Roman" w:hAnsi="Times New Roman"/>
          <w:sz w:val="24"/>
          <w:szCs w:val="24"/>
        </w:rPr>
        <w:t xml:space="preserve">Tem-se, assim, um recolhimento indevido de tributo e um </w:t>
      </w:r>
      <w:proofErr w:type="spellStart"/>
      <w:r>
        <w:rPr>
          <w:rFonts w:ascii="Times New Roman" w:hAnsi="Times New Roman"/>
          <w:sz w:val="24"/>
          <w:szCs w:val="24"/>
        </w:rPr>
        <w:t>creditamento</w:t>
      </w:r>
      <w:proofErr w:type="spellEnd"/>
      <w:r>
        <w:rPr>
          <w:rFonts w:ascii="Times New Roman" w:hAnsi="Times New Roman"/>
          <w:sz w:val="24"/>
          <w:szCs w:val="24"/>
        </w:rPr>
        <w:t xml:space="preserve"> também indevido.</w:t>
      </w:r>
    </w:p>
    <w:p w:rsidR="00C318D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1F69F5" w:rsidRDefault="00C318DF" w:rsidP="00C318DF">
      <w:pPr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 xml:space="preserve">O problema que surge é que não há, no Estado de Alagoas, um procedimento específico para a situação </w:t>
      </w:r>
      <w:r>
        <w:rPr>
          <w:rFonts w:ascii="Times New Roman" w:hAnsi="Times New Roman"/>
          <w:sz w:val="24"/>
          <w:szCs w:val="24"/>
        </w:rPr>
        <w:t>em que</w:t>
      </w:r>
      <w:r w:rsidRPr="007F4D7F">
        <w:rPr>
          <w:rFonts w:ascii="Times New Roman" w:hAnsi="Times New Roman"/>
          <w:sz w:val="24"/>
          <w:szCs w:val="24"/>
        </w:rPr>
        <w:t xml:space="preserve"> há um recolhimento a maior e uma consequente tomada de créditos indevida. Isso faz com que exista o risco de </w:t>
      </w:r>
      <w:r w:rsidR="0007469F">
        <w:rPr>
          <w:rFonts w:ascii="Times New Roman" w:hAnsi="Times New Roman"/>
          <w:sz w:val="24"/>
          <w:szCs w:val="24"/>
        </w:rPr>
        <w:t>o contribuinte ser autuado</w:t>
      </w:r>
      <w:r w:rsidRPr="007F4D7F">
        <w:rPr>
          <w:rFonts w:ascii="Times New Roman" w:hAnsi="Times New Roman"/>
          <w:sz w:val="24"/>
          <w:szCs w:val="24"/>
        </w:rPr>
        <w:t xml:space="preserve"> pelo </w:t>
      </w:r>
      <w:proofErr w:type="spellStart"/>
      <w:r>
        <w:rPr>
          <w:rFonts w:ascii="Times New Roman" w:hAnsi="Times New Roman"/>
          <w:sz w:val="24"/>
          <w:szCs w:val="24"/>
        </w:rPr>
        <w:t>creditamento</w:t>
      </w:r>
      <w:proofErr w:type="spellEnd"/>
      <w:r>
        <w:rPr>
          <w:rFonts w:ascii="Times New Roman" w:hAnsi="Times New Roman"/>
          <w:sz w:val="24"/>
          <w:szCs w:val="24"/>
        </w:rPr>
        <w:t xml:space="preserve"> indevido</w:t>
      </w:r>
      <w:r w:rsidRPr="007F4D7F">
        <w:rPr>
          <w:rFonts w:ascii="Times New Roman" w:hAnsi="Times New Roman"/>
          <w:sz w:val="24"/>
          <w:szCs w:val="24"/>
        </w:rPr>
        <w:t xml:space="preserve">. De </w:t>
      </w:r>
      <w:r w:rsidRPr="007F4D7F">
        <w:rPr>
          <w:rFonts w:ascii="Times New Roman" w:hAnsi="Times New Roman"/>
          <w:sz w:val="24"/>
          <w:szCs w:val="24"/>
        </w:rPr>
        <w:lastRenderedPageBreak/>
        <w:t xml:space="preserve">acordo com o art. </w:t>
      </w:r>
      <w:r w:rsidRPr="001F69F5">
        <w:rPr>
          <w:rFonts w:ascii="Times New Roman" w:hAnsi="Times New Roman"/>
          <w:sz w:val="24"/>
          <w:szCs w:val="24"/>
        </w:rPr>
        <w:t xml:space="preserve">93 da Lei n 5.900/96, o </w:t>
      </w:r>
      <w:proofErr w:type="spellStart"/>
      <w:r w:rsidRPr="001F69F5">
        <w:rPr>
          <w:rFonts w:ascii="Times New Roman" w:hAnsi="Times New Roman"/>
          <w:sz w:val="24"/>
          <w:szCs w:val="24"/>
        </w:rPr>
        <w:t>creditamento</w:t>
      </w:r>
      <w:proofErr w:type="spellEnd"/>
      <w:r w:rsidRPr="001F69F5">
        <w:rPr>
          <w:rFonts w:ascii="Times New Roman" w:hAnsi="Times New Roman"/>
          <w:sz w:val="24"/>
          <w:szCs w:val="24"/>
        </w:rPr>
        <w:t xml:space="preserve"> indevido dá ensejo </w:t>
      </w:r>
      <w:proofErr w:type="gramStart"/>
      <w:r w:rsidRPr="001F69F5">
        <w:rPr>
          <w:rFonts w:ascii="Times New Roman" w:hAnsi="Times New Roman"/>
          <w:sz w:val="24"/>
          <w:szCs w:val="24"/>
        </w:rPr>
        <w:t>a</w:t>
      </w:r>
      <w:proofErr w:type="gramEnd"/>
      <w:r w:rsidRPr="001F69F5">
        <w:rPr>
          <w:rFonts w:ascii="Times New Roman" w:hAnsi="Times New Roman"/>
          <w:sz w:val="24"/>
          <w:szCs w:val="24"/>
        </w:rPr>
        <w:t xml:space="preserve"> multa</w:t>
      </w:r>
      <w:r>
        <w:rPr>
          <w:rFonts w:ascii="Times New Roman" w:hAnsi="Times New Roman"/>
          <w:sz w:val="24"/>
          <w:szCs w:val="24"/>
        </w:rPr>
        <w:t>, caso implique falta de recolhimento do imposto</w:t>
      </w:r>
      <w:r w:rsidRPr="001F69F5">
        <w:rPr>
          <w:rFonts w:ascii="Times New Roman" w:hAnsi="Times New Roman"/>
          <w:sz w:val="24"/>
          <w:szCs w:val="24"/>
        </w:rPr>
        <w:t>: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7F4D7F">
        <w:rPr>
          <w:rFonts w:ascii="Times New Roman" w:hAnsi="Times New Roman"/>
          <w:sz w:val="24"/>
          <w:szCs w:val="24"/>
        </w:rPr>
        <w:t xml:space="preserve">Utilizar crédito indevido ou inexistente, desde que resulte na falta de recolhimento do </w:t>
      </w:r>
      <w:proofErr w:type="gramStart"/>
      <w:r w:rsidRPr="007F4D7F">
        <w:rPr>
          <w:rFonts w:ascii="Times New Roman" w:hAnsi="Times New Roman"/>
          <w:sz w:val="24"/>
          <w:szCs w:val="24"/>
        </w:rPr>
        <w:t>imposto:</w:t>
      </w:r>
      <w:proofErr w:type="gramEnd"/>
      <w:r w:rsidRPr="007F4D7F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C318DF" w:rsidRPr="007F4D7F" w:rsidRDefault="00C318DF" w:rsidP="00C318DF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>MULTA - equivalente a 60% (sessenta por cento) do valor do crédito indevido ou inexiste</w:t>
      </w:r>
      <w:r>
        <w:rPr>
          <w:rFonts w:ascii="Times New Roman" w:hAnsi="Times New Roman"/>
          <w:sz w:val="24"/>
          <w:szCs w:val="24"/>
        </w:rPr>
        <w:t>nte efetivamente utilizado.</w:t>
      </w:r>
      <w:proofErr w:type="gramStart"/>
      <w:r>
        <w:rPr>
          <w:rFonts w:ascii="Times New Roman" w:hAnsi="Times New Roman"/>
          <w:sz w:val="24"/>
          <w:szCs w:val="24"/>
        </w:rPr>
        <w:t>”</w:t>
      </w:r>
      <w:proofErr w:type="gramEnd"/>
    </w:p>
    <w:p w:rsidR="00C318D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 xml:space="preserve">Diante disso, temos que </w:t>
      </w:r>
      <w:r>
        <w:rPr>
          <w:rFonts w:ascii="Times New Roman" w:hAnsi="Times New Roman"/>
          <w:sz w:val="24"/>
          <w:szCs w:val="24"/>
        </w:rPr>
        <w:t>uma possível</w:t>
      </w:r>
      <w:r w:rsidRPr="007F4D7F">
        <w:rPr>
          <w:rFonts w:ascii="Times New Roman" w:hAnsi="Times New Roman"/>
          <w:sz w:val="24"/>
          <w:szCs w:val="24"/>
        </w:rPr>
        <w:t xml:space="preserve"> saída é </w:t>
      </w:r>
      <w:r w:rsidR="0007469F">
        <w:rPr>
          <w:rFonts w:ascii="Times New Roman" w:hAnsi="Times New Roman"/>
          <w:sz w:val="24"/>
          <w:szCs w:val="24"/>
        </w:rPr>
        <w:t xml:space="preserve">o </w:t>
      </w:r>
      <w:r w:rsidRPr="007F4D7F">
        <w:rPr>
          <w:rFonts w:ascii="Times New Roman" w:hAnsi="Times New Roman"/>
          <w:sz w:val="24"/>
          <w:szCs w:val="24"/>
        </w:rPr>
        <w:t xml:space="preserve">estorno dos créditos tomados em decorrência do recolhimento do DIFAL nas aquisições de mercadorias destinadas a revenda e, posteriormente, </w:t>
      </w:r>
      <w:r>
        <w:rPr>
          <w:rFonts w:ascii="Times New Roman" w:hAnsi="Times New Roman"/>
          <w:sz w:val="24"/>
          <w:szCs w:val="24"/>
        </w:rPr>
        <w:t>a solicitação de</w:t>
      </w:r>
      <w:r w:rsidRPr="007F4D7F">
        <w:rPr>
          <w:rFonts w:ascii="Times New Roman" w:hAnsi="Times New Roman"/>
          <w:sz w:val="24"/>
          <w:szCs w:val="24"/>
        </w:rPr>
        <w:t xml:space="preserve"> restituição do imposto pago a maior, nos termos do art. 45 da Lei n. 5.900/96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Pr="007F4D7F">
        <w:rPr>
          <w:rFonts w:ascii="Times New Roman" w:hAnsi="Times New Roman"/>
          <w:sz w:val="24"/>
          <w:szCs w:val="24"/>
        </w:rPr>
        <w:t>: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>“As quantias indevidamente recolhidas aos cofres do Estado, serão restituídas, atualizadas monetariamente, a requerimento do contribuinte, desde que este comprove que o respectivo encargo financeiro não foi transferido a terceiros ou, no caso de  tê-lo recebido de outrem, estar por este devidamente autorizado a recebê-la.”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F4D7F">
        <w:rPr>
          <w:rFonts w:ascii="Times New Roman" w:hAnsi="Times New Roman"/>
          <w:b/>
          <w:i/>
          <w:sz w:val="24"/>
          <w:szCs w:val="24"/>
        </w:rPr>
        <w:t>Mercadorias para uso ou consumo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 xml:space="preserve">Da mesma forma que o indicado no item anterior, os créditos tomados em decorrência do recolhimento do DIFAL pela aquisição de serviços de transporte de mercadorias destinadas a uso ou consumo deverão ser estornados, reduzindo as chances de eventuais questionamentos. 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  <w:r w:rsidRPr="007F4D7F">
        <w:rPr>
          <w:rFonts w:ascii="Times New Roman" w:hAnsi="Times New Roman"/>
          <w:sz w:val="24"/>
          <w:szCs w:val="24"/>
        </w:rPr>
        <w:t>A única diferença aqui é que não deve haver o posterior pedido de restituição do imposto, por ser este devido nas operações, conforme destacado anteriormente.</w:t>
      </w:r>
    </w:p>
    <w:p w:rsidR="00C318DF" w:rsidRDefault="00C318DF" w:rsidP="00C318D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C318DF" w:rsidRPr="007F4D7F" w:rsidRDefault="00C318DF" w:rsidP="00C318D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F4D7F">
        <w:rPr>
          <w:rFonts w:ascii="Times New Roman" w:hAnsi="Times New Roman"/>
          <w:b/>
          <w:i/>
          <w:sz w:val="24"/>
          <w:szCs w:val="24"/>
        </w:rPr>
        <w:t>Mercadorias para ativo permanente</w:t>
      </w:r>
    </w:p>
    <w:p w:rsidR="00C318DF" w:rsidRPr="007F4D7F" w:rsidRDefault="00C318DF" w:rsidP="00C318DF">
      <w:pPr>
        <w:jc w:val="both"/>
        <w:rPr>
          <w:rFonts w:ascii="Times New Roman" w:hAnsi="Times New Roman"/>
          <w:sz w:val="24"/>
          <w:szCs w:val="24"/>
        </w:rPr>
      </w:pPr>
    </w:p>
    <w:p w:rsidR="00C318DF" w:rsidRPr="007F4D7F" w:rsidRDefault="0007469F" w:rsidP="00C318D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Caso o contribuinte</w:t>
      </w:r>
      <w:r w:rsidR="00C318DF" w:rsidRPr="007F4D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costume</w:t>
      </w:r>
      <w:r w:rsidR="00C318DF" w:rsidRPr="007F4D7F">
        <w:rPr>
          <w:rFonts w:ascii="Times New Roman" w:hAnsi="Times New Roman"/>
          <w:sz w:val="24"/>
          <w:szCs w:val="24"/>
        </w:rPr>
        <w:t xml:space="preserve"> apropri</w:t>
      </w:r>
      <w:r>
        <w:rPr>
          <w:rFonts w:ascii="Times New Roman" w:hAnsi="Times New Roman"/>
          <w:sz w:val="24"/>
          <w:szCs w:val="24"/>
        </w:rPr>
        <w:t>ar</w:t>
      </w:r>
      <w:r w:rsidR="00C318DF" w:rsidRPr="007F4D7F">
        <w:rPr>
          <w:rFonts w:ascii="Times New Roman" w:hAnsi="Times New Roman"/>
          <w:sz w:val="24"/>
          <w:szCs w:val="24"/>
        </w:rPr>
        <w:t xml:space="preserve"> os créditos decorrentes do </w:t>
      </w:r>
      <w:r>
        <w:rPr>
          <w:rFonts w:ascii="Times New Roman" w:hAnsi="Times New Roman"/>
          <w:sz w:val="24"/>
          <w:szCs w:val="24"/>
        </w:rPr>
        <w:t>DIFAL</w:t>
      </w:r>
      <w:r w:rsidR="00C318DF" w:rsidRPr="007F4D7F">
        <w:rPr>
          <w:rFonts w:ascii="Times New Roman" w:hAnsi="Times New Roman"/>
          <w:color w:val="000000"/>
          <w:sz w:val="24"/>
          <w:szCs w:val="24"/>
        </w:rPr>
        <w:t xml:space="preserve"> na parte de “ajustes” do </w:t>
      </w:r>
      <w:r w:rsidR="00C318DF">
        <w:rPr>
          <w:rFonts w:ascii="Times New Roman" w:hAnsi="Times New Roman"/>
          <w:color w:val="000000"/>
          <w:sz w:val="24"/>
          <w:szCs w:val="24"/>
        </w:rPr>
        <w:t>Livro de Registro de Apuração do ICMS</w:t>
      </w:r>
      <w:r w:rsidR="00C318DF" w:rsidRPr="007F4D7F">
        <w:rPr>
          <w:rFonts w:ascii="Times New Roman" w:hAnsi="Times New Roman"/>
          <w:color w:val="000000"/>
          <w:sz w:val="24"/>
          <w:szCs w:val="24"/>
        </w:rPr>
        <w:t>, campo “Outros Créditos”</w:t>
      </w:r>
      <w:r>
        <w:rPr>
          <w:rFonts w:ascii="Times New Roman" w:hAnsi="Times New Roman"/>
          <w:color w:val="000000"/>
          <w:sz w:val="24"/>
          <w:szCs w:val="24"/>
        </w:rPr>
        <w:t xml:space="preserve">, na hipótese de haver </w:t>
      </w:r>
      <w:r w:rsidR="00C318DF" w:rsidRPr="007F4D7F">
        <w:rPr>
          <w:rFonts w:ascii="Times New Roman" w:hAnsi="Times New Roman"/>
          <w:color w:val="000000"/>
          <w:sz w:val="24"/>
          <w:szCs w:val="24"/>
        </w:rPr>
        <w:t xml:space="preserve">créditos decorrentes de bens destinados ao ativo permanente, estes deverão ser lançados no </w:t>
      </w:r>
      <w:proofErr w:type="gramStart"/>
      <w:r w:rsidR="00C318DF" w:rsidRPr="007F4D7F">
        <w:rPr>
          <w:rFonts w:ascii="Times New Roman" w:hAnsi="Times New Roman"/>
          <w:color w:val="000000"/>
          <w:sz w:val="24"/>
          <w:szCs w:val="24"/>
        </w:rPr>
        <w:t>“Controle de Crédito de ICMS do Ativo Permanente – CIAP (ver Decreto n° 614/2002), bem como no campo “Outros Créditos” do RAICMS.</w:t>
      </w:r>
      <w:proofErr w:type="gramEnd"/>
    </w:p>
    <w:p w:rsidR="00C318DF" w:rsidRPr="007F4D7F" w:rsidRDefault="00C318DF" w:rsidP="00C318D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4EA4" w:rsidRPr="009E1401" w:rsidRDefault="009E1401">
      <w:pPr>
        <w:rPr>
          <w:rFonts w:ascii="Times New Roman" w:hAnsi="Times New Roman"/>
          <w:b/>
          <w:smallCaps/>
          <w:sz w:val="24"/>
          <w:szCs w:val="24"/>
        </w:rPr>
      </w:pPr>
      <w:r w:rsidRPr="009E1401">
        <w:rPr>
          <w:rFonts w:ascii="Times New Roman" w:hAnsi="Times New Roman"/>
          <w:b/>
          <w:smallCaps/>
          <w:sz w:val="24"/>
          <w:szCs w:val="24"/>
        </w:rPr>
        <w:t xml:space="preserve">VI - </w:t>
      </w:r>
      <w:r w:rsidR="0007469F" w:rsidRPr="009E1401">
        <w:rPr>
          <w:rFonts w:ascii="Times New Roman" w:hAnsi="Times New Roman"/>
          <w:b/>
          <w:smallCaps/>
          <w:sz w:val="24"/>
          <w:szCs w:val="24"/>
        </w:rPr>
        <w:t>Conclusão</w:t>
      </w:r>
    </w:p>
    <w:p w:rsidR="0007469F" w:rsidRPr="009E1401" w:rsidRDefault="0007469F" w:rsidP="009E1401">
      <w:pPr>
        <w:jc w:val="both"/>
        <w:rPr>
          <w:rFonts w:ascii="Times New Roman" w:hAnsi="Times New Roman"/>
          <w:sz w:val="24"/>
          <w:szCs w:val="24"/>
        </w:rPr>
      </w:pPr>
    </w:p>
    <w:p w:rsidR="0007469F" w:rsidRPr="009E1401" w:rsidRDefault="009E1401" w:rsidP="009E1401">
      <w:pPr>
        <w:jc w:val="both"/>
        <w:rPr>
          <w:rFonts w:ascii="Times New Roman" w:hAnsi="Times New Roman"/>
          <w:sz w:val="24"/>
          <w:szCs w:val="24"/>
        </w:rPr>
      </w:pPr>
      <w:r w:rsidRPr="009E1401">
        <w:rPr>
          <w:rFonts w:ascii="Times New Roman" w:hAnsi="Times New Roman"/>
          <w:sz w:val="24"/>
          <w:szCs w:val="24"/>
        </w:rPr>
        <w:t>Diante do exposto acima, temos que os contribuintes que se encontrem nas situações descritas devem observar os dispositivos legais mencionados, com vistas a evitar quaisquer questionamentos pelas autoridades fiscais do Estado de Alagoas.</w:t>
      </w:r>
    </w:p>
    <w:p w:rsidR="00634A00" w:rsidRDefault="00634A00"/>
    <w:p w:rsidR="00641CF4" w:rsidRPr="00634A00" w:rsidRDefault="00641CF4" w:rsidP="00634A00">
      <w:pPr>
        <w:tabs>
          <w:tab w:val="left" w:pos="3705"/>
        </w:tabs>
      </w:pPr>
    </w:p>
    <w:sectPr w:rsidR="00641CF4" w:rsidRPr="00634A00" w:rsidSect="0046258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397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DF" w:rsidRDefault="00C318DF">
      <w:r>
        <w:separator/>
      </w:r>
    </w:p>
  </w:endnote>
  <w:endnote w:type="continuationSeparator" w:id="0">
    <w:p w:rsidR="00C318DF" w:rsidRDefault="00C31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 45 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rleto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A1" w:rsidRDefault="00B26915">
    <w:pPr>
      <w:pStyle w:val="Rodap"/>
      <w:jc w:val="center"/>
    </w:pPr>
    <w:r>
      <w:rPr>
        <w:rStyle w:val="Nmerodepgina"/>
      </w:rPr>
      <w:fldChar w:fldCharType="begin"/>
    </w:r>
    <w:r w:rsidR="002732A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1695F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A1" w:rsidRDefault="002732A1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DF" w:rsidRDefault="00C318DF">
      <w:r>
        <w:separator/>
      </w:r>
    </w:p>
  </w:footnote>
  <w:footnote w:type="continuationSeparator" w:id="0">
    <w:p w:rsidR="00C318DF" w:rsidRDefault="00C318DF">
      <w:r>
        <w:continuationSeparator/>
      </w:r>
    </w:p>
  </w:footnote>
  <w:footnote w:id="1">
    <w:p w:rsidR="00C318DF" w:rsidRDefault="00C318DF" w:rsidP="00C318D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Para fins de restituição, alertamos que na hipótese de haver transferência do encargo do imposto, deverá ser observado o disposto no art. 166 do Código Tributário Nacional (“CTN”), que exige autorização de quem efetivamente suportou a carga do imposto para que terceiro possa proceder à solicitação: </w:t>
      </w:r>
    </w:p>
    <w:p w:rsidR="00C318DF" w:rsidRDefault="00C318DF" w:rsidP="00C318DF">
      <w:pPr>
        <w:pStyle w:val="Textodenotaderodap"/>
        <w:jc w:val="both"/>
      </w:pPr>
      <w:r>
        <w:t>“</w:t>
      </w:r>
      <w:r w:rsidRPr="00483349">
        <w:rPr>
          <w:i/>
        </w:rPr>
        <w:t xml:space="preserve">Art. </w:t>
      </w:r>
      <w:smartTag w:uri="urn:schemas-microsoft-com:office:smarttags" w:element="metricconverter">
        <w:smartTagPr>
          <w:attr w:name="ProductID" w:val="166. A"/>
        </w:smartTagPr>
        <w:r w:rsidRPr="00483349">
          <w:rPr>
            <w:i/>
          </w:rPr>
          <w:t>166. A</w:t>
        </w:r>
      </w:smartTag>
      <w:r w:rsidRPr="00483349">
        <w:rPr>
          <w:i/>
        </w:rPr>
        <w:t xml:space="preserve"> restituição de tributos que comportem, por sua natureza, transferência do respectivo encargo financeiro somente será feita a quem prove haver assumido o referido encargo, ou, no caso de tê-lo transferido a terceiro, estar por este expressamente autorizado a recebê-la.</w:t>
      </w:r>
      <w:r>
        <w:rPr>
          <w:i/>
        </w:rPr>
        <w:t>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885" w:type="dxa"/>
      <w:tblLayout w:type="fixed"/>
      <w:tblLook w:val="0000"/>
    </w:tblPr>
    <w:tblGrid>
      <w:gridCol w:w="2753"/>
    </w:tblGrid>
    <w:tr w:rsidR="002732A1">
      <w:trPr>
        <w:trHeight w:val="845"/>
      </w:trPr>
      <w:tc>
        <w:tcPr>
          <w:tcW w:w="2753" w:type="dxa"/>
        </w:tcPr>
        <w:p w:rsidR="002732A1" w:rsidRDefault="002732A1">
          <w:pPr>
            <w:spacing w:line="220" w:lineRule="exact"/>
            <w:ind w:left="284"/>
            <w:rPr>
              <w:rFonts w:ascii="Carleton" w:hAnsi="Carleton"/>
              <w:spacing w:val="64"/>
              <w:sz w:val="12"/>
            </w:rPr>
          </w:pPr>
        </w:p>
      </w:tc>
    </w:tr>
  </w:tbl>
  <w:p w:rsidR="002732A1" w:rsidRDefault="002732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2" w:type="dxa"/>
      <w:tblInd w:w="-885" w:type="dxa"/>
      <w:tblLayout w:type="fixed"/>
      <w:tblLook w:val="0000"/>
    </w:tblPr>
    <w:tblGrid>
      <w:gridCol w:w="2127"/>
      <w:gridCol w:w="501"/>
      <w:gridCol w:w="1626"/>
      <w:gridCol w:w="2126"/>
      <w:gridCol w:w="2126"/>
      <w:gridCol w:w="1986"/>
    </w:tblGrid>
    <w:tr w:rsidR="002732A1" w:rsidTr="00B55CE4">
      <w:tc>
        <w:tcPr>
          <w:tcW w:w="2628" w:type="dxa"/>
          <w:gridSpan w:val="2"/>
        </w:tcPr>
        <w:p w:rsidR="002732A1" w:rsidRDefault="002732A1">
          <w:pPr>
            <w:spacing w:line="220" w:lineRule="exact"/>
            <w:rPr>
              <w:rFonts w:ascii="Carleton" w:hAnsi="Carleton"/>
              <w:spacing w:val="64"/>
            </w:rPr>
          </w:pPr>
        </w:p>
      </w:tc>
      <w:tc>
        <w:tcPr>
          <w:tcW w:w="7864" w:type="dxa"/>
          <w:gridSpan w:val="4"/>
        </w:tcPr>
        <w:p w:rsidR="002732A1" w:rsidRDefault="002732A1">
          <w:pPr>
            <w:spacing w:line="160" w:lineRule="exact"/>
            <w:jc w:val="right"/>
            <w:rPr>
              <w:rFonts w:ascii="Carleton" w:hAnsi="Carleton"/>
              <w:spacing w:val="8"/>
            </w:rPr>
          </w:pPr>
        </w:p>
      </w:tc>
    </w:tr>
    <w:tr w:rsidR="00C3183D" w:rsidRPr="006F2C75" w:rsidTr="00B55CE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1624"/>
      </w:trPr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:rsidR="00EE498E" w:rsidRPr="001C7C10" w:rsidRDefault="00EE498E" w:rsidP="00D76A06">
          <w:pPr>
            <w:rPr>
              <w:rFonts w:ascii="Carleton" w:hAnsi="Carleton"/>
              <w:color w:val="000000"/>
              <w:sz w:val="9"/>
              <w:szCs w:val="9"/>
            </w:rPr>
          </w:pPr>
        </w:p>
      </w:tc>
      <w:tc>
        <w:tcPr>
          <w:tcW w:w="212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C7C10" w:rsidRPr="001C7C10" w:rsidRDefault="001C7C10" w:rsidP="00D76A06">
          <w:pPr>
            <w:rPr>
              <w:rFonts w:ascii="Carleton" w:hAnsi="Carleton" w:cs="Arial"/>
              <w:color w:val="000000"/>
              <w:sz w:val="9"/>
              <w:szCs w:val="9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:rsidR="001C7C10" w:rsidRPr="001C7C10" w:rsidRDefault="001C7C10" w:rsidP="00A35467">
          <w:pPr>
            <w:rPr>
              <w:rFonts w:ascii="Carleton" w:hAnsi="Carleton"/>
              <w:sz w:val="9"/>
              <w:szCs w:val="9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:rsidR="001C7C10" w:rsidRPr="001C7C10" w:rsidRDefault="001C7C10" w:rsidP="00A5040B">
          <w:pPr>
            <w:rPr>
              <w:rFonts w:ascii="Carleton" w:hAnsi="Carleton"/>
              <w:sz w:val="9"/>
              <w:szCs w:val="9"/>
            </w:rPr>
          </w:pPr>
        </w:p>
      </w:tc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:rsidR="001C7C10" w:rsidRPr="001C7C10" w:rsidRDefault="001C7C10" w:rsidP="00C205AB">
          <w:pPr>
            <w:rPr>
              <w:rFonts w:ascii="Carleton" w:hAnsi="Carleton"/>
              <w:sz w:val="9"/>
              <w:szCs w:val="9"/>
            </w:rPr>
          </w:pPr>
        </w:p>
      </w:tc>
    </w:tr>
  </w:tbl>
  <w:p w:rsidR="00DC7486" w:rsidRDefault="00DC7486" w:rsidP="00DC74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43CD"/>
    <w:multiLevelType w:val="hybridMultilevel"/>
    <w:tmpl w:val="859E6A36"/>
    <w:lvl w:ilvl="0" w:tplc="F33A9CF2">
      <w:start w:val="50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69F"/>
    <w:rsid w:val="00005239"/>
    <w:rsid w:val="00005AD2"/>
    <w:rsid w:val="00026B83"/>
    <w:rsid w:val="00044233"/>
    <w:rsid w:val="00044751"/>
    <w:rsid w:val="0005258A"/>
    <w:rsid w:val="00052F04"/>
    <w:rsid w:val="0006410B"/>
    <w:rsid w:val="000670B1"/>
    <w:rsid w:val="0007087D"/>
    <w:rsid w:val="00073DBC"/>
    <w:rsid w:val="0007469F"/>
    <w:rsid w:val="00083122"/>
    <w:rsid w:val="000837BC"/>
    <w:rsid w:val="000838D3"/>
    <w:rsid w:val="000911D5"/>
    <w:rsid w:val="000944C7"/>
    <w:rsid w:val="000955FE"/>
    <w:rsid w:val="00096A64"/>
    <w:rsid w:val="0009791A"/>
    <w:rsid w:val="000A6496"/>
    <w:rsid w:val="000A6715"/>
    <w:rsid w:val="000A7F5D"/>
    <w:rsid w:val="000B1FEA"/>
    <w:rsid w:val="000C44B4"/>
    <w:rsid w:val="000C4581"/>
    <w:rsid w:val="000C6A80"/>
    <w:rsid w:val="000D4A99"/>
    <w:rsid w:val="000E694E"/>
    <w:rsid w:val="000F74B7"/>
    <w:rsid w:val="00114587"/>
    <w:rsid w:val="0011546F"/>
    <w:rsid w:val="00123155"/>
    <w:rsid w:val="00132195"/>
    <w:rsid w:val="001370F8"/>
    <w:rsid w:val="001510BC"/>
    <w:rsid w:val="00163F69"/>
    <w:rsid w:val="00164E8E"/>
    <w:rsid w:val="0017295F"/>
    <w:rsid w:val="00172ECE"/>
    <w:rsid w:val="00176338"/>
    <w:rsid w:val="001804D8"/>
    <w:rsid w:val="00181160"/>
    <w:rsid w:val="001828A2"/>
    <w:rsid w:val="00187366"/>
    <w:rsid w:val="00187A6C"/>
    <w:rsid w:val="001946D9"/>
    <w:rsid w:val="0019720E"/>
    <w:rsid w:val="001A230E"/>
    <w:rsid w:val="001B2F69"/>
    <w:rsid w:val="001B34ED"/>
    <w:rsid w:val="001B5354"/>
    <w:rsid w:val="001C7C10"/>
    <w:rsid w:val="001D02B5"/>
    <w:rsid w:val="001D5980"/>
    <w:rsid w:val="001D6B86"/>
    <w:rsid w:val="001E23B0"/>
    <w:rsid w:val="001E4F8D"/>
    <w:rsid w:val="001E5539"/>
    <w:rsid w:val="001E6E84"/>
    <w:rsid w:val="001F5083"/>
    <w:rsid w:val="002025E7"/>
    <w:rsid w:val="00203EA8"/>
    <w:rsid w:val="002111E6"/>
    <w:rsid w:val="002138CF"/>
    <w:rsid w:val="0022666A"/>
    <w:rsid w:val="00226834"/>
    <w:rsid w:val="00226EFD"/>
    <w:rsid w:val="002325CA"/>
    <w:rsid w:val="002364B9"/>
    <w:rsid w:val="00244117"/>
    <w:rsid w:val="0025161E"/>
    <w:rsid w:val="0025454F"/>
    <w:rsid w:val="0026047C"/>
    <w:rsid w:val="0026360B"/>
    <w:rsid w:val="002732A1"/>
    <w:rsid w:val="00273BB6"/>
    <w:rsid w:val="00290C3B"/>
    <w:rsid w:val="00291C79"/>
    <w:rsid w:val="002A12CB"/>
    <w:rsid w:val="002A41AC"/>
    <w:rsid w:val="002A446F"/>
    <w:rsid w:val="002A5847"/>
    <w:rsid w:val="002B270B"/>
    <w:rsid w:val="002B39E9"/>
    <w:rsid w:val="002B7326"/>
    <w:rsid w:val="002C4EA4"/>
    <w:rsid w:val="002D26DC"/>
    <w:rsid w:val="002E2336"/>
    <w:rsid w:val="002E3BE3"/>
    <w:rsid w:val="002E5560"/>
    <w:rsid w:val="002E73B8"/>
    <w:rsid w:val="002F0E76"/>
    <w:rsid w:val="002F122F"/>
    <w:rsid w:val="002F6CE5"/>
    <w:rsid w:val="00310060"/>
    <w:rsid w:val="00317000"/>
    <w:rsid w:val="00317973"/>
    <w:rsid w:val="003217E6"/>
    <w:rsid w:val="00322896"/>
    <w:rsid w:val="0032405E"/>
    <w:rsid w:val="00324C1D"/>
    <w:rsid w:val="00325422"/>
    <w:rsid w:val="00333C4C"/>
    <w:rsid w:val="00334EBC"/>
    <w:rsid w:val="00335B3F"/>
    <w:rsid w:val="00355673"/>
    <w:rsid w:val="00365CEE"/>
    <w:rsid w:val="0037354E"/>
    <w:rsid w:val="00373751"/>
    <w:rsid w:val="00381113"/>
    <w:rsid w:val="00381DF4"/>
    <w:rsid w:val="003901CC"/>
    <w:rsid w:val="003A1148"/>
    <w:rsid w:val="003A1DAE"/>
    <w:rsid w:val="003A7C52"/>
    <w:rsid w:val="003B417F"/>
    <w:rsid w:val="003B4DF2"/>
    <w:rsid w:val="003C055F"/>
    <w:rsid w:val="003C5566"/>
    <w:rsid w:val="003D0261"/>
    <w:rsid w:val="003F093F"/>
    <w:rsid w:val="003F1EFA"/>
    <w:rsid w:val="00410CBB"/>
    <w:rsid w:val="004245EA"/>
    <w:rsid w:val="0043274F"/>
    <w:rsid w:val="00436386"/>
    <w:rsid w:val="004375AF"/>
    <w:rsid w:val="00443949"/>
    <w:rsid w:val="0046258E"/>
    <w:rsid w:val="00462746"/>
    <w:rsid w:val="00466E0D"/>
    <w:rsid w:val="0046797D"/>
    <w:rsid w:val="00471427"/>
    <w:rsid w:val="0047444F"/>
    <w:rsid w:val="0048607D"/>
    <w:rsid w:val="00492349"/>
    <w:rsid w:val="004A0528"/>
    <w:rsid w:val="004A14D3"/>
    <w:rsid w:val="004A51C8"/>
    <w:rsid w:val="004B2D18"/>
    <w:rsid w:val="004C1138"/>
    <w:rsid w:val="004C77B9"/>
    <w:rsid w:val="004D372F"/>
    <w:rsid w:val="004D71DB"/>
    <w:rsid w:val="004D7B7D"/>
    <w:rsid w:val="004F19CE"/>
    <w:rsid w:val="004F7C20"/>
    <w:rsid w:val="0050062A"/>
    <w:rsid w:val="00514C0C"/>
    <w:rsid w:val="005219F6"/>
    <w:rsid w:val="00523712"/>
    <w:rsid w:val="00524C4E"/>
    <w:rsid w:val="00531853"/>
    <w:rsid w:val="00532C0A"/>
    <w:rsid w:val="00532E38"/>
    <w:rsid w:val="00534341"/>
    <w:rsid w:val="00543B8A"/>
    <w:rsid w:val="005506DC"/>
    <w:rsid w:val="00556FC5"/>
    <w:rsid w:val="005615CF"/>
    <w:rsid w:val="005704AB"/>
    <w:rsid w:val="0057428D"/>
    <w:rsid w:val="00581793"/>
    <w:rsid w:val="00585943"/>
    <w:rsid w:val="005C28C4"/>
    <w:rsid w:val="005C3AC4"/>
    <w:rsid w:val="005D0023"/>
    <w:rsid w:val="005E7017"/>
    <w:rsid w:val="005F02E9"/>
    <w:rsid w:val="005F6B1A"/>
    <w:rsid w:val="00601514"/>
    <w:rsid w:val="0061162D"/>
    <w:rsid w:val="006145A8"/>
    <w:rsid w:val="00616DD0"/>
    <w:rsid w:val="006253AD"/>
    <w:rsid w:val="00634A00"/>
    <w:rsid w:val="00637625"/>
    <w:rsid w:val="0064023B"/>
    <w:rsid w:val="00641CF4"/>
    <w:rsid w:val="006438BD"/>
    <w:rsid w:val="0064634B"/>
    <w:rsid w:val="00672951"/>
    <w:rsid w:val="00674D60"/>
    <w:rsid w:val="006753C5"/>
    <w:rsid w:val="006853D1"/>
    <w:rsid w:val="006872CE"/>
    <w:rsid w:val="006D38E2"/>
    <w:rsid w:val="006D6DB5"/>
    <w:rsid w:val="006E10C2"/>
    <w:rsid w:val="006E519E"/>
    <w:rsid w:val="006E679F"/>
    <w:rsid w:val="006F2C75"/>
    <w:rsid w:val="006F700C"/>
    <w:rsid w:val="007015EF"/>
    <w:rsid w:val="0070303B"/>
    <w:rsid w:val="0070486F"/>
    <w:rsid w:val="0070630B"/>
    <w:rsid w:val="00720250"/>
    <w:rsid w:val="007250CE"/>
    <w:rsid w:val="007263BE"/>
    <w:rsid w:val="00727B40"/>
    <w:rsid w:val="0073274E"/>
    <w:rsid w:val="00741345"/>
    <w:rsid w:val="007448BE"/>
    <w:rsid w:val="00747459"/>
    <w:rsid w:val="00747992"/>
    <w:rsid w:val="0075285D"/>
    <w:rsid w:val="00766494"/>
    <w:rsid w:val="007713EF"/>
    <w:rsid w:val="00793E63"/>
    <w:rsid w:val="00797C7C"/>
    <w:rsid w:val="007A30BC"/>
    <w:rsid w:val="007A59B5"/>
    <w:rsid w:val="007B01DD"/>
    <w:rsid w:val="007B3799"/>
    <w:rsid w:val="007B438E"/>
    <w:rsid w:val="007B765C"/>
    <w:rsid w:val="007C007E"/>
    <w:rsid w:val="007C2BE7"/>
    <w:rsid w:val="007E09F3"/>
    <w:rsid w:val="007E381A"/>
    <w:rsid w:val="007E5D03"/>
    <w:rsid w:val="007F2E7C"/>
    <w:rsid w:val="007F56D2"/>
    <w:rsid w:val="00815CED"/>
    <w:rsid w:val="00831E30"/>
    <w:rsid w:val="008355D2"/>
    <w:rsid w:val="0083750E"/>
    <w:rsid w:val="008449DB"/>
    <w:rsid w:val="0085626E"/>
    <w:rsid w:val="008768F3"/>
    <w:rsid w:val="008902FD"/>
    <w:rsid w:val="00892C50"/>
    <w:rsid w:val="008973B5"/>
    <w:rsid w:val="008A1AFB"/>
    <w:rsid w:val="008A7DC4"/>
    <w:rsid w:val="008B59BA"/>
    <w:rsid w:val="008C17C5"/>
    <w:rsid w:val="008D47D8"/>
    <w:rsid w:val="008E4CCF"/>
    <w:rsid w:val="008F3F83"/>
    <w:rsid w:val="0090127E"/>
    <w:rsid w:val="00913081"/>
    <w:rsid w:val="00924EBB"/>
    <w:rsid w:val="00940DE1"/>
    <w:rsid w:val="00941688"/>
    <w:rsid w:val="009556F2"/>
    <w:rsid w:val="00957AE6"/>
    <w:rsid w:val="0096233D"/>
    <w:rsid w:val="00963013"/>
    <w:rsid w:val="0097153F"/>
    <w:rsid w:val="00973F8E"/>
    <w:rsid w:val="00992254"/>
    <w:rsid w:val="009B2418"/>
    <w:rsid w:val="009B4706"/>
    <w:rsid w:val="009B5BC3"/>
    <w:rsid w:val="009C200C"/>
    <w:rsid w:val="009C3818"/>
    <w:rsid w:val="009C550C"/>
    <w:rsid w:val="009D5DCE"/>
    <w:rsid w:val="009E1401"/>
    <w:rsid w:val="009E546E"/>
    <w:rsid w:val="009F2BA2"/>
    <w:rsid w:val="00A06448"/>
    <w:rsid w:val="00A06EDB"/>
    <w:rsid w:val="00A209C1"/>
    <w:rsid w:val="00A21F55"/>
    <w:rsid w:val="00A25EBE"/>
    <w:rsid w:val="00A31D9D"/>
    <w:rsid w:val="00A35467"/>
    <w:rsid w:val="00A46D13"/>
    <w:rsid w:val="00A46D20"/>
    <w:rsid w:val="00A47801"/>
    <w:rsid w:val="00A5040B"/>
    <w:rsid w:val="00A50C0E"/>
    <w:rsid w:val="00A52CA0"/>
    <w:rsid w:val="00A56626"/>
    <w:rsid w:val="00A66067"/>
    <w:rsid w:val="00A66896"/>
    <w:rsid w:val="00A67185"/>
    <w:rsid w:val="00A80390"/>
    <w:rsid w:val="00A86076"/>
    <w:rsid w:val="00A87FA5"/>
    <w:rsid w:val="00AC2FDB"/>
    <w:rsid w:val="00AD2607"/>
    <w:rsid w:val="00AD6EE5"/>
    <w:rsid w:val="00AD7B84"/>
    <w:rsid w:val="00AE08BA"/>
    <w:rsid w:val="00AF4B60"/>
    <w:rsid w:val="00B07027"/>
    <w:rsid w:val="00B14352"/>
    <w:rsid w:val="00B24531"/>
    <w:rsid w:val="00B264B5"/>
    <w:rsid w:val="00B26915"/>
    <w:rsid w:val="00B27094"/>
    <w:rsid w:val="00B33D39"/>
    <w:rsid w:val="00B468F6"/>
    <w:rsid w:val="00B47FA1"/>
    <w:rsid w:val="00B519D5"/>
    <w:rsid w:val="00B52040"/>
    <w:rsid w:val="00B55CE4"/>
    <w:rsid w:val="00B57B28"/>
    <w:rsid w:val="00B62887"/>
    <w:rsid w:val="00B745F5"/>
    <w:rsid w:val="00B800A4"/>
    <w:rsid w:val="00B87D46"/>
    <w:rsid w:val="00B92ECF"/>
    <w:rsid w:val="00B974B9"/>
    <w:rsid w:val="00BA25C3"/>
    <w:rsid w:val="00BA7596"/>
    <w:rsid w:val="00BB23DF"/>
    <w:rsid w:val="00BB56F8"/>
    <w:rsid w:val="00BB7B9D"/>
    <w:rsid w:val="00BD5F37"/>
    <w:rsid w:val="00BF15F6"/>
    <w:rsid w:val="00BF5702"/>
    <w:rsid w:val="00BF5E32"/>
    <w:rsid w:val="00C03039"/>
    <w:rsid w:val="00C1695F"/>
    <w:rsid w:val="00C205AB"/>
    <w:rsid w:val="00C22834"/>
    <w:rsid w:val="00C23B04"/>
    <w:rsid w:val="00C312D1"/>
    <w:rsid w:val="00C3183D"/>
    <w:rsid w:val="00C318DF"/>
    <w:rsid w:val="00C4124C"/>
    <w:rsid w:val="00C73FDF"/>
    <w:rsid w:val="00C75371"/>
    <w:rsid w:val="00C80434"/>
    <w:rsid w:val="00C90DC2"/>
    <w:rsid w:val="00C91192"/>
    <w:rsid w:val="00C93D14"/>
    <w:rsid w:val="00CA1BDD"/>
    <w:rsid w:val="00CC00EF"/>
    <w:rsid w:val="00CC2CE6"/>
    <w:rsid w:val="00CC4218"/>
    <w:rsid w:val="00CD0B8D"/>
    <w:rsid w:val="00CD7EC8"/>
    <w:rsid w:val="00CE24CF"/>
    <w:rsid w:val="00CE2E26"/>
    <w:rsid w:val="00CF5ACD"/>
    <w:rsid w:val="00CF64E2"/>
    <w:rsid w:val="00CF6685"/>
    <w:rsid w:val="00D03018"/>
    <w:rsid w:val="00D123F9"/>
    <w:rsid w:val="00D131E8"/>
    <w:rsid w:val="00D16101"/>
    <w:rsid w:val="00D1765C"/>
    <w:rsid w:val="00D23E4B"/>
    <w:rsid w:val="00D32A20"/>
    <w:rsid w:val="00D33978"/>
    <w:rsid w:val="00D3414E"/>
    <w:rsid w:val="00D34C84"/>
    <w:rsid w:val="00D35D04"/>
    <w:rsid w:val="00D45E23"/>
    <w:rsid w:val="00D50741"/>
    <w:rsid w:val="00D53FFD"/>
    <w:rsid w:val="00D55057"/>
    <w:rsid w:val="00D62D17"/>
    <w:rsid w:val="00D636BE"/>
    <w:rsid w:val="00D76A06"/>
    <w:rsid w:val="00D85BEB"/>
    <w:rsid w:val="00D85EDD"/>
    <w:rsid w:val="00D9061B"/>
    <w:rsid w:val="00D9728F"/>
    <w:rsid w:val="00DA0066"/>
    <w:rsid w:val="00DA36CB"/>
    <w:rsid w:val="00DB2ED4"/>
    <w:rsid w:val="00DB3CD0"/>
    <w:rsid w:val="00DB5C0E"/>
    <w:rsid w:val="00DC16F7"/>
    <w:rsid w:val="00DC7486"/>
    <w:rsid w:val="00DD0486"/>
    <w:rsid w:val="00DD65A7"/>
    <w:rsid w:val="00DF3297"/>
    <w:rsid w:val="00E06729"/>
    <w:rsid w:val="00E0694C"/>
    <w:rsid w:val="00E156E0"/>
    <w:rsid w:val="00E30E56"/>
    <w:rsid w:val="00E37CE2"/>
    <w:rsid w:val="00E401F7"/>
    <w:rsid w:val="00E426BA"/>
    <w:rsid w:val="00E44201"/>
    <w:rsid w:val="00E60800"/>
    <w:rsid w:val="00E6526E"/>
    <w:rsid w:val="00E66329"/>
    <w:rsid w:val="00E94195"/>
    <w:rsid w:val="00E97978"/>
    <w:rsid w:val="00EA38BA"/>
    <w:rsid w:val="00EA79B8"/>
    <w:rsid w:val="00EC0F34"/>
    <w:rsid w:val="00EC2023"/>
    <w:rsid w:val="00EC56E3"/>
    <w:rsid w:val="00EC7BD0"/>
    <w:rsid w:val="00EE498E"/>
    <w:rsid w:val="00EF12A3"/>
    <w:rsid w:val="00EF263B"/>
    <w:rsid w:val="00EF7B44"/>
    <w:rsid w:val="00F03E22"/>
    <w:rsid w:val="00F05023"/>
    <w:rsid w:val="00F073E0"/>
    <w:rsid w:val="00F12E9E"/>
    <w:rsid w:val="00F1356A"/>
    <w:rsid w:val="00F1538A"/>
    <w:rsid w:val="00F163A1"/>
    <w:rsid w:val="00F170B1"/>
    <w:rsid w:val="00F26B57"/>
    <w:rsid w:val="00F4469C"/>
    <w:rsid w:val="00F623DC"/>
    <w:rsid w:val="00F67573"/>
    <w:rsid w:val="00F777BE"/>
    <w:rsid w:val="00F86F42"/>
    <w:rsid w:val="00F90E67"/>
    <w:rsid w:val="00FA0398"/>
    <w:rsid w:val="00FA4519"/>
    <w:rsid w:val="00FA7BB4"/>
    <w:rsid w:val="00FB196B"/>
    <w:rsid w:val="00FC104F"/>
    <w:rsid w:val="00FC317A"/>
    <w:rsid w:val="00FD3E88"/>
    <w:rsid w:val="00FD73B5"/>
    <w:rsid w:val="00FE21EE"/>
    <w:rsid w:val="00FE3D5E"/>
    <w:rsid w:val="00FE7F3E"/>
    <w:rsid w:val="00FF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7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8DF"/>
    <w:rPr>
      <w:rFonts w:ascii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6258E"/>
    <w:pPr>
      <w:spacing w:line="160" w:lineRule="exact"/>
    </w:pPr>
    <w:rPr>
      <w:rFonts w:ascii="Frutiger 45 Light" w:hAnsi="Frutiger 45 Light"/>
      <w:sz w:val="14"/>
      <w:szCs w:val="20"/>
    </w:rPr>
  </w:style>
  <w:style w:type="character" w:styleId="Hyperlink">
    <w:name w:val="Hyperlink"/>
    <w:basedOn w:val="Fontepargpadro"/>
    <w:rsid w:val="0046258E"/>
    <w:rPr>
      <w:rFonts w:cs="Times New Roman"/>
      <w:color w:val="0000FF"/>
      <w:u w:val="single"/>
    </w:rPr>
  </w:style>
  <w:style w:type="paragraph" w:styleId="Cabealho">
    <w:name w:val="header"/>
    <w:basedOn w:val="Normal"/>
    <w:rsid w:val="0046258E"/>
    <w:pPr>
      <w:tabs>
        <w:tab w:val="center" w:pos="4320"/>
        <w:tab w:val="right" w:pos="8640"/>
      </w:tabs>
    </w:pPr>
    <w:rPr>
      <w:rFonts w:ascii="Times" w:hAnsi="Times"/>
      <w:sz w:val="24"/>
      <w:szCs w:val="20"/>
    </w:rPr>
  </w:style>
  <w:style w:type="paragraph" w:styleId="Rodap">
    <w:name w:val="footer"/>
    <w:basedOn w:val="Normal"/>
    <w:rsid w:val="0046258E"/>
    <w:pPr>
      <w:tabs>
        <w:tab w:val="center" w:pos="4320"/>
        <w:tab w:val="right" w:pos="8640"/>
      </w:tabs>
    </w:pPr>
    <w:rPr>
      <w:rFonts w:ascii="Times" w:hAnsi="Times"/>
      <w:sz w:val="24"/>
      <w:szCs w:val="20"/>
    </w:rPr>
  </w:style>
  <w:style w:type="character" w:styleId="Nmerodepgina">
    <w:name w:val="page number"/>
    <w:basedOn w:val="Fontepargpadro"/>
    <w:rsid w:val="0046258E"/>
    <w:rPr>
      <w:rFonts w:cs="Times New Roman"/>
    </w:rPr>
  </w:style>
  <w:style w:type="character" w:styleId="HiperlinkVisitado">
    <w:name w:val="FollowedHyperlink"/>
    <w:basedOn w:val="Fontepargpadro"/>
    <w:rsid w:val="0046258E"/>
    <w:rPr>
      <w:rFonts w:cs="Times New Roman"/>
      <w:color w:val="800080"/>
      <w:u w:val="single"/>
    </w:rPr>
  </w:style>
  <w:style w:type="paragraph" w:styleId="Recuodecorpodetexto">
    <w:name w:val="Body Text Indent"/>
    <w:basedOn w:val="Normal"/>
    <w:rsid w:val="0046258E"/>
    <w:pPr>
      <w:ind w:left="851"/>
      <w:jc w:val="both"/>
    </w:pPr>
    <w:rPr>
      <w:rFonts w:ascii="Times" w:hAnsi="Times"/>
      <w:sz w:val="24"/>
      <w:szCs w:val="20"/>
    </w:rPr>
  </w:style>
  <w:style w:type="paragraph" w:styleId="Corpodetexto2">
    <w:name w:val="Body Text 2"/>
    <w:basedOn w:val="Normal"/>
    <w:rsid w:val="0046258E"/>
    <w:rPr>
      <w:rFonts w:ascii="Carleton" w:hAnsi="Carleton"/>
      <w:spacing w:val="28"/>
      <w:position w:val="2"/>
      <w:sz w:val="12"/>
      <w:szCs w:val="20"/>
    </w:rPr>
  </w:style>
  <w:style w:type="paragraph" w:styleId="Textodebalo">
    <w:name w:val="Balloon Text"/>
    <w:basedOn w:val="Normal"/>
    <w:semiHidden/>
    <w:rsid w:val="00641CF4"/>
    <w:rPr>
      <w:rFonts w:ascii="Tahoma" w:hAnsi="Tahoma" w:cs="Tahoma"/>
      <w:sz w:val="16"/>
      <w:szCs w:val="16"/>
    </w:rPr>
  </w:style>
  <w:style w:type="paragraph" w:customStyle="1" w:styleId="Nromal">
    <w:name w:val="Nromal"/>
    <w:basedOn w:val="Normal"/>
    <w:rsid w:val="0083750E"/>
    <w:rPr>
      <w:rFonts w:ascii="Carleton" w:hAnsi="Carleton"/>
      <w:sz w:val="9"/>
      <w:szCs w:val="9"/>
    </w:rPr>
  </w:style>
  <w:style w:type="paragraph" w:styleId="NormalWeb">
    <w:name w:val="Normal (Web)"/>
    <w:basedOn w:val="Normal"/>
    <w:rsid w:val="00C318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rsid w:val="00C318D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318DF"/>
    <w:rPr>
      <w:rFonts w:ascii="Calibri" w:hAnsi="Calibri"/>
    </w:rPr>
  </w:style>
  <w:style w:type="character" w:styleId="Refdenotaderodap">
    <w:name w:val="footnote reference"/>
    <w:basedOn w:val="Fontepargpadro"/>
    <w:rsid w:val="00C318D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6456-AFDC-42DA-AF69-96354AEF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LACAZ MARTINS</vt:lpstr>
    </vt:vector>
  </TitlesOfParts>
  <Company>Lacaz Martins Advogados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LACAZ MARTINS</dc:title>
  <dc:subject/>
  <dc:creator>FAM</dc:creator>
  <cp:keywords/>
  <dc:description/>
  <cp:lastModifiedBy>FAM</cp:lastModifiedBy>
  <cp:revision>3</cp:revision>
  <cp:lastPrinted>2005-06-15T21:27:00Z</cp:lastPrinted>
  <dcterms:created xsi:type="dcterms:W3CDTF">2013-12-10T16:58:00Z</dcterms:created>
  <dcterms:modified xsi:type="dcterms:W3CDTF">2013-12-10T16:58:00Z</dcterms:modified>
</cp:coreProperties>
</file>