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PROJUDI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A EFETIVAÇÃO DO O PROCESSO JUDICIAL DIGITAL PELA TECNOLOGIA DA INTERNET</w:t>
      </w:r>
    </w:p>
    <w:p>
      <w:pPr>
        <w:pStyle w:val="style0"/>
        <w:spacing w:line="360" w:lineRule="auto"/>
        <w:ind w:hanging="0" w:left="3960" w:right="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>Daniela Christyne Costa Corrêa</w:t>
      </w:r>
      <w:r>
        <w:rPr>
          <w:rStyle w:val="style21"/>
          <w:rFonts w:ascii="Times New Roman" w:cs="Times New Roman" w:hAnsi="Times New Roman"/>
          <w:b/>
          <w:sz w:val="24"/>
          <w:szCs w:val="24"/>
        </w:rPr>
        <w:footnoteReference w:id="2"/>
      </w:r>
    </w:p>
    <w:p>
      <w:pPr>
        <w:pStyle w:val="style0"/>
        <w:spacing w:line="360" w:lineRule="auto"/>
        <w:ind w:hanging="0" w:left="3960" w:right="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>Milena de Castro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>2</w:t>
      </w:r>
    </w:p>
    <w:p>
      <w:pPr>
        <w:pStyle w:val="style0"/>
        <w:spacing w:line="360" w:lineRule="auto"/>
        <w:ind w:hanging="0" w:left="3960" w:right="0"/>
        <w:jc w:val="left"/>
      </w:pPr>
      <w:r>
        <w:rPr/>
      </w:r>
    </w:p>
    <w:p>
      <w:pPr>
        <w:pStyle w:val="style0"/>
        <w:spacing w:line="360" w:lineRule="auto"/>
        <w:ind w:hanging="0" w:left="3960" w:right="0"/>
        <w:jc w:val="left"/>
      </w:pPr>
      <w:r>
        <w:rPr>
          <w:rFonts w:ascii="Times New Roman" w:cs="Times New Roman" w:hAnsi="Times New Roman"/>
          <w:b/>
          <w:sz w:val="24"/>
          <w:szCs w:val="24"/>
        </w:rPr>
        <w:t xml:space="preserve">Súmario: </w:t>
      </w:r>
      <w:r>
        <w:rPr>
          <w:rFonts w:ascii="Times New Roman" w:cs="Times New Roman" w:hAnsi="Times New Roman"/>
          <w:sz w:val="24"/>
          <w:szCs w:val="24"/>
        </w:rPr>
        <w:t>1- Introdução; 2-  relações entre NTICs e o PROJUDI; 3- Funcionamento do Tribunal de justiça no Maranhão; 4- Conclusão</w:t>
      </w:r>
    </w:p>
    <w:p>
      <w:pPr>
        <w:pStyle w:val="style0"/>
        <w:spacing w:line="360" w:lineRule="auto"/>
        <w:ind w:hanging="0" w:left="4536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Resumo: </w:t>
      </w:r>
      <w:r>
        <w:rPr>
          <w:rFonts w:ascii="Times New Roman" w:cs="Times New Roman" w:hAnsi="Times New Roman"/>
          <w:sz w:val="24"/>
          <w:szCs w:val="24"/>
        </w:rPr>
        <w:t>O trabalho apresentado tem o intuito de apresentar o conceito de PRODUDI, logo depois explicitar as relações entre NTICS e o PROJUDI  para obter o melhor entendimento da implementação de tal sistema no poder judiciário.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>Logo após será feita uma apresentação do funcionamento de tal sistema no Poder Judiciário do Maranhão para que a visualização pratica possa ser entendida, o que implicará na indispensável importância, e celeridade processual que o sistema causa na realidade.</w:t>
      </w:r>
    </w:p>
    <w:p>
      <w:pPr>
        <w:pStyle w:val="style31"/>
        <w:numPr>
          <w:ilvl w:val="0"/>
          <w:numId w:val="1"/>
        </w:numPr>
        <w:spacing w:line="360" w:lineRule="auto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INTRODUÇÃO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O Poder Judiciário estava passando por uma crise, em que a sociedade se sentia desestimulada e preocupada quando precisava acionar a esse órgão, muitas vezes por ser moroso. Sendo assim, para evitar esse desgaste, o que representavam muitas vezes até insegurança judicial, muitas pessoas abdicavam de seus próprios direitos.  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Com a mudança aos poucos desse paradigma a efetivação do processo judicial digital trouxe grandes benefícios tanto para a sociedade como, também, para os operadores do direito. Proporcionando uma maior celeridade, assim, como maior segurança, sendo fácil de ser transmitido. 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O PROJUDI como trataremos a seguir é um desses meios que ajudam na transformação desse antigo paradigma de lentidão, insegurança e menos economia, para uma versão mais moderna da atualidade, no qual predomina a rapidez, praticidade, virtualidade, maior segurança e economia nos atos processuais. Com a implantação da lei de dezembro de 2006, número 11.419, ficou oficialmente registrado a legalidade desse meio  eletrônico na tramitação de processos judiciais, assim como a sua comunicação e transmissão. </w:t>
      </w:r>
    </w:p>
    <w:p>
      <w:pPr>
        <w:pStyle w:val="style0"/>
        <w:tabs>
          <w:tab w:leader="none" w:pos="3270" w:val="left"/>
        </w:tabs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31"/>
        <w:numPr>
          <w:ilvl w:val="0"/>
          <w:numId w:val="1"/>
        </w:numPr>
        <w:spacing w:line="360" w:lineRule="auto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RELAÇÃO ENTRE NTICs E O PROJUDI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As NTICS (Novas Tecnologias de Informação e Comunicação) são tecnologias criadas como forma de melhorar, agilizar, tornar “menos palpável” a geração e uso da informação.  Um meio prático e eficaz é o processo da digitalização e da comunicação através de redes pela internet, para a transmissão de informações contidas nos processos judiciais.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Com a entrada da tecnologia da informação nos processo jurídicos, ocasionou grandes benefícios para todas as partes com a informatização desses. Pois, trouxe otimização do processo, eficiência processual e celeridade; digitalização de documentos, o que economizaria, com esse meio digital, na quantidade de folhas que antes eram utilizadas; otimização da comunicação entre os operadores; comunicação com os clientes; democratização do acesso a justiça; entre outros.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O PROJUDI é um software doado em setembro de 2006 por três desenvolvedores e  está em grande expansão no Brasil. Sendo caracterizado como uma forma de tramitação de processos por meio eletrônico, conservado pelo Conselho Nacional de Justiça. Na verdade, é definido como uma reprodução de todo o procedimento judicial ocorrido, porém por meio digitalizado o que acarreta em uma considerável diminuição do papel, substituindo assim os atos processuais que antes eram realizados somente com a efetiva materialidade do papel, para um meio eletrônico digitalizado, resultando em rapidez, segurança e economia. 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Como expresso no artigo 1º da lei número 11.419/06 “o uso de meio eletrônico na tramitação de processos judiciais, comunicação de atos e transmissão de peças processuais será admitido nos termos desta lei”. Sendo assim, é completamente lícito haver processo eletrônico já que este se enquadra em uma nova realidade, proporcionando grandes vantagens pro judiciário e pra sociedade. No PROJUDI o juiz pode fazer o despacho de forma direta no sistema assim como o advogado também pode emitir a petição, protocolar e acompanhar os processos permanecendo acessíveis diretamente na rede à qualquer parte envolvida no processo, por meio do cadastro do login  de usuário e senha, </w:t>
      </w:r>
    </w:p>
    <w:p>
      <w:pPr>
        <w:pStyle w:val="style0"/>
      </w:pPr>
      <w:r>
        <w:rPr/>
      </w:r>
    </w:p>
    <w:p>
      <w:pPr>
        <w:pStyle w:val="style31"/>
        <w:numPr>
          <w:ilvl w:val="0"/>
          <w:numId w:val="1"/>
        </w:numPr>
      </w:pPr>
      <w:r>
        <w:rPr>
          <w:rFonts w:ascii="Times New Roman" w:cs="Times New Roman" w:hAnsi="Times New Roman"/>
          <w:b/>
          <w:sz w:val="24"/>
          <w:szCs w:val="24"/>
        </w:rPr>
        <w:t>FUNCIONAMENTO NO TRIBUNAL DE JUSTIÇA DO MARANHÃO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>A justiça do Maranhão é que mais tem se destacado  na utilização do sistema, hoje tramitam pelo PROJUDIMA mais de 88 mil processos. O mais interessante do sistema é a facilidade e rapidez que os processos podem ser utilizados e movidos pelos advogados sem a necessidade de deslocamento para os juizados.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É imprescindível citar a expansão do sistema pelos municípios maranhenses, mesmo que não estejam na mesma velocidade dos outros</w:t>
      </w:r>
      <w:r>
        <w:rPr>
          <w:rFonts w:ascii="Times New Roman" w:hAnsi="Times New Roman"/>
          <w:sz w:val="24"/>
          <w:szCs w:val="24"/>
        </w:rPr>
        <w:t xml:space="preserve"> Estado</w:t>
      </w:r>
      <w:r>
        <w:rPr>
          <w:rFonts w:ascii="Times New Roman" w:cs="Times New Roman" w:hAnsi="Times New Roman"/>
          <w:sz w:val="24"/>
          <w:szCs w:val="24"/>
        </w:rPr>
        <w:t>s da federeção</w:t>
      </w:r>
      <w:r>
        <w:rPr>
          <w:rFonts w:ascii="Times New Roman" w:hAnsi="Times New Roman"/>
          <w:sz w:val="24"/>
          <w:szCs w:val="24"/>
        </w:rPr>
        <w:t>, sendo preciso apresentar que o Maranhão foi um dos primeiros Estados que logo no inicio do sistema adotaram tal meio em sua capital.</w:t>
      </w:r>
    </w:p>
    <w:p>
      <w:pPr>
        <w:pStyle w:val="style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No dia 8 de maio de 2011, o Conselho Nacional de Justiça doou 70 computadores, que serão utilizados no processo de virtualização dos  juizados especiais do estado, com a perspectiva dos juizados especiais de São Luís estarem aptos operarem a tramitação virtual através no meio digital, já que hoje apenas o 11 juizado do Anil esta apto.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hanging="0" w:left="1701" w:right="0"/>
        <w:jc w:val="both"/>
      </w:pPr>
      <w:r>
        <w:rPr>
          <w:rFonts w:ascii="Times New Roman" w:cs="Times New Roman" w:hAnsi="Times New Roman"/>
          <w:sz w:val="20"/>
          <w:szCs w:val="20"/>
        </w:rPr>
        <w:t>O Juizado de Especial de Trânsito (Vila Palmeira), o 4º Juizado Especial Cível e das Relações de Consumo (Cohab) e o Juizado Especial Cível e Criminal (São José de Ribamar) já receberam treinamento sobre o uso do sistema. Esta semana, funcionários do 1º, 8º e 9º Juizado Especial Cível e das Relações de Consumo, dos bairros Centro, São Francisco e Canto da Fabril, estão em treinamento na Escola Superior da Magistratura – ESMAM</w:t>
      </w:r>
      <w:r>
        <w:rPr>
          <w:rFonts w:ascii="Times New Roman" w:hAnsi="Times New Roman"/>
          <w:sz w:val="20"/>
          <w:szCs w:val="20"/>
        </w:rPr>
        <w:t>( Colins, Andrea)</w:t>
      </w:r>
    </w:p>
    <w:p>
      <w:pPr>
        <w:pStyle w:val="style0"/>
        <w:spacing w:line="360" w:lineRule="auto"/>
        <w:ind w:hanging="0" w:left="1701" w:right="0"/>
        <w:jc w:val="both"/>
      </w:pPr>
      <w:r>
        <w:rPr>
          <w:rFonts w:ascii="Times New Roman" w:cs="Times New Roman" w:hAnsi="Times New Roman"/>
          <w:sz w:val="20"/>
          <w:szCs w:val="20"/>
        </w:rPr>
      </w:r>
    </w:p>
    <w:p>
      <w:pPr>
        <w:pStyle w:val="style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Outros Juizados Especiais serão treinados para que o PROJUDI possa ser implantado, com o objetivo de auxiliar o processo de digitalização do processo de tramitação das ações, sendo que está implantação é feita de forma gratuita, já que tal sistema foi desenvolvido com o software voltado à web ou internet que oferece um meio digital para a tramitação de processos judiciais.</w:t>
      </w:r>
    </w:p>
    <w:p>
      <w:pPr>
        <w:pStyle w:val="style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Enquanto ao seu funcionamento é feita de forma simples e muito segura, os advogados ou pessoas interessadas no ingresso de processos podem fazer via internet ou dirigir-se ao setor de atendimento dos juizados, uma vez feitos os pedidos serão ingressados automaticamente por meio eletrônico, com distribuição e cadastramento automático do processo, a partir dessa forma todos os meio serão utilizados dispensando os papeis, o que implicará em um meio ágil e eficaz de resolver os problemas.</w:t>
      </w:r>
    </w:p>
    <w:p>
      <w:pPr>
        <w:pStyle w:val="style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É imprescindível salientar que somente usuários cadastrados terão acesso ao sistema, podendo usar a internet para realizar as consultas e atos de pratica processual ou ate mesmo na sede do Juizado Especial </w:t>
      </w:r>
    </w:p>
    <w:p>
      <w:pPr>
        <w:pStyle w:val="style31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CONCLUSÃO: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>Este trabalho teve o intuito de mostrar o conceito de PROJUDI  e seu funcionamento no mundo jurídico, logo após foi mostrado a relação com a NTICs (novas tecnologias de informação e comunicação) para que fosse esclarecido como esse novo sistema tecnológico possa funcionar de maneira eficaz, simples e provocando a celeridade processual.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>Logo após foi explicitado com tal sistema tecnológico vem sendo aplicado dentro do Poder Judiciário do Estado do Maranhão, mostrando que tal sistema é utilizado de maneira que proporcione maior celeridade, e facilidade de manuseio e informações processuais para os advogados e cidadãos, obtendo obviamente seu cadastro.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>O novo sistema tecnológico é imprescindível para o desenvolvimento e aprimoramento, no caso das formas judiciais para que a facilidade e conhecimento chegue cada vez mais rápido, ``desentupindo`` cada vez mais a quantidade de processos pendentes que com o uso apenas de papeis provocava uma dificuldade enquanto a rapidez de resolução dos processos.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Portanto é possível verificar a importância que a tecnologia vem alcançando e tornando-se indispensável para o cotidiano e, no trabalho em especifico, para a vida jurídica que consequentemente acarreta uma simplicidade  e rapidez nos casos necessários. 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REFERENCIAS BIBLIOGRAFICAS: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CONSULTORIA EM TECNOLOGIA EMPRESARIAL E JURIDICA- PROJUDI BRASIL. </w:t>
      </w:r>
      <w:r>
        <w:rPr>
          <w:rFonts w:ascii="Times New Roman" w:cs="Times New Roman" w:hAnsi="Times New Roman"/>
          <w:b/>
          <w:sz w:val="24"/>
          <w:szCs w:val="24"/>
        </w:rPr>
        <w:t>PROJUDI Maranhão.</w:t>
      </w:r>
      <w:r>
        <w:rPr>
          <w:rFonts w:ascii="Times New Roman" w:cs="Times New Roman" w:hAnsi="Times New Roman"/>
          <w:sz w:val="24"/>
          <w:szCs w:val="24"/>
        </w:rPr>
        <w:t xml:space="preserve">Acesso&lt;  </w:t>
      </w:r>
      <w:hyperlink r:id="rId2">
        <w:r>
          <w:rPr>
            <w:rStyle w:val="style16"/>
            <w:rFonts w:ascii="Times New Roman" w:cs="Times New Roman" w:hAnsi="Times New Roman"/>
            <w:sz w:val="24"/>
            <w:szCs w:val="24"/>
          </w:rPr>
          <w:t>http://www.projudibrasil.com.br/projudi/jurisdicao/projudi_MA.asp</w:t>
        </w:r>
      </w:hyperlink>
      <w:r>
        <w:rPr>
          <w:rFonts w:ascii="Times New Roman" w:cs="Times New Roman" w:hAnsi="Times New Roman"/>
          <w:sz w:val="24"/>
          <w:szCs w:val="24"/>
        </w:rPr>
        <w:t>&gt; Acesso em 21 de maio de 2011.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hAnsi="Times New Roman"/>
          <w:sz w:val="24"/>
          <w:szCs w:val="24"/>
        </w:rPr>
        <w:t>COLINS, Andéa.Portal do Poder Judiciario do Estado do Maranhão</w:t>
      </w:r>
      <w:r>
        <w:rPr>
          <w:rFonts w:ascii="Times New Roman" w:cs="Times New Roman" w:hAnsi="Times New Roman"/>
          <w:b/>
          <w:sz w:val="24"/>
          <w:szCs w:val="24"/>
        </w:rPr>
        <w:t>.TJ implementa virtualização dos processos nos Juizados Especiais.</w:t>
      </w:r>
      <w:r>
        <w:rPr>
          <w:rFonts w:ascii="Times New Roman" w:cs="Times New Roman" w:hAnsi="Times New Roman"/>
          <w:sz w:val="24"/>
          <w:szCs w:val="24"/>
        </w:rPr>
        <w:t xml:space="preserve"> Acesso&lt;</w:t>
      </w:r>
      <w:r>
        <w:rPr/>
        <w:t xml:space="preserve"> </w:t>
      </w:r>
      <w:hyperlink r:id="rId3">
        <w:r>
          <w:rPr>
            <w:rStyle w:val="style16"/>
            <w:rFonts w:ascii="Times New Roman" w:cs="Times New Roman" w:hAnsi="Times New Roman"/>
            <w:sz w:val="24"/>
            <w:szCs w:val="24"/>
          </w:rPr>
          <w:t>http://www.tj.ma.gov.br/site/principal/conteudo.php?conteudo=10397</w:t>
        </w:r>
      </w:hyperlink>
      <w:r>
        <w:rPr>
          <w:rFonts w:ascii="Times New Roman" w:cs="Times New Roman" w:hAnsi="Times New Roman"/>
          <w:sz w:val="24"/>
          <w:szCs w:val="24"/>
        </w:rPr>
        <w:t>&gt; em 21 de maio de 2011.</w:t>
      </w:r>
    </w:p>
    <w:sectPr>
      <w:footnotePr>
        <w:numFmt w:val="decimal"/>
      </w:footnote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2"/>
        <w:jc w:val="both"/>
      </w:pPr>
      <w:r>
        <w:rPr>
          <w:rStyle w:val="style18"/>
          <w:rFonts w:ascii="Times New Roman" w:hAnsi="Times New Roman"/>
        </w:rPr>
        <w:footnoteRef/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Acadêmica do segundo período de direito da Unidade de Ensino Superior Dom Bosco - UNDB</w:t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Texto de balão Char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footnote reference"/>
    <w:next w:val="style18"/>
    <w:rPr>
      <w:vertAlign w:val="superscript"/>
    </w:rPr>
  </w:style>
  <w:style w:styleId="style19" w:type="character">
    <w:name w:val="Texto de nota de rodapé Char"/>
    <w:basedOn w:val="style15"/>
    <w:next w:val="style19"/>
    <w:rPr>
      <w:rFonts w:ascii="Liberation Serif" w:cs="Times New Roman" w:eastAsia="DejaVu Sans" w:hAnsi="Liberation Serif"/>
      <w:sz w:val="20"/>
      <w:szCs w:val="20"/>
    </w:rPr>
  </w:style>
  <w:style w:styleId="style20" w:type="character">
    <w:name w:val="Caracteres de nota de rodapé"/>
    <w:next w:val="style20"/>
    <w:rPr/>
  </w:style>
  <w:style w:styleId="style21" w:type="character">
    <w:name w:val="Âncora da nota de rodapé"/>
    <w:next w:val="style21"/>
    <w:rPr>
      <w:vertAlign w:val="superscript"/>
    </w:rPr>
  </w:style>
  <w:style w:styleId="style22" w:type="character">
    <w:name w:val="Âncora da nota de fim"/>
    <w:next w:val="style22"/>
    <w:rPr>
      <w:vertAlign w:val="superscript"/>
    </w:rPr>
  </w:style>
  <w:style w:styleId="style23" w:type="character">
    <w:name w:val="Caracteres de nota de fim"/>
    <w:next w:val="style23"/>
    <w:rPr/>
  </w:style>
  <w:style w:styleId="style24" w:type="paragraph">
    <w:name w:val="Título"/>
    <w:basedOn w:val="style0"/>
    <w:next w:val="style2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5" w:type="paragraph">
    <w:name w:val="Corpo do texto"/>
    <w:basedOn w:val="style0"/>
    <w:next w:val="style25"/>
    <w:pPr>
      <w:spacing w:after="120" w:before="0"/>
      <w:contextualSpacing w:val="false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Legenda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Índice"/>
    <w:basedOn w:val="style0"/>
    <w:next w:val="style28"/>
    <w:pPr>
      <w:suppressLineNumbers/>
    </w:pPr>
    <w:rPr>
      <w:rFonts w:cs="Mangal"/>
    </w:rPr>
  </w:style>
  <w:style w:styleId="style29" w:type="paragraph">
    <w:name w:val="Normal (Web)"/>
    <w:basedOn w:val="style0"/>
    <w:next w:val="style29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1" w:type="paragraph">
    <w:name w:val="List Paragraph"/>
    <w:basedOn w:val="style0"/>
    <w:next w:val="style31"/>
    <w:pPr>
      <w:spacing w:after="200" w:before="0"/>
      <w:ind w:hanging="0" w:left="720" w:right="0"/>
      <w:contextualSpacing/>
    </w:pPr>
    <w:rPr/>
  </w:style>
  <w:style w:styleId="style32" w:type="paragraph">
    <w:name w:val="footnote text"/>
    <w:basedOn w:val="style0"/>
    <w:next w:val="style32"/>
    <w:pPr>
      <w:widowControl w:val="false"/>
      <w:suppressLineNumbers/>
      <w:suppressAutoHyphens w:val="true"/>
      <w:spacing w:after="0" w:before="0" w:line="100" w:lineRule="atLeast"/>
      <w:ind w:hanging="283" w:left="283" w:right="0"/>
      <w:contextualSpacing w:val="false"/>
    </w:pPr>
    <w:rPr>
      <w:rFonts w:ascii="Liberation Serif" w:cs="Times New Roman" w:eastAsia="DejaVu Sans" w:hAnsi="Liberation Serif"/>
      <w:sz w:val="20"/>
      <w:szCs w:val="20"/>
    </w:rPr>
  </w:style>
  <w:style w:styleId="style33" w:type="paragraph">
    <w:name w:val="Nota de rodapé"/>
    <w:basedOn w:val="style0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judibrasil.com.br/projudi/jurisdicao/projudi_MA.asp" TargetMode="External"/><Relationship Id="rId3" Type="http://schemas.openxmlformats.org/officeDocument/2006/relationships/hyperlink" Target="http://www.tj.ma.gov.br/site/principal/conteudo.php?conteudo=10397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2011-05-22T19:03:00.00Z</dcterms:created>
  <dc:creator>Milena Castro</dc:creator>
  <cp:lastModifiedBy>Daniela</cp:lastModifiedBy>
  <dcterms:modified xsi:type="dcterms:W3CDTF">2011-05-23T05:52:00.00Z</dcterms:modified>
  <cp:revision>11</cp:revision>
</cp:coreProperties>
</file>