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95" w:rsidRDefault="00206E08" w:rsidP="00E7363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TRIBUTAÇÃO NO SETOR DE SAÚDE COMO ENTRAVE DE EFETIVIDADE DA POLÍTICA DE SAÚDE PÚBLICA NO BRASIL</w:t>
      </w:r>
    </w:p>
    <w:p w:rsidR="00C60695" w:rsidRPr="00602821" w:rsidRDefault="00C60695" w:rsidP="00E73632">
      <w:pPr>
        <w:jc w:val="center"/>
        <w:rPr>
          <w:rFonts w:ascii="Arial" w:hAnsi="Arial" w:cs="Arial"/>
          <w:b/>
          <w:sz w:val="28"/>
          <w:szCs w:val="28"/>
        </w:rPr>
      </w:pPr>
    </w:p>
    <w:p w:rsidR="00C60695" w:rsidRPr="00602821" w:rsidRDefault="00206E08" w:rsidP="00206E0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Juliana Dias GAZONE</w:t>
      </w:r>
      <w:r w:rsidR="00C60695" w:rsidRPr="00602821">
        <w:rPr>
          <w:rStyle w:val="Refdenotaderodap"/>
          <w:rFonts w:ascii="Arial" w:hAnsi="Arial" w:cs="Arial"/>
        </w:rPr>
        <w:footnoteReference w:id="2"/>
      </w:r>
    </w:p>
    <w:p w:rsidR="00C60695" w:rsidRPr="00602821" w:rsidRDefault="00C60695" w:rsidP="00602821">
      <w:pPr>
        <w:spacing w:line="360" w:lineRule="auto"/>
        <w:jc w:val="right"/>
        <w:rPr>
          <w:rFonts w:ascii="Arial" w:hAnsi="Arial" w:cs="Arial"/>
        </w:rPr>
      </w:pPr>
    </w:p>
    <w:p w:rsidR="00C60695" w:rsidRPr="00602821" w:rsidRDefault="00C60695" w:rsidP="00602821">
      <w:pPr>
        <w:spacing w:line="360" w:lineRule="auto"/>
        <w:jc w:val="right"/>
        <w:rPr>
          <w:rFonts w:ascii="Arial" w:hAnsi="Arial" w:cs="Arial"/>
        </w:rPr>
      </w:pPr>
    </w:p>
    <w:p w:rsidR="00C37CE1" w:rsidRDefault="00C37CE1" w:rsidP="00C37CE1">
      <w:pPr>
        <w:spacing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No corpo da Constituição Federal, especificamente no artigo 199, a saúde é tratada como um direito fundamental, sendo assegurada como um direito para todos e um dever estritamente o Estado. Visa salientar que a saúde além de representar o estado ela é tratada como uma garantia</w:t>
      </w:r>
      <w:r w:rsidR="009E2F58">
        <w:rPr>
          <w:rFonts w:ascii="Arial" w:hAnsi="Arial" w:cs="Arial"/>
        </w:rPr>
        <w:t xml:space="preserve"> é</w:t>
      </w:r>
      <w:r>
        <w:rPr>
          <w:rFonts w:ascii="Arial" w:hAnsi="Arial" w:cs="Arial"/>
        </w:rPr>
        <w:t xml:space="preserve"> uma prerrogativa atribuída a todo ser humano.</w:t>
      </w:r>
    </w:p>
    <w:p w:rsidR="009E2F58" w:rsidRDefault="009E2F58" w:rsidP="00C37CE1">
      <w:pPr>
        <w:spacing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que um país se desenvolva de maneira correta é necessário de que seja atribuída aos cidadãos a oportunidade de eles possam fazer suas escolhas e exercer a sua cidadania. </w:t>
      </w:r>
    </w:p>
    <w:p w:rsidR="00C37CE1" w:rsidRDefault="009E2F58" w:rsidP="00C37CE1">
      <w:pPr>
        <w:spacing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tributação é um meio de instrumento para que se alcance os objetivos do nosso país e para que se tenha a concretização dos princípios, ou seja, os tributos são destinados especificadamente para que se possa servir como instrumento </w:t>
      </w:r>
      <w:r w:rsidR="00C835CA">
        <w:rPr>
          <w:rFonts w:ascii="Arial" w:hAnsi="Arial" w:cs="Arial"/>
        </w:rPr>
        <w:t>concretizador tanto das exigências materiais quanto das exigências imateriais  dos componentes da textura social.</w:t>
      </w:r>
    </w:p>
    <w:p w:rsidR="00C835CA" w:rsidRDefault="00C835CA" w:rsidP="00C37CE1">
      <w:pPr>
        <w:spacing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tributação em si tem como objetivo no fortalecimento da expressão da cidadania e da valoração da dignidade da pessoa humana.</w:t>
      </w:r>
    </w:p>
    <w:p w:rsidR="00C835CA" w:rsidRDefault="004573F4" w:rsidP="00C37CE1">
      <w:pPr>
        <w:spacing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No caso da saúde pública no Brasil a tributação pode ser considerada como um obstáculo na efetividade da política de saúde pública, sendo que se torna menor, menos intenso em favor, em vantagem da finalidade fiscal.</w:t>
      </w:r>
    </w:p>
    <w:p w:rsidR="00CF298A" w:rsidRDefault="00CF298A" w:rsidP="00CF298A">
      <w:pPr>
        <w:spacing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auxílio para a saúde é de livre iniciativa privada, que se é expandida com os estímulos do Estado. Esses estímulos caracterizam um sistema de saúde pluralista onde visam que o</w:t>
      </w:r>
      <w:r w:rsidR="00DA4050">
        <w:rPr>
          <w:rFonts w:ascii="Arial" w:hAnsi="Arial" w:cs="Arial"/>
        </w:rPr>
        <w:t xml:space="preserve"> Sistema Único de Saúde</w:t>
      </w:r>
      <w:r>
        <w:rPr>
          <w:rFonts w:ascii="Arial" w:hAnsi="Arial" w:cs="Arial"/>
        </w:rPr>
        <w:t xml:space="preserve"> </w:t>
      </w:r>
      <w:r w:rsidR="00DA4050">
        <w:rPr>
          <w:rFonts w:ascii="Arial" w:hAnsi="Arial" w:cs="Arial"/>
        </w:rPr>
        <w:t>(</w:t>
      </w:r>
      <w:r>
        <w:rPr>
          <w:rFonts w:ascii="Arial" w:hAnsi="Arial" w:cs="Arial"/>
        </w:rPr>
        <w:t>SUS</w:t>
      </w:r>
      <w:r w:rsidR="00DA405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deve ser atribuído à todos, de forma gratuita e que seja financiado pelos impostos e contribuições, visam também que os planos privados devem ser de vinculação eletiva e que devem ser financiados com recursos das famílias e/ou empregadores, e por último o segmento aos servidores públicos, civis, militares e os seus dependentes devem ser </w:t>
      </w:r>
      <w:r>
        <w:rPr>
          <w:rFonts w:ascii="Arial" w:hAnsi="Arial" w:cs="Arial"/>
        </w:rPr>
        <w:lastRenderedPageBreak/>
        <w:t>financiados por recursos públicos</w:t>
      </w:r>
      <w:r w:rsidR="00AC489F">
        <w:rPr>
          <w:rFonts w:ascii="Arial" w:hAnsi="Arial" w:cs="Arial"/>
        </w:rPr>
        <w:t xml:space="preserve"> e dos beneficiários, geralmente atendidos na rede privada.</w:t>
      </w:r>
    </w:p>
    <w:p w:rsidR="00DA4050" w:rsidRDefault="00AC489F" w:rsidP="00DA4050">
      <w:pPr>
        <w:spacing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Seria de extrema importância de que o Estado assegurasse o mercado para que não se produza distorções na efetividade de direitos reais, pois na maioria dos casos as empresas colaboradoras de bens e serviços prestados à saúde somente visam o lucro que passa ser atribuídas à elas e não na necessidade das pessoas, onde o direito fundamental disposto par</w:t>
      </w:r>
      <w:r w:rsidR="00DA4050">
        <w:rPr>
          <w:rFonts w:ascii="Arial" w:hAnsi="Arial" w:cs="Arial"/>
        </w:rPr>
        <w:t>a tais não acaba sendo atendido.</w:t>
      </w:r>
    </w:p>
    <w:p w:rsidR="00DA4050" w:rsidRDefault="00DA4050" w:rsidP="00DA4050">
      <w:pPr>
        <w:spacing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Lei n. 8.080/90 que foi alterada pela Lei n. 12.401/2011 não faz parâmetro para a inserção dos prestadores privados no SUS, ela somente regula as ações e serviços à saúde.</w:t>
      </w:r>
    </w:p>
    <w:p w:rsidR="00DA4050" w:rsidRDefault="00DA4050" w:rsidP="00DA4050">
      <w:pPr>
        <w:spacing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Os princípios e diretrizes do SUS são complementados pelas leis estaduais e municipais.</w:t>
      </w:r>
    </w:p>
    <w:p w:rsidR="00DA4050" w:rsidRDefault="001A0DAF" w:rsidP="00DA4050">
      <w:pPr>
        <w:spacing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 agora serão comentados alguns julgados sobre as principais controvérsias acerca da incidência da tributação nos serviços de saúde.</w:t>
      </w:r>
    </w:p>
    <w:p w:rsidR="001A0DAF" w:rsidRDefault="001A0DAF" w:rsidP="00DA4050">
      <w:pPr>
        <w:spacing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primeiro julgado diz respeito a cobrança diferenciada do Imposto de Renda Pessoa Jurídica e da Constituição Social sobre o Lucro Líquido, onde diz que a base de cálculo para ambos os tributos é de 32%, só que para as empresas que prestam serviços hospitalares a base é de 8% no IRPJ  e de 12% na CSLL. Aqui a controvérsia está no que se baseia a expressão “serviços hospitalares”, onde em 2009 o STJ deixou claro de que serviços hospitalares são aqueles que se vinculam às atividades desenvolvidas pelos hospitais, voltados a promoção da saúde.</w:t>
      </w:r>
    </w:p>
    <w:p w:rsidR="00955D6D" w:rsidRDefault="001A0DAF" w:rsidP="00955D6D">
      <w:pPr>
        <w:spacing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segundo julgado se diz respeito na exclusão de medicamentos da base de cálculo do PIS de da COFINS incidentes sobre o faturamento decorren</w:t>
      </w:r>
      <w:r w:rsidR="00955D6D">
        <w:rPr>
          <w:rFonts w:ascii="Arial" w:hAnsi="Arial" w:cs="Arial"/>
        </w:rPr>
        <w:t>t</w:t>
      </w:r>
      <w:r>
        <w:rPr>
          <w:rFonts w:ascii="Arial" w:hAnsi="Arial" w:cs="Arial"/>
        </w:rPr>
        <w:t>e da prestação de serviços</w:t>
      </w:r>
      <w:r w:rsidR="00955D6D">
        <w:rPr>
          <w:rFonts w:ascii="Arial" w:hAnsi="Arial" w:cs="Arial"/>
        </w:rPr>
        <w:t xml:space="preserve">, aqui o debate é referente á COFINS e á contribuição para o PIS está na tomada e compensação de créditos referentes a operações de aquisição de medicamentos e de conjuntos diagnósticos, denominados kit laboratoriais. Neste caso o STJ tratou desse assunto no que se refere á exclusão de medicamentos da base de cálculos e ficou decidido que seria incabível a aplicação da alíquota zero pois a os hospitais e clínicas não tem como atividade a venda de medicamentos, pois a sua atividade se diz respeitos a prestação de serviços a terceiros. Sendo assim o entendimento do STJ foi que </w:t>
      </w:r>
      <w:r w:rsidR="00326CD2">
        <w:rPr>
          <w:rFonts w:ascii="Arial" w:hAnsi="Arial" w:cs="Arial"/>
        </w:rPr>
        <w:t>os medicamentos insumos imprescindíveis ao desempenho da atividade de tais entidades hospitalares, integrariam o seu custo.</w:t>
      </w:r>
    </w:p>
    <w:p w:rsidR="00326CD2" w:rsidRDefault="00326CD2" w:rsidP="00955D6D">
      <w:pPr>
        <w:spacing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terceiro julgado é sobre o recolhimento das contribuições previdenciárias pelas operadoras de planos de saúde como ônus do profissional ou empresa que recebe pela prestação do serviço. A polêmica observada neste caso é sobre às contribuições previdenciárias, pois está no fato de que cabe ás operadoras de planos de saúde o recolhimento das contribuições referentes aos valores repassados aos médicos que prestam atendimentos aos seus clientes. Neste caso só incidirá a contribuição previdenciária sobre os valores dos médicos cooperados.</w:t>
      </w:r>
    </w:p>
    <w:p w:rsidR="006331B6" w:rsidRDefault="006331B6" w:rsidP="00955D6D">
      <w:pPr>
        <w:spacing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quarto julgado é sobre o debate da cobrança do ISS sobre serviços prestados por sociedades médicas, onde a discussão é sobre a relação da cobrança do ISS sobre os serviços prestados por sociedades uniprofissionais, inclusive por sociedades médicas.Neste julgado o STJ tem reconhecido a forma especial de tributação apenas para sociedades simples, mas também foi firmado de que as sociedades constituídas exclusivamente por médicos afastassem o caráter empresarial.</w:t>
      </w:r>
    </w:p>
    <w:p w:rsidR="006331B6" w:rsidRDefault="006331B6" w:rsidP="006331B6">
      <w:pPr>
        <w:spacing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quinto e último julgado a ser debatido é sobre a incidência do ICMS nas importações de aparelhos médico-hospitalares, onde no artigo 155, inciso IX do </w:t>
      </w:r>
      <w:r w:rsidRPr="006331B6">
        <w:rPr>
          <w:rFonts w:ascii="Arial" w:hAnsi="Arial" w:cs="Arial"/>
          <w:color w:val="000000"/>
          <w:shd w:val="clear" w:color="auto" w:fill="FFFFFF"/>
        </w:rPr>
        <w:t>§ 2º da Constituiçã</w:t>
      </w:r>
      <w:r>
        <w:rPr>
          <w:rFonts w:ascii="Arial" w:hAnsi="Arial" w:cs="Arial"/>
        </w:rPr>
        <w:t xml:space="preserve">o Federal previa que o ICMS era devido a entrada de mercadoria, mesmo quando se tratasse de bem destinado a consumo ou ativo fixo do estabelecimento. Entretanto, por meio da Súmula 660 do STF concedeu ao artigo citado acima uma interpretação de que não haveria incidência do referido imposto quando o adquirente do produto importado não viesse a ser contribuinte do imposto. </w:t>
      </w:r>
    </w:p>
    <w:p w:rsidR="00C60695" w:rsidRDefault="00C60695" w:rsidP="00F65BB6">
      <w:pPr>
        <w:spacing w:after="120" w:line="360" w:lineRule="auto"/>
        <w:ind w:firstLine="1418"/>
        <w:jc w:val="both"/>
        <w:rPr>
          <w:rFonts w:ascii="Arial" w:hAnsi="Arial" w:cs="Arial"/>
        </w:rPr>
      </w:pPr>
    </w:p>
    <w:p w:rsidR="005A4136" w:rsidRDefault="005A4136" w:rsidP="00F65BB6">
      <w:pPr>
        <w:spacing w:after="120" w:line="360" w:lineRule="auto"/>
        <w:jc w:val="both"/>
        <w:rPr>
          <w:rFonts w:ascii="Arial" w:hAnsi="Arial" w:cs="Arial"/>
          <w:b/>
        </w:rPr>
      </w:pPr>
    </w:p>
    <w:p w:rsidR="005A4136" w:rsidRDefault="005A4136" w:rsidP="00F65BB6">
      <w:pPr>
        <w:spacing w:after="120" w:line="360" w:lineRule="auto"/>
        <w:jc w:val="both"/>
        <w:rPr>
          <w:rFonts w:ascii="Arial" w:hAnsi="Arial" w:cs="Arial"/>
          <w:b/>
        </w:rPr>
      </w:pPr>
    </w:p>
    <w:p w:rsidR="005A4136" w:rsidRDefault="005A4136" w:rsidP="00F65BB6">
      <w:pPr>
        <w:spacing w:after="120" w:line="360" w:lineRule="auto"/>
        <w:jc w:val="both"/>
        <w:rPr>
          <w:rFonts w:ascii="Arial" w:hAnsi="Arial" w:cs="Arial"/>
          <w:b/>
        </w:rPr>
      </w:pPr>
    </w:p>
    <w:p w:rsidR="005A4136" w:rsidRDefault="005A4136" w:rsidP="00F65BB6">
      <w:pPr>
        <w:spacing w:after="120" w:line="360" w:lineRule="auto"/>
        <w:jc w:val="both"/>
        <w:rPr>
          <w:rFonts w:ascii="Arial" w:hAnsi="Arial" w:cs="Arial"/>
          <w:b/>
        </w:rPr>
      </w:pPr>
    </w:p>
    <w:p w:rsidR="005A4136" w:rsidRDefault="005A4136" w:rsidP="00F65BB6">
      <w:pPr>
        <w:spacing w:after="120" w:line="360" w:lineRule="auto"/>
        <w:jc w:val="both"/>
        <w:rPr>
          <w:rFonts w:ascii="Arial" w:hAnsi="Arial" w:cs="Arial"/>
          <w:b/>
        </w:rPr>
      </w:pPr>
    </w:p>
    <w:p w:rsidR="005A4136" w:rsidRDefault="005A4136" w:rsidP="00F65BB6">
      <w:pPr>
        <w:spacing w:after="120" w:line="360" w:lineRule="auto"/>
        <w:jc w:val="both"/>
        <w:rPr>
          <w:rFonts w:ascii="Arial" w:hAnsi="Arial" w:cs="Arial"/>
          <w:b/>
        </w:rPr>
      </w:pPr>
    </w:p>
    <w:p w:rsidR="005A4136" w:rsidRDefault="005A4136" w:rsidP="00F65BB6">
      <w:pPr>
        <w:spacing w:after="120" w:line="360" w:lineRule="auto"/>
        <w:jc w:val="both"/>
        <w:rPr>
          <w:rFonts w:ascii="Arial" w:hAnsi="Arial" w:cs="Arial"/>
          <w:b/>
        </w:rPr>
      </w:pPr>
    </w:p>
    <w:p w:rsidR="005A4136" w:rsidRDefault="005A4136" w:rsidP="00F65BB6">
      <w:pPr>
        <w:spacing w:after="120" w:line="360" w:lineRule="auto"/>
        <w:jc w:val="both"/>
        <w:rPr>
          <w:rFonts w:ascii="Arial" w:hAnsi="Arial" w:cs="Arial"/>
          <w:b/>
        </w:rPr>
      </w:pPr>
    </w:p>
    <w:p w:rsidR="00C60695" w:rsidRPr="00F65BB6" w:rsidRDefault="00C60695" w:rsidP="00F65BB6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REFERÊNCIAS BIBLIOGRÁFICAS</w:t>
      </w:r>
    </w:p>
    <w:p w:rsidR="00C60695" w:rsidRDefault="00C60695" w:rsidP="006E4978">
      <w:pPr>
        <w:spacing w:after="120" w:line="360" w:lineRule="auto"/>
        <w:jc w:val="both"/>
        <w:rPr>
          <w:rFonts w:ascii="Arial" w:hAnsi="Arial" w:cs="Arial"/>
        </w:rPr>
      </w:pPr>
    </w:p>
    <w:p w:rsidR="00C60695" w:rsidRDefault="00C60695" w:rsidP="006E4978">
      <w:pPr>
        <w:spacing w:after="120" w:line="360" w:lineRule="auto"/>
        <w:jc w:val="both"/>
        <w:rPr>
          <w:rFonts w:ascii="Arial" w:hAnsi="Arial" w:cs="Arial"/>
        </w:rPr>
      </w:pPr>
    </w:p>
    <w:p w:rsidR="00C60695" w:rsidRDefault="00C60695" w:rsidP="006E49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BRASIL. Constituição (1988). </w:t>
      </w:r>
      <w:r>
        <w:rPr>
          <w:rFonts w:ascii="Arial" w:hAnsi="Arial" w:cs="Arial"/>
          <w:b/>
        </w:rPr>
        <w:t xml:space="preserve">Constituição da República Federativa do Brasil. </w:t>
      </w:r>
      <w:r>
        <w:rPr>
          <w:rFonts w:ascii="Arial" w:hAnsi="Arial" w:cs="Arial"/>
        </w:rPr>
        <w:t>Brasília: Senado, 1988.</w:t>
      </w:r>
    </w:p>
    <w:p w:rsidR="00A22C81" w:rsidRDefault="00A22C81" w:rsidP="006E4978">
      <w:pPr>
        <w:rPr>
          <w:rFonts w:ascii="Arial" w:hAnsi="Arial" w:cs="Arial"/>
        </w:rPr>
      </w:pPr>
    </w:p>
    <w:p w:rsidR="00A22C81" w:rsidRPr="00A22C81" w:rsidRDefault="00A22C81" w:rsidP="006E497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HADASSAH, Laís de Souza Santana. </w:t>
      </w:r>
      <w:r>
        <w:rPr>
          <w:rFonts w:ascii="Arial" w:hAnsi="Arial" w:cs="Arial"/>
          <w:b/>
        </w:rPr>
        <w:t>A tributação no setor de saúde como entrave de efetividade da política de Saúde Pública no Brasil.</w:t>
      </w:r>
    </w:p>
    <w:p w:rsidR="00C60695" w:rsidRPr="006E4978" w:rsidRDefault="00C60695" w:rsidP="006E4978">
      <w:pPr>
        <w:rPr>
          <w:rFonts w:ascii="Arial" w:hAnsi="Arial" w:cs="Arial"/>
        </w:rPr>
      </w:pPr>
    </w:p>
    <w:sectPr w:rsidR="00C60695" w:rsidRPr="006E4978" w:rsidSect="006E4978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C10" w:rsidRDefault="00093C10">
      <w:r>
        <w:separator/>
      </w:r>
    </w:p>
  </w:endnote>
  <w:endnote w:type="continuationSeparator" w:id="1">
    <w:p w:rsidR="00093C10" w:rsidRDefault="00093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C10" w:rsidRDefault="00093C10">
      <w:r>
        <w:separator/>
      </w:r>
    </w:p>
  </w:footnote>
  <w:footnote w:type="continuationSeparator" w:id="1">
    <w:p w:rsidR="00093C10" w:rsidRDefault="00093C10">
      <w:r>
        <w:continuationSeparator/>
      </w:r>
    </w:p>
  </w:footnote>
  <w:footnote w:id="2">
    <w:p w:rsidR="00C60695" w:rsidRDefault="00C60695" w:rsidP="00E73632">
      <w:pPr>
        <w:pStyle w:val="Textodenotaderodap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DDF"/>
    <w:rsid w:val="00093C10"/>
    <w:rsid w:val="001510C2"/>
    <w:rsid w:val="001A0DAF"/>
    <w:rsid w:val="00206E08"/>
    <w:rsid w:val="00326CD2"/>
    <w:rsid w:val="003576B4"/>
    <w:rsid w:val="004573F4"/>
    <w:rsid w:val="005A4136"/>
    <w:rsid w:val="005E5C9C"/>
    <w:rsid w:val="00602821"/>
    <w:rsid w:val="006331B6"/>
    <w:rsid w:val="00650F6E"/>
    <w:rsid w:val="00692747"/>
    <w:rsid w:val="006E4978"/>
    <w:rsid w:val="00955D6D"/>
    <w:rsid w:val="00985980"/>
    <w:rsid w:val="009E2F58"/>
    <w:rsid w:val="00A22C81"/>
    <w:rsid w:val="00AC489F"/>
    <w:rsid w:val="00B35DDF"/>
    <w:rsid w:val="00B767E6"/>
    <w:rsid w:val="00C37CE1"/>
    <w:rsid w:val="00C60695"/>
    <w:rsid w:val="00C835CA"/>
    <w:rsid w:val="00CF298A"/>
    <w:rsid w:val="00DA4050"/>
    <w:rsid w:val="00E179A2"/>
    <w:rsid w:val="00E73632"/>
    <w:rsid w:val="00F6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63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rsid w:val="00E7363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786A"/>
  </w:style>
  <w:style w:type="character" w:styleId="Refdenotaderodap">
    <w:name w:val="footnote reference"/>
    <w:basedOn w:val="Fontepargpadro"/>
    <w:uiPriority w:val="99"/>
    <w:semiHidden/>
    <w:rsid w:val="00E7363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TÍTULO TÍTULO TÍTULO</vt:lpstr>
    </vt:vector>
  </TitlesOfParts>
  <Company>Associação Educacional Toledo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TÍTULO TÍTULO TÍTULO</dc:title>
  <dc:creator>gilmarap</dc:creator>
  <cp:lastModifiedBy>Micro</cp:lastModifiedBy>
  <cp:revision>4</cp:revision>
  <dcterms:created xsi:type="dcterms:W3CDTF">2013-04-03T22:48:00Z</dcterms:created>
  <dcterms:modified xsi:type="dcterms:W3CDTF">2013-04-04T01:14:00Z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820020026</vt:i4>
  </property>
  <property fmtid="{D5CDD505-2E9C-101B-9397-08002B2CF9AE}" pid="3" name="_EmailSubject">
    <vt:lpwstr>arquivos para o encontro de iniciação</vt:lpwstr>
  </property>
  <property fmtid="{D5CDD505-2E9C-101B-9397-08002B2CF9AE}" pid="4" name="_AuthorEmail">
    <vt:lpwstr>intertemaseletronica@unitoledo.br</vt:lpwstr>
  </property>
  <property fmtid="{D5CDD505-2E9C-101B-9397-08002B2CF9AE}" pid="5" name="_AuthorEmailDisplayName">
    <vt:lpwstr>Intertemas Eletronica</vt:lpwstr>
  </property>
  <property fmtid="{D5CDD505-2E9C-101B-9397-08002B2CF9AE}" pid="6" name="_ReviewingToolsShownOnce">
    <vt:lpwstr/>
  </property>
</Properties>
</file>