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E1" w:rsidRDefault="003B7BE1" w:rsidP="003B7BE1">
      <w:pPr>
        <w:pStyle w:val="Ttulo1"/>
      </w:pPr>
      <w:bookmarkStart w:id="0" w:name="_Toc367958079"/>
      <w:bookmarkStart w:id="1" w:name="_Toc367961734"/>
      <w:r w:rsidRPr="00370B73">
        <w:t>1. Serviço Público</w:t>
      </w:r>
      <w:bookmarkEnd w:id="0"/>
      <w:bookmarkEnd w:id="1"/>
      <w:r w:rsidRPr="00370B73">
        <w:t xml:space="preserve"> </w:t>
      </w:r>
    </w:p>
    <w:p w:rsidR="003B7BE1" w:rsidRDefault="003B7BE1" w:rsidP="003B7BE1">
      <w:pPr>
        <w:ind w:firstLine="0"/>
      </w:pPr>
    </w:p>
    <w:p w:rsidR="003B7BE1" w:rsidRDefault="003B7BE1" w:rsidP="003B7BE1">
      <w:r>
        <w:t xml:space="preserve">Não é uma tarefa nada fácil conceituar serviço público. A doutrina se divide pelas definições e dificulta a obtenção de uma uniformidade conceitual. </w:t>
      </w:r>
    </w:p>
    <w:p w:rsidR="003B7BE1" w:rsidRDefault="003B7BE1" w:rsidP="003B7BE1">
      <w:pPr>
        <w:rPr>
          <w:i/>
        </w:rPr>
      </w:pPr>
      <w:r>
        <w:t xml:space="preserve">A Constituição Federal de 1988 investe ao Poder </w:t>
      </w:r>
      <w:proofErr w:type="gramStart"/>
      <w:r>
        <w:t>Público a titularidade da prestação do serviço público estatuindo no art.</w:t>
      </w:r>
      <w:proofErr w:type="gramEnd"/>
      <w:r>
        <w:t xml:space="preserve"> 175 que esta prestação pode ser executada de forma direta pelo Estado ou indiretamente por concessão ou perm</w:t>
      </w:r>
      <w:r>
        <w:t xml:space="preserve">issão mediante licitação prévia, </w:t>
      </w:r>
      <w:r>
        <w:rPr>
          <w:i/>
        </w:rPr>
        <w:t xml:space="preserve">in </w:t>
      </w:r>
      <w:proofErr w:type="spellStart"/>
      <w:r>
        <w:rPr>
          <w:i/>
        </w:rPr>
        <w:t>verbis</w:t>
      </w:r>
      <w:proofErr w:type="spellEnd"/>
      <w:r>
        <w:rPr>
          <w:i/>
        </w:rPr>
        <w:t>:</w:t>
      </w:r>
    </w:p>
    <w:p w:rsidR="003B7BE1" w:rsidRDefault="003B7BE1" w:rsidP="003B7BE1">
      <w:pPr>
        <w:pStyle w:val="Citao"/>
        <w:rPr>
          <w:rStyle w:val="Refdenotaderodap"/>
          <w:vertAlign w:val="baseline"/>
        </w:rPr>
      </w:pPr>
    </w:p>
    <w:p w:rsidR="003B7BE1" w:rsidRPr="003B7BE1" w:rsidRDefault="003B7BE1" w:rsidP="003B7BE1">
      <w:pPr>
        <w:pStyle w:val="Citao"/>
      </w:pPr>
      <w:r>
        <w:rPr>
          <w:rStyle w:val="Refdenotaderodap"/>
          <w:vertAlign w:val="baseline"/>
        </w:rPr>
        <w:t>“</w:t>
      </w:r>
      <w:r w:rsidRPr="003B7BE1">
        <w:t xml:space="preserve">Art. 175. Incumbe ao Poder Público, na forma da lei, diretamente ou </w:t>
      </w:r>
      <w:proofErr w:type="gramStart"/>
      <w:r w:rsidRPr="003B7BE1">
        <w:t>sob regime</w:t>
      </w:r>
      <w:proofErr w:type="gramEnd"/>
      <w:r w:rsidRPr="003B7BE1">
        <w:t xml:space="preserve"> de concessão ou permissão, sempre através de licitação, a prestação de serviços públicos.</w:t>
      </w:r>
    </w:p>
    <w:p w:rsidR="003B7BE1" w:rsidRPr="003B7BE1" w:rsidRDefault="003B7BE1" w:rsidP="003B7BE1">
      <w:pPr>
        <w:pStyle w:val="Citao"/>
      </w:pPr>
      <w:r w:rsidRPr="003B7BE1">
        <w:t>Parágrafo único. A lei disporá sobre:</w:t>
      </w:r>
    </w:p>
    <w:p w:rsidR="003B7BE1" w:rsidRPr="003B7BE1" w:rsidRDefault="003B7BE1" w:rsidP="003B7BE1">
      <w:pPr>
        <w:pStyle w:val="Citao"/>
      </w:pPr>
      <w:r w:rsidRPr="003B7BE1">
        <w:t>I - o regime das empresas concessionárias e permissionárias de serviços públicos, o caráter especial de seu contrato e de sua prorrogação, bem como as condições de caducidade, fiscalização e rescisão da concessão ou permissão;</w:t>
      </w:r>
    </w:p>
    <w:p w:rsidR="003B7BE1" w:rsidRPr="003B7BE1" w:rsidRDefault="003B7BE1" w:rsidP="003B7BE1">
      <w:pPr>
        <w:pStyle w:val="Citao"/>
      </w:pPr>
      <w:r w:rsidRPr="003B7BE1">
        <w:t>II - os direitos dos usuários;</w:t>
      </w:r>
    </w:p>
    <w:p w:rsidR="003B7BE1" w:rsidRPr="003B7BE1" w:rsidRDefault="003B7BE1" w:rsidP="003B7BE1">
      <w:pPr>
        <w:pStyle w:val="Citao"/>
      </w:pPr>
      <w:r w:rsidRPr="003B7BE1">
        <w:t>III - política tarifária;</w:t>
      </w:r>
    </w:p>
    <w:p w:rsidR="003B7BE1" w:rsidRDefault="003B7BE1" w:rsidP="003B7BE1">
      <w:pPr>
        <w:pStyle w:val="Citao"/>
      </w:pPr>
      <w:proofErr w:type="gramStart"/>
      <w:r w:rsidRPr="003B7BE1">
        <w:t>IV - a obrigação de manter serviço adequado.</w:t>
      </w:r>
      <w:bookmarkStart w:id="2" w:name="176"/>
      <w:bookmarkEnd w:id="2"/>
      <w:r>
        <w:t>”</w:t>
      </w:r>
      <w:proofErr w:type="gramEnd"/>
    </w:p>
    <w:p w:rsidR="003B7BE1" w:rsidRPr="003B7BE1" w:rsidRDefault="003B7BE1" w:rsidP="003B7BE1">
      <w:pPr>
        <w:rPr>
          <w:lang w:eastAsia="en-US"/>
        </w:rPr>
      </w:pPr>
    </w:p>
    <w:p w:rsidR="003B7BE1" w:rsidRDefault="003B7BE1" w:rsidP="003B7BE1">
      <w:r>
        <w:t xml:space="preserve">Alguns autores adotam o conceito amplo de serviço público, outros defendem o conceito restrito. Como não há concordância doutrinária acerca da conceituação, analisaremos os conceitos amplo e restrito para chegarmos à conclusão da melhor definição para este trabalho. Nas duas formas, em geral, utilizam-se de três elementos para a definição: o material, o formal e o subjetivo. </w:t>
      </w:r>
    </w:p>
    <w:p w:rsidR="003B7BE1" w:rsidRDefault="003B7BE1" w:rsidP="003B7BE1">
      <w:r>
        <w:t>No que concerne ao sentido amplo, Maria Sylvia Zanella Di Pietro</w:t>
      </w:r>
      <w:r>
        <w:rPr>
          <w:rStyle w:val="Refdenotaderodap"/>
        </w:rPr>
        <w:footnoteReference w:id="1"/>
      </w:r>
      <w:r>
        <w:t xml:space="preserve"> explica que as noções pioneiras de serviço público nasceram na França, com a chamada Escola de Serviço Público, e foram tão amplas que algumas delas abrangiam todas as atividades exercidas pelo Estado.</w:t>
      </w:r>
    </w:p>
    <w:p w:rsidR="003B7BE1" w:rsidRPr="00C42AE2" w:rsidRDefault="003B7BE1" w:rsidP="003B7BE1">
      <w:r>
        <w:t xml:space="preserve">Leon </w:t>
      </w:r>
      <w:proofErr w:type="spellStart"/>
      <w:r>
        <w:t>Duguit</w:t>
      </w:r>
      <w:proofErr w:type="spellEnd"/>
      <w:r>
        <w:t xml:space="preserve"> considerava o serviço público como atividade ou organização, em sentido amplo, abrangendo todas as funções estatais, por </w:t>
      </w:r>
      <w:r>
        <w:lastRenderedPageBreak/>
        <w:t xml:space="preserve">considerar que sua prestação é missão primordial do Poder Público. A amplitude de seu conceito era tamanha que pretendeu substituir a noção de soberania pela de serviço público, dizendo que o Estado é uma cooperação de serviços públicos organizados e fiscalizados pelos governantes. </w:t>
      </w:r>
    </w:p>
    <w:p w:rsidR="003B7BE1" w:rsidRDefault="003B7BE1" w:rsidP="003B7BE1">
      <w:r>
        <w:t xml:space="preserve">Com efeito, o sentido amplo define o serviço público sendo tudo aquilo de que cuida o aparelho governamental e que tem por objetivo final propiciar o bem-estar para a coletividade. </w:t>
      </w:r>
    </w:p>
    <w:p w:rsidR="003B7BE1" w:rsidRDefault="003B7BE1" w:rsidP="003B7BE1">
      <w:r>
        <w:t>Hely Lopes Meirelles conceitua de maneira ampla, como segue:</w:t>
      </w:r>
    </w:p>
    <w:p w:rsidR="003B7BE1" w:rsidRDefault="003B7BE1" w:rsidP="003B7BE1"/>
    <w:p w:rsidR="003B7BE1" w:rsidRPr="00061D25" w:rsidRDefault="003B7BE1" w:rsidP="003B7BE1">
      <w:pPr>
        <w:pStyle w:val="Citao"/>
      </w:pPr>
      <w:proofErr w:type="gramStart"/>
      <w:r w:rsidRPr="00061D25">
        <w:t>“O conceito de serviço público</w:t>
      </w:r>
      <w:proofErr w:type="gramEnd"/>
      <w:r w:rsidRPr="00061D25">
        <w:t xml:space="preserve"> não é uniforme na doutrina, que ora nos oferece uma noção orgânica, só considerando como tal o que é prestado por órgãos públicos; ora nos apresenta uma conceituação formal, tendente a identifica-lo por características extrínsecas; ora nos expõe um conceito material, visando a defini-lo por seu objeto. Realmente, o conceito de serviço público é variável e flutua ao sabor das necessidades e contingências políticas, econômicas, sociais e culturais de cada comunidade, em cada momento histórico, como acentuam os modernos </w:t>
      </w:r>
      <w:proofErr w:type="spellStart"/>
      <w:r w:rsidRPr="00061D25">
        <w:t>publicistas</w:t>
      </w:r>
      <w:proofErr w:type="spellEnd"/>
      <w:r w:rsidRPr="00061D25">
        <w:t>. Eis o nosso conceito:</w:t>
      </w:r>
    </w:p>
    <w:p w:rsidR="003B7BE1" w:rsidRPr="00061D25" w:rsidRDefault="003B7BE1" w:rsidP="003B7BE1">
      <w:pPr>
        <w:pStyle w:val="Citao"/>
      </w:pPr>
      <w:r w:rsidRPr="00061D25">
        <w:t>“Serviço público é todo aquele prestado pela Administração ou por seus delegados, sob normas e controles estatais, para satisfazer necessidades essenciais ou secundárias da coletividade ou simples conveniências do Estado”</w:t>
      </w:r>
      <w:r>
        <w:t>.</w:t>
      </w:r>
      <w:proofErr w:type="gramStart"/>
      <w:r w:rsidRPr="00061D25">
        <w:rPr>
          <w:rStyle w:val="Refdenotaderodap"/>
        </w:rPr>
        <w:footnoteReference w:id="2"/>
      </w:r>
      <w:proofErr w:type="gramEnd"/>
    </w:p>
    <w:p w:rsidR="003B7BE1" w:rsidRDefault="003B7BE1" w:rsidP="003B7BE1"/>
    <w:p w:rsidR="003B7BE1" w:rsidRDefault="003B7BE1" w:rsidP="003B7BE1">
      <w:r>
        <w:t xml:space="preserve">Por mais amplo que seja ainda é mais restrito que outros doutrinadores visto que se refere à Administração e não ao Estado como um todo e, desta forma, exclui as atividades legislativa e jurisdicional. O autor também não difere o poder de polícia do serviço público e abrange todas as atividades exercidas pela Administração Pública. </w:t>
      </w:r>
    </w:p>
    <w:p w:rsidR="003B7BE1" w:rsidRDefault="003B7BE1" w:rsidP="003B7BE1">
      <w:r>
        <w:t>Quanto ao sentido restrito, temos que a atividade é prestada pela Administração. Valmir Pontes ensina:</w:t>
      </w:r>
    </w:p>
    <w:p w:rsidR="003B7BE1" w:rsidRDefault="003B7BE1" w:rsidP="003B7BE1"/>
    <w:p w:rsidR="003B7BE1" w:rsidRDefault="003B7BE1" w:rsidP="003B7BE1">
      <w:pPr>
        <w:pStyle w:val="Citao"/>
      </w:pPr>
      <w:r>
        <w:t xml:space="preserve">“Tendo em vista essas noções, já podemos formular um conceito amplo, genérico, ou lato, dos serviços públicos, por esta forma: serviços públicos </w:t>
      </w:r>
      <w:r>
        <w:lastRenderedPageBreak/>
        <w:t>são todos os serviços que o Estado presta à comunidade, em quaisquer setores da sua atividade (executivo, legislativo e judiciário), para a realização prática de fins sociais. E desse conceito amplo, ainda é possível extrair um conceito estrito, ou próprio, dos serviços públicos, segundo o qual estes são os serviços prestados pela administração pública, diretamente ou através de autarquias, empresas públicas, sociedades de economia mista e entidades particulares, destas mediante concessão ou permissão, sempre no interesse ou em benefício da coletividade”.</w:t>
      </w:r>
      <w:proofErr w:type="gramStart"/>
      <w:r>
        <w:rPr>
          <w:rStyle w:val="Refdenotaderodap"/>
        </w:rPr>
        <w:footnoteReference w:id="3"/>
      </w:r>
      <w:proofErr w:type="gramEnd"/>
    </w:p>
    <w:p w:rsidR="003B7BE1" w:rsidRDefault="003B7BE1" w:rsidP="003B7BE1"/>
    <w:p w:rsidR="003B7BE1" w:rsidRDefault="003B7BE1" w:rsidP="003B7BE1">
      <w:r>
        <w:t xml:space="preserve">A conceituação supramencionada mostra que os serviços públicos em sentido estrito, os proporcionados pela administração em benefício da coletividade, é que são suscetíveis de serem concedidos. </w:t>
      </w:r>
    </w:p>
    <w:p w:rsidR="003B7BE1" w:rsidRDefault="003B7BE1" w:rsidP="003B7BE1">
      <w:r>
        <w:t>Maria Sylvia Zanella Di Pietro</w:t>
      </w:r>
      <w:r>
        <w:rPr>
          <w:rStyle w:val="Refdenotaderodap"/>
        </w:rPr>
        <w:footnoteReference w:id="4"/>
      </w:r>
      <w:r>
        <w:t xml:space="preserve"> ensina que o sentido restrito confina o serviço público entre as atividades exercidas pela Administração Pública, com exclusão das funções legislativa e jurisdicional, e considera como uma das atividades administrativas distinta do poder de polícia do Estado. Parte-se da diferenciação entre atividade jurídica e atividade social. </w:t>
      </w:r>
    </w:p>
    <w:p w:rsidR="003B7BE1" w:rsidRDefault="003B7BE1" w:rsidP="003B7BE1">
      <w:r>
        <w:t xml:space="preserve">Celso </w:t>
      </w:r>
      <w:proofErr w:type="spellStart"/>
      <w:r>
        <w:t>Antonio</w:t>
      </w:r>
      <w:proofErr w:type="spellEnd"/>
      <w:r>
        <w:t xml:space="preserve"> Bandeira de Mello adota o sentido restrito:</w:t>
      </w:r>
    </w:p>
    <w:p w:rsidR="003B7BE1" w:rsidRDefault="003B7BE1" w:rsidP="003B7BE1"/>
    <w:p w:rsidR="003B7BE1" w:rsidRPr="0041791E" w:rsidRDefault="003B7BE1" w:rsidP="003B7BE1">
      <w:pPr>
        <w:pStyle w:val="Citao"/>
      </w:pPr>
      <w:r>
        <w:t xml:space="preserve">“Serviço Público é toda atividade de oferecimento de utilidade ou comodidade material destinada à satisfação da coletividade em geral, mas </w:t>
      </w:r>
      <w:proofErr w:type="spellStart"/>
      <w:r>
        <w:t>fruível</w:t>
      </w:r>
      <w:proofErr w:type="spellEnd"/>
      <w:r>
        <w:t xml:space="preserve"> singularmente pelos administrados, que o Estado assume como pertinente a seus deveres e presta por si mesmo ou por quem lhe faça </w:t>
      </w:r>
      <w:proofErr w:type="gramStart"/>
      <w:r>
        <w:t>as</w:t>
      </w:r>
      <w:proofErr w:type="gramEnd"/>
      <w:r>
        <w:t xml:space="preserve"> vezes, sob um regime de Direito Público – portanto, consagrador de prerrogativas de supremacia e de restrições especiais – , instituído em favor dos interesses definidos como públicos no sistema normativo”.</w:t>
      </w:r>
      <w:r>
        <w:rPr>
          <w:rStyle w:val="Refdenotaderodap"/>
        </w:rPr>
        <w:footnoteReference w:id="5"/>
      </w:r>
    </w:p>
    <w:p w:rsidR="003B7BE1" w:rsidRDefault="003B7BE1" w:rsidP="003B7BE1"/>
    <w:p w:rsidR="003B7BE1" w:rsidRDefault="003B7BE1" w:rsidP="003B7BE1">
      <w:r>
        <w:t xml:space="preserve">O autor considera o fundamento material, o qual consiste na prestação de utilidade ou comodidade desfrutável diretamente pelos administrados; e o fundamento formal que lhe dá noção jurídica, estribando-se em um regime </w:t>
      </w:r>
      <w:r>
        <w:lastRenderedPageBreak/>
        <w:t>jurídico de direito público, composto por princípios e regras caracterizadas pela supremacia do interesse público sobre o particular e por restrições parciais.</w:t>
      </w:r>
      <w:proofErr w:type="gramStart"/>
      <w:r>
        <w:rPr>
          <w:rStyle w:val="Refdenotaderodap"/>
        </w:rPr>
        <w:footnoteReference w:id="6"/>
      </w:r>
      <w:proofErr w:type="gramEnd"/>
    </w:p>
    <w:p w:rsidR="003B7BE1" w:rsidRDefault="003B7BE1" w:rsidP="003B7BE1">
      <w:r>
        <w:t xml:space="preserve">Também </w:t>
      </w:r>
      <w:proofErr w:type="gramStart"/>
      <w:r>
        <w:t>é</w:t>
      </w:r>
      <w:proofErr w:type="gramEnd"/>
      <w:r>
        <w:t xml:space="preserve"> considerado neste conceito os interesses que o Estado definir como próprios no sistema normativo. Com efeito, é o Estado que, através do Poder Legislativo, constitui ou não em serviço público determinada atividade, respeitando os limites constitucionais. </w:t>
      </w:r>
    </w:p>
    <w:p w:rsidR="003B7BE1" w:rsidRDefault="003B7BE1" w:rsidP="003B7BE1">
      <w:r>
        <w:t xml:space="preserve">Porém, a expressão “utilidade ou comodidade </w:t>
      </w:r>
      <w:proofErr w:type="spellStart"/>
      <w:r>
        <w:t>fruível</w:t>
      </w:r>
      <w:proofErr w:type="spellEnd"/>
      <w:r>
        <w:t xml:space="preserve"> diretamente pelos administrados” restringe demasiadamente o conceito. Nessa esteira, os serviços públicos seriam, por exemplo, o de água, o de transportes, o de telecomunicações, o de energia elétrica, pois são desfrutáveis diretamente pelos administrados. </w:t>
      </w:r>
    </w:p>
    <w:p w:rsidR="003B7BE1" w:rsidRDefault="003B7BE1" w:rsidP="003B7BE1">
      <w:r>
        <w:t xml:space="preserve">Contudo, existem outras espécies de serviços que são considerados públicos, mas não é por isso que a coletividade possa usufruir deles diretamente, por exemplo: serviços administrativos prestados internamente. </w:t>
      </w:r>
    </w:p>
    <w:p w:rsidR="003B7BE1" w:rsidRDefault="003B7BE1" w:rsidP="003B7BE1">
      <w:r>
        <w:t xml:space="preserve">Com a pesquisa e entre os conceitos defendidos pelos diversos autores aqui apresentados, esse trabalho adotará como conceito de serviço público a definição ensinada por Hely Lopes Meirelles, sendo a definição mais ampla dentre os doutrinadores, é o que defende a mutabilidade constante do serviço pela persecução do interesse público sempre </w:t>
      </w:r>
      <w:proofErr w:type="gramStart"/>
      <w:r>
        <w:t>sob normas</w:t>
      </w:r>
      <w:proofErr w:type="gramEnd"/>
      <w:r>
        <w:t xml:space="preserve"> e controle estatal. </w:t>
      </w:r>
    </w:p>
    <w:p w:rsidR="003B7BE1" w:rsidRPr="0081109A" w:rsidRDefault="003B7BE1" w:rsidP="003B7BE1">
      <w:pPr>
        <w:rPr>
          <w:b/>
          <w:caps/>
        </w:rPr>
      </w:pPr>
    </w:p>
    <w:p w:rsidR="003B7BE1" w:rsidRPr="0081109A" w:rsidRDefault="003B7BE1" w:rsidP="003B7BE1">
      <w:pPr>
        <w:rPr>
          <w:b/>
          <w:caps/>
        </w:rPr>
      </w:pPr>
    </w:p>
    <w:p w:rsidR="003B7BE1" w:rsidRPr="003B3272" w:rsidRDefault="003B7BE1" w:rsidP="003B7BE1">
      <w:pPr>
        <w:pStyle w:val="Ttulo2"/>
      </w:pPr>
      <w:bookmarkStart w:id="3" w:name="_Toc367958080"/>
      <w:bookmarkStart w:id="4" w:name="_Toc367961735"/>
      <w:r w:rsidRPr="003B3272">
        <w:t>1.2 Elementos da Definição</w:t>
      </w:r>
      <w:bookmarkEnd w:id="3"/>
      <w:bookmarkEnd w:id="4"/>
    </w:p>
    <w:p w:rsidR="003B7BE1" w:rsidRPr="00B36855" w:rsidRDefault="003B7BE1" w:rsidP="003B7BE1">
      <w:pPr>
        <w:pStyle w:val="Ttulo2"/>
      </w:pPr>
    </w:p>
    <w:p w:rsidR="003B7BE1" w:rsidRPr="00370B73" w:rsidRDefault="003B7BE1" w:rsidP="003B7BE1">
      <w:pPr>
        <w:pStyle w:val="Ttulo2"/>
      </w:pPr>
      <w:bookmarkStart w:id="5" w:name="_Toc367958081"/>
      <w:bookmarkStart w:id="6" w:name="_Toc367961736"/>
      <w:r w:rsidRPr="00370B73">
        <w:t>1.2.1 Elemento Subjetivo</w:t>
      </w:r>
      <w:bookmarkEnd w:id="5"/>
      <w:bookmarkEnd w:id="6"/>
      <w:r w:rsidRPr="00370B73">
        <w:t xml:space="preserve"> </w:t>
      </w:r>
    </w:p>
    <w:p w:rsidR="003B7BE1" w:rsidRDefault="003B7BE1" w:rsidP="003B7BE1">
      <w:pPr>
        <w:ind w:left="567" w:firstLine="0"/>
      </w:pPr>
    </w:p>
    <w:p w:rsidR="003B7BE1" w:rsidRDefault="003B7BE1" w:rsidP="003B7BE1">
      <w:r>
        <w:t xml:space="preserve">Como previsto na Constituição Federal no art. 175, o serviço público é dever do Estado e sempre depende do Poder Público. </w:t>
      </w:r>
    </w:p>
    <w:p w:rsidR="003B7BE1" w:rsidRDefault="003B7BE1" w:rsidP="003B7BE1">
      <w:r>
        <w:t xml:space="preserve">A criação do serviço público é feita por lei e caberá ao Estado </w:t>
      </w:r>
      <w:proofErr w:type="gramStart"/>
      <w:r>
        <w:t>a</w:t>
      </w:r>
      <w:proofErr w:type="gramEnd"/>
      <w:r>
        <w:t xml:space="preserve"> execução de determinada atividade não dependendo da iniciativa privada, dada a importância para a coletividade. </w:t>
      </w:r>
    </w:p>
    <w:p w:rsidR="003B7BE1" w:rsidRDefault="003B7BE1" w:rsidP="003B7BE1">
      <w:r>
        <w:t xml:space="preserve">A administração da atividade também é tarefa do Estado. Contudo, poderá fazê-lo de forma direta (por meio dos próprios órgãos que compõem a </w:t>
      </w:r>
      <w:r>
        <w:lastRenderedPageBreak/>
        <w:t>Administração Pública centralizada da União, Estados e Municípios) ou indiretamente, por meio de concessão ou permissão, ou de pessoas jurídicas criadas pelo Estado com essa finalidade.</w:t>
      </w:r>
      <w:proofErr w:type="gramStart"/>
      <w:r>
        <w:rPr>
          <w:rStyle w:val="Refdenotaderodap"/>
        </w:rPr>
        <w:footnoteReference w:id="7"/>
      </w:r>
      <w:proofErr w:type="gramEnd"/>
    </w:p>
    <w:p w:rsidR="003B7BE1" w:rsidRDefault="003B7BE1" w:rsidP="003B7BE1">
      <w:r>
        <w:t xml:space="preserve">Portanto, o elemento subjetivo define o serviço público como sendo incumbência do Estado o criar e gerir diretamente ou indiretamente. </w:t>
      </w:r>
    </w:p>
    <w:p w:rsidR="003B7BE1" w:rsidRDefault="003B7BE1" w:rsidP="003B7BE1"/>
    <w:p w:rsidR="003B7BE1" w:rsidRPr="00BD4D6F" w:rsidRDefault="003B7BE1" w:rsidP="003B7BE1"/>
    <w:p w:rsidR="003B7BE1" w:rsidRPr="00370B73" w:rsidRDefault="003B7BE1" w:rsidP="003B7BE1">
      <w:pPr>
        <w:pStyle w:val="Ttulo2"/>
      </w:pPr>
      <w:bookmarkStart w:id="7" w:name="_Toc367958082"/>
      <w:bookmarkStart w:id="8" w:name="_Toc367961737"/>
      <w:r w:rsidRPr="00370B73">
        <w:t>1.2.2 Elemento Formal</w:t>
      </w:r>
      <w:bookmarkEnd w:id="7"/>
      <w:bookmarkEnd w:id="8"/>
    </w:p>
    <w:p w:rsidR="003B7BE1" w:rsidRDefault="003B7BE1" w:rsidP="003B7BE1"/>
    <w:p w:rsidR="003B7BE1" w:rsidRDefault="003B7BE1" w:rsidP="003B7BE1">
      <w:r>
        <w:t>Este elemento considera o regime jurídico, ou melhor, é a submissão a um regime de Direito Público, o regime jurídico-administrativo, que confere caráter jurídico à noção de serviço público.</w:t>
      </w:r>
      <w:proofErr w:type="gramStart"/>
      <w:r>
        <w:rPr>
          <w:rStyle w:val="Refdenotaderodap"/>
        </w:rPr>
        <w:footnoteReference w:id="8"/>
      </w:r>
      <w:proofErr w:type="gramEnd"/>
      <w:r>
        <w:t xml:space="preserve"> </w:t>
      </w:r>
    </w:p>
    <w:p w:rsidR="003B7BE1" w:rsidRDefault="003B7BE1" w:rsidP="003B7BE1">
      <w:r>
        <w:t xml:space="preserve">Porém, o regime jurídico de direito público será para os casos de serviços não comerciais ou industriais. Nesse caso, os agentes são estatutários, os bens são públicos e </w:t>
      </w:r>
      <w:proofErr w:type="gramStart"/>
      <w:r>
        <w:t>as decisões detém</w:t>
      </w:r>
      <w:proofErr w:type="gramEnd"/>
      <w:r>
        <w:t xml:space="preserve"> os atributos do ato administrativo, em especial a presunção de veracidade e a </w:t>
      </w:r>
      <w:proofErr w:type="spellStart"/>
      <w:r>
        <w:t>executoriedade</w:t>
      </w:r>
      <w:proofErr w:type="spellEnd"/>
      <w:r>
        <w:t xml:space="preserve">. A responsabilidade será objetiva e os contratos serão regidos pelo direito administrativo. </w:t>
      </w:r>
    </w:p>
    <w:p w:rsidR="003B7BE1" w:rsidRDefault="003B7BE1" w:rsidP="003B7BE1">
      <w:r>
        <w:t xml:space="preserve">Por óbvio, </w:t>
      </w:r>
      <w:proofErr w:type="gramStart"/>
      <w:r>
        <w:t>a utilização dos institutos do direito privado não estão</w:t>
      </w:r>
      <w:proofErr w:type="gramEnd"/>
      <w:r>
        <w:t xml:space="preserve"> excluídos em determinados casos como: contratos de locação, comodato, </w:t>
      </w:r>
      <w:proofErr w:type="spellStart"/>
      <w:r>
        <w:t>efiteuse</w:t>
      </w:r>
      <w:proofErr w:type="spellEnd"/>
      <w:r>
        <w:t>, compra e venda.</w:t>
      </w:r>
      <w:r>
        <w:rPr>
          <w:rStyle w:val="Refdenotaderodap"/>
        </w:rPr>
        <w:footnoteReference w:id="9"/>
      </w:r>
      <w:r>
        <w:t xml:space="preserve"> </w:t>
      </w:r>
    </w:p>
    <w:p w:rsidR="003B7BE1" w:rsidRDefault="003B7BE1" w:rsidP="003B7BE1">
      <w:r>
        <w:t xml:space="preserve">Contudo, em se tratando de serviços comerciais e industriais, o seu regime jurídico é o de direito comum (civil e comercial), podendo ser anulado pelo direito administrativo. Os funcionários estarão submetidos ao direito do trabalho, os bens afetados à realização do serviço público se equiparam aos bens públicos de uso especial, responsabilidade objetiva (art. 37, §6º, CF). </w:t>
      </w:r>
    </w:p>
    <w:p w:rsidR="003B7BE1" w:rsidRDefault="003B7BE1" w:rsidP="003B7BE1">
      <w:r>
        <w:t xml:space="preserve">No que diz respeito à relação entre a entidade prestadora do serviço e a pessoa jurídica política aplica-se direito público. Neste caso, o regime jurídico é híbrido. </w:t>
      </w:r>
    </w:p>
    <w:p w:rsidR="003B7BE1" w:rsidRDefault="003B7BE1" w:rsidP="003B7BE1">
      <w:r>
        <w:t>Marcelo Alexandrino e Vicente Paulo entendem:</w:t>
      </w:r>
    </w:p>
    <w:p w:rsidR="003B7BE1" w:rsidRDefault="003B7BE1" w:rsidP="003B7BE1"/>
    <w:p w:rsidR="003B7BE1" w:rsidRDefault="003B7BE1" w:rsidP="003B7BE1">
      <w:pPr>
        <w:pStyle w:val="Citao"/>
      </w:pPr>
      <w:r>
        <w:lastRenderedPageBreak/>
        <w:t xml:space="preserve">“Considera serviço público qualquer atividade de oferecimento de utilidade material à coletividade, desde que, por opção do ordenamento jurídico, essa atividade deva ser desenvolvida </w:t>
      </w:r>
      <w:proofErr w:type="gramStart"/>
      <w:r>
        <w:t>sob regime</w:t>
      </w:r>
      <w:proofErr w:type="gramEnd"/>
      <w:r>
        <w:t xml:space="preserve"> de Direito Público.”</w:t>
      </w:r>
      <w:r>
        <w:rPr>
          <w:rStyle w:val="Refdenotaderodap"/>
        </w:rPr>
        <w:footnoteReference w:id="10"/>
      </w:r>
    </w:p>
    <w:p w:rsidR="003B7BE1" w:rsidRDefault="003B7BE1" w:rsidP="003B7BE1"/>
    <w:p w:rsidR="003B7BE1" w:rsidRDefault="003B7BE1" w:rsidP="003B7BE1">
      <w:r>
        <w:t xml:space="preserve">Portanto, ainda que possam ser aplicadas normas de direito privado, o serviço público é sempre prestado no regime de direito público. Os princípios a que estão submetidas </w:t>
      </w:r>
      <w:proofErr w:type="gramStart"/>
      <w:r>
        <w:t>as</w:t>
      </w:r>
      <w:proofErr w:type="gramEnd"/>
      <w:r>
        <w:t xml:space="preserve"> pessoas jurídicas de direito privado prestadoras de serviços públicos e a Administração Pública são os mesmos.</w:t>
      </w:r>
    </w:p>
    <w:p w:rsidR="003B7BE1" w:rsidRPr="00A05775" w:rsidRDefault="003B7BE1" w:rsidP="003B7BE1"/>
    <w:p w:rsidR="003B7BE1" w:rsidRPr="00370B73" w:rsidRDefault="003B7BE1" w:rsidP="003B7BE1">
      <w:pPr>
        <w:pStyle w:val="Ttulo2"/>
      </w:pPr>
      <w:bookmarkStart w:id="9" w:name="_Toc367958083"/>
      <w:bookmarkStart w:id="10" w:name="_Toc367961738"/>
      <w:r w:rsidRPr="00370B73">
        <w:t>1.2.3 Elemento Material</w:t>
      </w:r>
      <w:bookmarkEnd w:id="9"/>
      <w:bookmarkEnd w:id="10"/>
    </w:p>
    <w:p w:rsidR="003B7BE1" w:rsidRDefault="003B7BE1" w:rsidP="003B7BE1"/>
    <w:p w:rsidR="003B7BE1" w:rsidRDefault="003B7BE1" w:rsidP="003B7BE1">
      <w:r>
        <w:t xml:space="preserve">Sendo serviço público toda atividade que tem por objeto a satisfação da necessidade coletiva, esse elemento não encontra divergências doutrinárias acerca de sua definição. </w:t>
      </w:r>
    </w:p>
    <w:p w:rsidR="003B7BE1" w:rsidRDefault="003B7BE1" w:rsidP="003B7BE1">
      <w:r>
        <w:t xml:space="preserve">No serviço público o interesse geral é a finalidade exclusiva e </w:t>
      </w:r>
      <w:proofErr w:type="gramStart"/>
      <w:r>
        <w:t>extrai</w:t>
      </w:r>
      <w:proofErr w:type="gramEnd"/>
      <w:r>
        <w:t xml:space="preserve"> deste preceito algumas consequências. Maria Sylvia Zanella Di Pietro </w:t>
      </w:r>
      <w:r>
        <w:rPr>
          <w:i/>
        </w:rPr>
        <w:t xml:space="preserve">apud </w:t>
      </w:r>
      <w:proofErr w:type="spellStart"/>
      <w:r>
        <w:t>Riviero</w:t>
      </w:r>
      <w:proofErr w:type="spellEnd"/>
      <w:r>
        <w:t>:</w:t>
      </w:r>
    </w:p>
    <w:p w:rsidR="003B7BE1" w:rsidRDefault="003B7BE1" w:rsidP="003B7BE1"/>
    <w:p w:rsidR="003B7BE1" w:rsidRDefault="003B7BE1" w:rsidP="003B7BE1">
      <w:pPr>
        <w:pStyle w:val="PargrafodaLista"/>
        <w:numPr>
          <w:ilvl w:val="0"/>
          <w:numId w:val="1"/>
        </w:numPr>
      </w:pPr>
      <w:r>
        <w:t>“o serviço público, contrariamente à empresa privada, pode muito bem funcionar com prejuízo. Esta é mesmo uma das suas razões de ser: incumbe-lhe satisfazer necessidades cuja não rentabilidade afasta a empresa privada. Só a pessoa pública, por meio do imposto, pode transferir dos utentes para o conjunto das coletividades o financiamento do serviço”. A gratuidade é, pois, a regra que prevalece em inúmeros serviços (ensino, assistência social, saúde); e, mesmo nos casos em que é exigida contribuição do usuário, ela pode ser inferior ao custo. Só no caso do serviço comercial e industrial é que a própria natureza da atividade exclui a gratuidade (transportes, água, energia elétrica) e a gestão tende, no mínimo, para um equilíbrio e mesmo para um lucro que permita o autofinanciamento da empresa;</w:t>
      </w:r>
    </w:p>
    <w:p w:rsidR="003B7BE1" w:rsidRDefault="003B7BE1" w:rsidP="003B7BE1">
      <w:pPr>
        <w:pStyle w:val="PargrafodaLista"/>
        <w:numPr>
          <w:ilvl w:val="0"/>
          <w:numId w:val="1"/>
        </w:numPr>
      </w:pPr>
      <w:r>
        <w:lastRenderedPageBreak/>
        <w:t xml:space="preserve">A apreciação do que seja interesse geral é discricionária. O Poder Público pode considerar que o interesse geral exige que ele se encarregue da necessidade de satisfazer, achando-se o particular eliminado desse campo de ação, quer porque julgue que ele é particular eliminado desse campo de ação, quer porque julgue que ele é ineficaz (é o caso dos serviços de ordem pública). Nesse caso, o serviço é monopolizado. Inversamente, o poder público pode deixar que o particular </w:t>
      </w:r>
      <w:proofErr w:type="gramStart"/>
      <w:r>
        <w:t>exerça</w:t>
      </w:r>
      <w:proofErr w:type="gramEnd"/>
      <w:r>
        <w:t xml:space="preserve"> livremente a atividade, lado a lado com a Administração Pública (caso do ensino, da ação sanitária e social), repartindo entre uns e outros a satisfação da mesma necessidade. Daí a classificação dos serviços públicos em exclusivos e não exclusivos do Estado, embora, neste último caso, se trate de serviços públicos impróprios, quando prestados por </w:t>
      </w:r>
      <w:proofErr w:type="gramStart"/>
      <w:r>
        <w:t>particulares"</w:t>
      </w:r>
      <w:proofErr w:type="gramEnd"/>
      <w:r>
        <w:rPr>
          <w:rStyle w:val="Refdenotaderodap"/>
        </w:rPr>
        <w:footnoteReference w:id="11"/>
      </w:r>
      <w:r>
        <w:t>.</w:t>
      </w:r>
    </w:p>
    <w:p w:rsidR="003B7BE1" w:rsidRDefault="003B7BE1" w:rsidP="003B7BE1"/>
    <w:p w:rsidR="003B7BE1" w:rsidRDefault="003B7BE1" w:rsidP="003B7BE1">
      <w:r>
        <w:t xml:space="preserve">À vista disso, o particular pode exercer atividades de interesse público, entretanto há aspectos a serem levados em consideração. </w:t>
      </w:r>
      <w:r w:rsidRPr="00FF4218">
        <w:t>Um deles é o fato de que o objetivo do particular é seu próprio interesse e não o da coletividade; o outro fato é não ser suficiente</w:t>
      </w:r>
      <w:r>
        <w:t xml:space="preserve"> o objetivo de interesse público para caracterizar a atividade como serviço público, tendo assim que existir a lei que determine o objetivo do Estado.</w:t>
      </w:r>
      <w:proofErr w:type="gramStart"/>
      <w:r>
        <w:rPr>
          <w:rStyle w:val="Refdenotaderodap"/>
        </w:rPr>
        <w:footnoteReference w:id="12"/>
      </w:r>
      <w:proofErr w:type="gramEnd"/>
    </w:p>
    <w:p w:rsidR="003B7BE1" w:rsidRDefault="003B7BE1" w:rsidP="003B7BE1"/>
    <w:p w:rsidR="003B7BE1" w:rsidRPr="00370B73" w:rsidRDefault="003B7BE1" w:rsidP="003B7BE1">
      <w:pPr>
        <w:pStyle w:val="Ttulo2"/>
      </w:pPr>
      <w:bookmarkStart w:id="11" w:name="_Toc367958084"/>
      <w:bookmarkStart w:id="12" w:name="_Toc367961739"/>
      <w:r w:rsidRPr="00370B73">
        <w:t>1.3 Princípios Norteadores dos Serviços Públicos</w:t>
      </w:r>
      <w:bookmarkEnd w:id="11"/>
      <w:bookmarkEnd w:id="12"/>
    </w:p>
    <w:p w:rsidR="003B7BE1" w:rsidRDefault="003B7BE1" w:rsidP="003B7BE1">
      <w:pPr>
        <w:pStyle w:val="PargrafodaLista"/>
        <w:ind w:left="1129" w:firstLine="0"/>
      </w:pPr>
    </w:p>
    <w:p w:rsidR="003B7BE1" w:rsidRDefault="003B7BE1" w:rsidP="003B7BE1">
      <w:r>
        <w:t xml:space="preserve">Na doutrina pátria encontramos diferença nas enumerações e dos princípios que norteiam o serviço público. </w:t>
      </w:r>
    </w:p>
    <w:p w:rsidR="003B7BE1" w:rsidRDefault="003B7BE1" w:rsidP="003B7BE1">
      <w:r>
        <w:t xml:space="preserve">Celso </w:t>
      </w:r>
      <w:proofErr w:type="spellStart"/>
      <w:r>
        <w:t>Antonio</w:t>
      </w:r>
      <w:proofErr w:type="spellEnd"/>
      <w:r>
        <w:t xml:space="preserve"> Bandeira de Mello entende que os princípios do serviço público se constituem no aspecto formal do conceito e compõem, portanto, seu regime jurídico. Assim, ensina que os princípios são: dever irrecusável do Estado de promover-lhe a prestação, princípio da supremacia do interesse público, da adaptabilidade, da universalidade, da impessoalidade, da </w:t>
      </w:r>
      <w:r>
        <w:lastRenderedPageBreak/>
        <w:t>continuidade, da transparência, da motivação, da modicidade das tarifas e do controle.</w:t>
      </w:r>
      <w:proofErr w:type="gramStart"/>
      <w:r>
        <w:rPr>
          <w:rStyle w:val="Refdenotaderodap"/>
        </w:rPr>
        <w:footnoteReference w:id="13"/>
      </w:r>
      <w:proofErr w:type="gramEnd"/>
    </w:p>
    <w:p w:rsidR="003B7BE1" w:rsidRDefault="003B7BE1" w:rsidP="003B7BE1">
      <w:r>
        <w:t>Por outro lado, Antônio Cecílio Moreira Pires</w:t>
      </w:r>
      <w:r>
        <w:rPr>
          <w:rStyle w:val="Refdenotaderodap"/>
        </w:rPr>
        <w:footnoteReference w:id="14"/>
      </w:r>
      <w:r>
        <w:t xml:space="preserve"> acompanha o sustentáculo constitucional de Diogo de Figueiredo Moreira Neto e apresenta tais princípios vetoriais do serviço público: continuidade do serviço público, mutabilidade, igualdade do usuário, eficiência e modicidade das tarifas. </w:t>
      </w:r>
    </w:p>
    <w:p w:rsidR="003B7BE1" w:rsidRDefault="003B7BE1" w:rsidP="003B7BE1"/>
    <w:p w:rsidR="003B7BE1" w:rsidRPr="00370B73" w:rsidRDefault="003B7BE1" w:rsidP="003B7BE1">
      <w:pPr>
        <w:pStyle w:val="Ttulo2"/>
      </w:pPr>
      <w:bookmarkStart w:id="13" w:name="_Toc367958085"/>
      <w:bookmarkStart w:id="14" w:name="_Toc367961740"/>
      <w:r w:rsidRPr="00370B73">
        <w:t>1.3.1 Princípio da Continuidade do Serviço Público</w:t>
      </w:r>
      <w:bookmarkEnd w:id="13"/>
      <w:bookmarkEnd w:id="14"/>
      <w:r w:rsidRPr="00370B73">
        <w:tab/>
      </w:r>
    </w:p>
    <w:p w:rsidR="003B7BE1" w:rsidRDefault="003B7BE1" w:rsidP="003B7BE1">
      <w:pPr>
        <w:tabs>
          <w:tab w:val="right" w:pos="8504"/>
        </w:tabs>
      </w:pPr>
    </w:p>
    <w:p w:rsidR="003B7BE1" w:rsidRDefault="003B7BE1" w:rsidP="003B7BE1">
      <w:pPr>
        <w:tabs>
          <w:tab w:val="right" w:pos="8504"/>
        </w:tabs>
      </w:pPr>
      <w:r>
        <w:t>Por este princípio, o serviço público não pode sofrer interrupções ou suspensões em prejuízo aos administrados. O art. 6º, § 3º, da Lei 8.987/1995 prevê que a interrupção do serviço em situação de emergência ou após aviso prévio, por razões de ordem técnica ou de segurança das instalações e por inadimplemento do usuário, não constituem descontinuidade do serviço.</w:t>
      </w:r>
      <w:proofErr w:type="gramStart"/>
      <w:r>
        <w:rPr>
          <w:rStyle w:val="Refdenotaderodap"/>
        </w:rPr>
        <w:footnoteReference w:id="15"/>
      </w:r>
      <w:proofErr w:type="gramEnd"/>
    </w:p>
    <w:p w:rsidR="003B7BE1" w:rsidRDefault="003B7BE1" w:rsidP="003B7BE1">
      <w:r>
        <w:t>Lúcia Valle Figueiredo não tem dúvida de que este princípio conflita com o direito de greve estabelecido pelo texto constitucional, pois durante muito tempo foi proibida a greve dos servidores com fundamento nesse princípio.</w:t>
      </w:r>
      <w:proofErr w:type="gramStart"/>
      <w:r>
        <w:rPr>
          <w:rStyle w:val="Refdenotaderodap"/>
        </w:rPr>
        <w:footnoteReference w:id="16"/>
      </w:r>
      <w:proofErr w:type="gramEnd"/>
    </w:p>
    <w:p w:rsidR="003B7BE1" w:rsidRDefault="003B7BE1" w:rsidP="003B7BE1">
      <w:r>
        <w:t>É vedado ao particular, nos contratos administrativos de concessão, invocar a teoria da exceção do contrato não cumprido.</w:t>
      </w:r>
      <w:proofErr w:type="gramStart"/>
      <w:r>
        <w:rPr>
          <w:rStyle w:val="Refdenotaderodap"/>
        </w:rPr>
        <w:footnoteReference w:id="17"/>
      </w:r>
      <w:proofErr w:type="gramEnd"/>
    </w:p>
    <w:p w:rsidR="003B7BE1" w:rsidRDefault="003B7BE1" w:rsidP="003B7BE1"/>
    <w:p w:rsidR="003B7BE1" w:rsidRPr="003B3272" w:rsidRDefault="003B7BE1" w:rsidP="003B7BE1">
      <w:pPr>
        <w:pStyle w:val="Ttulo2"/>
      </w:pPr>
      <w:bookmarkStart w:id="15" w:name="_Toc367958086"/>
      <w:bookmarkStart w:id="16" w:name="_Toc367961741"/>
      <w:r w:rsidRPr="003B3272">
        <w:t>1.3.2 Princípio da Mutabilidade</w:t>
      </w:r>
      <w:bookmarkEnd w:id="15"/>
      <w:bookmarkEnd w:id="16"/>
    </w:p>
    <w:p w:rsidR="003B7BE1" w:rsidRDefault="003B7BE1" w:rsidP="003B7BE1"/>
    <w:p w:rsidR="003B7BE1" w:rsidRDefault="003B7BE1" w:rsidP="003B7BE1">
      <w:r>
        <w:t xml:space="preserve">Odete </w:t>
      </w:r>
      <w:proofErr w:type="spellStart"/>
      <w:r>
        <w:t>Medauar</w:t>
      </w:r>
      <w:proofErr w:type="spellEnd"/>
      <w:r>
        <w:t xml:space="preserve"> nomeia este princípio de “possibilidade de modificar o modo de execução</w:t>
      </w:r>
      <w:proofErr w:type="gramStart"/>
      <w:r>
        <w:t>”</w:t>
      </w:r>
      <w:proofErr w:type="gramEnd"/>
      <w:r>
        <w:rPr>
          <w:rStyle w:val="Refdenotaderodap"/>
        </w:rPr>
        <w:footnoteReference w:id="18"/>
      </w:r>
      <w:r>
        <w:t xml:space="preserve">, porém a ideia é a mesma. Ele descende do princípio da supremacia do interesse público. Conforme ocorre a variação do interesse </w:t>
      </w:r>
      <w:r>
        <w:lastRenderedPageBreak/>
        <w:t xml:space="preserve">público no decorrer da execução do serviço, esta prestação deverá adaptar-se as exigências novas, da própria vida coletiva e de modernas tecnologias. </w:t>
      </w:r>
    </w:p>
    <w:p w:rsidR="003B7BE1" w:rsidRDefault="003B7BE1" w:rsidP="003B7BE1">
      <w:r>
        <w:t xml:space="preserve">Em razão dessa mudança, os usuários e servidores não podem se </w:t>
      </w:r>
      <w:proofErr w:type="gramStart"/>
      <w:r>
        <w:t>opor</w:t>
      </w:r>
      <w:proofErr w:type="gramEnd"/>
      <w:r>
        <w:t xml:space="preserve"> as modificações que forem feitas. </w:t>
      </w:r>
      <w:proofErr w:type="spellStart"/>
      <w:r>
        <w:t>Antonio</w:t>
      </w:r>
      <w:proofErr w:type="spellEnd"/>
      <w:r>
        <w:t xml:space="preserve"> Cecílio Pires e Diógenes Gasparini</w:t>
      </w:r>
      <w:r>
        <w:rPr>
          <w:rStyle w:val="Refdenotaderodap"/>
        </w:rPr>
        <w:footnoteReference w:id="19"/>
      </w:r>
      <w:r>
        <w:t xml:space="preserve"> entendem que não há direito adquirido à manutenção de determinado regime jurídico de prestação de serviço público nem para os prestadores, nem para os usuários e nem os servidores públicos.</w:t>
      </w:r>
      <w:proofErr w:type="gramStart"/>
      <w:r>
        <w:rPr>
          <w:rStyle w:val="Refdenotaderodap"/>
        </w:rPr>
        <w:footnoteReference w:id="20"/>
      </w:r>
      <w:proofErr w:type="gramEnd"/>
    </w:p>
    <w:p w:rsidR="003B7BE1" w:rsidRDefault="003B7BE1" w:rsidP="003B7BE1"/>
    <w:p w:rsidR="003B7BE1" w:rsidRPr="003B3272" w:rsidRDefault="003B7BE1" w:rsidP="003B7BE1">
      <w:pPr>
        <w:pStyle w:val="Ttulo2"/>
      </w:pPr>
      <w:bookmarkStart w:id="17" w:name="_Toc367958087"/>
      <w:bookmarkStart w:id="18" w:name="_Toc367961742"/>
      <w:r w:rsidRPr="003B3272">
        <w:t>1.3.3 Princípio da Igualdade do Usuário</w:t>
      </w:r>
      <w:bookmarkEnd w:id="17"/>
      <w:bookmarkEnd w:id="18"/>
    </w:p>
    <w:p w:rsidR="003B7BE1" w:rsidRDefault="003B7BE1" w:rsidP="003B7BE1"/>
    <w:p w:rsidR="003B7BE1" w:rsidRDefault="003B7BE1" w:rsidP="003B7BE1">
      <w:r>
        <w:t xml:space="preserve">Desde que satisfeitas </w:t>
      </w:r>
      <w:proofErr w:type="gramStart"/>
      <w:r>
        <w:t>as</w:t>
      </w:r>
      <w:proofErr w:type="gramEnd"/>
      <w:r>
        <w:t xml:space="preserve"> condições legais, qualquer pessoa tem direito a prestação do serviço público, sem qualquer distinção pessoal. O art. 13 da Lei nº 8.987/95, prevê a possibilidade de serem estabelecidas tarifas diferenciadas “em função das características técnicas e dos custos específicos provenientes do atendimento aos distintos segmentos de usuários”. É esse dispositivo que permite a isenção da tarifa para idosos, redução para estudantes. Trata-se também do princípio da razoabilidade.</w:t>
      </w:r>
      <w:proofErr w:type="gramStart"/>
      <w:r>
        <w:rPr>
          <w:rStyle w:val="Refdenotaderodap"/>
        </w:rPr>
        <w:footnoteReference w:id="21"/>
      </w:r>
      <w:proofErr w:type="gramEnd"/>
    </w:p>
    <w:p w:rsidR="003B7BE1" w:rsidRDefault="003B7BE1" w:rsidP="003B7BE1"/>
    <w:p w:rsidR="003B7BE1" w:rsidRPr="003B3272" w:rsidRDefault="003B7BE1" w:rsidP="003B7BE1">
      <w:pPr>
        <w:pStyle w:val="Ttulo2"/>
      </w:pPr>
      <w:bookmarkStart w:id="19" w:name="_Toc367958088"/>
      <w:bookmarkStart w:id="20" w:name="_Toc367961743"/>
      <w:r w:rsidRPr="003B3272">
        <w:t>1.3.4 Princípio da Eficiência</w:t>
      </w:r>
      <w:bookmarkEnd w:id="19"/>
      <w:bookmarkEnd w:id="20"/>
      <w:r w:rsidRPr="003B3272">
        <w:t xml:space="preserve"> </w:t>
      </w:r>
    </w:p>
    <w:p w:rsidR="003B7BE1" w:rsidRDefault="003B7BE1" w:rsidP="003B7BE1"/>
    <w:p w:rsidR="003B7BE1" w:rsidRDefault="003B7BE1" w:rsidP="003B7BE1">
      <w:r>
        <w:t xml:space="preserve">Nos termos do art. 37, </w:t>
      </w:r>
      <w:r>
        <w:rPr>
          <w:i/>
        </w:rPr>
        <w:t>caput</w:t>
      </w:r>
      <w:r>
        <w:t xml:space="preserve">, da Constituição Federal, o princípio da eficiência é imposição constitucional </w:t>
      </w:r>
      <w:proofErr w:type="gramStart"/>
      <w:r>
        <w:t>à</w:t>
      </w:r>
      <w:proofErr w:type="gramEnd"/>
      <w:r>
        <w:t xml:space="preserve"> todos os entes da Administração Pública, seja direta ou indireta. </w:t>
      </w:r>
    </w:p>
    <w:p w:rsidR="003B7BE1" w:rsidRDefault="003B7BE1" w:rsidP="003B7BE1">
      <w:r>
        <w:t xml:space="preserve">Antônio Cecílio Moreira Pires </w:t>
      </w:r>
      <w:r>
        <w:rPr>
          <w:i/>
        </w:rPr>
        <w:t xml:space="preserve">apud </w:t>
      </w:r>
      <w:r>
        <w:t xml:space="preserve">Diogo de Figueiredo de Moreira Neto: </w:t>
      </w:r>
    </w:p>
    <w:p w:rsidR="003B7BE1" w:rsidRDefault="003B7BE1" w:rsidP="003B7BE1"/>
    <w:p w:rsidR="003B7BE1" w:rsidRDefault="003B7BE1" w:rsidP="003B7BE1">
      <w:pPr>
        <w:pStyle w:val="Citao"/>
      </w:pPr>
      <w:r>
        <w:t xml:space="preserve">“Uma vez atendida a </w:t>
      </w:r>
      <w:r>
        <w:rPr>
          <w:i/>
        </w:rPr>
        <w:t xml:space="preserve">eficiência </w:t>
      </w:r>
      <w:r>
        <w:t xml:space="preserve">como a melhor realização possível da prestação de serviços públicos, em termos de </w:t>
      </w:r>
      <w:r>
        <w:rPr>
          <w:i/>
        </w:rPr>
        <w:t xml:space="preserve">plena satisfação dos administrados com os menores custos para o usuário, </w:t>
      </w:r>
      <w:r>
        <w:t xml:space="preserve">ela se apresenta, simultaneamente, tanto como um atributo técnico da gestão de interesses como uma </w:t>
      </w:r>
      <w:r>
        <w:rPr>
          <w:i/>
        </w:rPr>
        <w:t xml:space="preserve">exigência ética </w:t>
      </w:r>
      <w:r>
        <w:t>a ser respeitada</w:t>
      </w:r>
      <w:proofErr w:type="gramStart"/>
      <w:r>
        <w:t>”</w:t>
      </w:r>
      <w:proofErr w:type="gramEnd"/>
      <w:r>
        <w:rPr>
          <w:rStyle w:val="Refdenotaderodap"/>
        </w:rPr>
        <w:footnoteReference w:id="22"/>
      </w:r>
      <w:r>
        <w:t>.(GRIFO DO AUTOR)</w:t>
      </w:r>
    </w:p>
    <w:p w:rsidR="003B7BE1" w:rsidRDefault="003B7BE1" w:rsidP="003B7BE1"/>
    <w:p w:rsidR="003B7BE1" w:rsidRDefault="003B7BE1" w:rsidP="003B7BE1">
      <w:r>
        <w:lastRenderedPageBreak/>
        <w:t>Esse princípio exige que o responsável pelo serviço público se preocupe em executá-lo da forma que trouxer ao usuário o melhor resultado. Por conseguinte, a observação desse princípio impõe ao Estado uma prestação de serviços com qualidade.</w:t>
      </w:r>
    </w:p>
    <w:p w:rsidR="003B7BE1" w:rsidRDefault="003B7BE1" w:rsidP="003B7BE1"/>
    <w:p w:rsidR="003B7BE1" w:rsidRPr="003B3272" w:rsidRDefault="003B7BE1" w:rsidP="003B7BE1">
      <w:pPr>
        <w:pStyle w:val="Ttulo2"/>
      </w:pPr>
      <w:bookmarkStart w:id="21" w:name="_Toc367958089"/>
      <w:bookmarkStart w:id="22" w:name="_Toc367961744"/>
      <w:r w:rsidRPr="003B3272">
        <w:t>1.3.5 Princípio da Modicidade das Tarifas</w:t>
      </w:r>
      <w:bookmarkEnd w:id="21"/>
      <w:bookmarkEnd w:id="22"/>
    </w:p>
    <w:p w:rsidR="003B7BE1" w:rsidRDefault="003B7BE1" w:rsidP="003B7BE1"/>
    <w:p w:rsidR="003B7BE1" w:rsidRDefault="003B7BE1" w:rsidP="003B7BE1">
      <w:r>
        <w:t>O art. 6º, § 1º da Lei nº 8.987/95 prevê expressamente esse princípio. A adequada observância proporcionará o mais amplo acesso ao serviço por parte de todos que dele tenham necessidade, assim também atendendo ao princípio da generalidade.</w:t>
      </w:r>
      <w:proofErr w:type="gramStart"/>
      <w:r>
        <w:rPr>
          <w:rStyle w:val="Refdenotaderodap"/>
        </w:rPr>
        <w:footnoteReference w:id="23"/>
      </w:r>
      <w:proofErr w:type="gramEnd"/>
      <w:r>
        <w:t xml:space="preserve"> </w:t>
      </w:r>
    </w:p>
    <w:p w:rsidR="003B7BE1" w:rsidRDefault="003B7BE1" w:rsidP="003B7BE1">
      <w:r>
        <w:t xml:space="preserve">Como ensina Diogo de Figueiredo Moreira Neto, há um equilíbrio financeiro a ser conjuntamente considerado: a modicidade deve beneficiar o usuário, mas, por outro lado, eles que devem arcar com </w:t>
      </w:r>
      <w:proofErr w:type="gramStart"/>
      <w:r>
        <w:t>as custas</w:t>
      </w:r>
      <w:proofErr w:type="gramEnd"/>
      <w:r>
        <w:t xml:space="preserve"> dos serviços prestados, pois não seria justo tais encargos caírem sob a coletividade em forma de impostos, por exemplo. Assim, os usuários pagam as taxas ou tarifas. </w:t>
      </w:r>
    </w:p>
    <w:p w:rsidR="003B7BE1" w:rsidRDefault="003B7BE1" w:rsidP="003B7BE1">
      <w:proofErr w:type="spellStart"/>
      <w:r>
        <w:t>Antonio</w:t>
      </w:r>
      <w:proofErr w:type="spellEnd"/>
      <w:r>
        <w:t xml:space="preserve"> Cecílio Moreira Pires </w:t>
      </w:r>
      <w:r>
        <w:rPr>
          <w:i/>
        </w:rPr>
        <w:t xml:space="preserve">apud </w:t>
      </w:r>
      <w:r>
        <w:t xml:space="preserve">Motta Espírito Santo e Maria de Lourdes de Mima </w:t>
      </w:r>
      <w:proofErr w:type="spellStart"/>
      <w:r>
        <w:t>Cançado</w:t>
      </w:r>
      <w:proofErr w:type="spellEnd"/>
      <w:r>
        <w:t xml:space="preserve">: </w:t>
      </w:r>
    </w:p>
    <w:p w:rsidR="003B7BE1" w:rsidRDefault="003B7BE1" w:rsidP="003B7BE1"/>
    <w:p w:rsidR="003B7BE1" w:rsidRDefault="003B7BE1" w:rsidP="003B7BE1">
      <w:pPr>
        <w:pStyle w:val="Citao"/>
      </w:pPr>
      <w:r>
        <w:t>“Se por um lado os preços e tarifas devem ser módicos, por outro lado não podem deixar de ser razoáveis, de modo a proporcionar a justa remuneração dos serviços prestados, permitindo-se seu melhoramento e modernização”.</w:t>
      </w:r>
      <w:proofErr w:type="gramStart"/>
      <w:r w:rsidRPr="00DF2712">
        <w:rPr>
          <w:rStyle w:val="Refdenotaderodap"/>
        </w:rPr>
        <w:t xml:space="preserve"> </w:t>
      </w:r>
      <w:r>
        <w:rPr>
          <w:rStyle w:val="Refdenotaderodap"/>
        </w:rPr>
        <w:footnoteReference w:id="24"/>
      </w:r>
      <w:proofErr w:type="gramEnd"/>
    </w:p>
    <w:p w:rsidR="003B7BE1" w:rsidRPr="00246D97" w:rsidRDefault="003B7BE1" w:rsidP="003B7BE1"/>
    <w:p w:rsidR="003B7BE1" w:rsidRDefault="003B7BE1" w:rsidP="003B7BE1">
      <w:r>
        <w:t>Deste modo, o valor dos serviços não deverá ser o único fator levado em consideração para a fixação da taxa ou tarifa, visto que o legislador constitucional previu a prática de uma política tarifária (art. 175, parágrafo único, III), que acena para a consideração política de fatores não apenas econômicos, mas também sociais.</w:t>
      </w:r>
      <w:proofErr w:type="gramStart"/>
      <w:r>
        <w:rPr>
          <w:rStyle w:val="Refdenotaderodap"/>
        </w:rPr>
        <w:footnoteReference w:id="25"/>
      </w:r>
      <w:proofErr w:type="gramEnd"/>
    </w:p>
    <w:p w:rsidR="003B7BE1" w:rsidRPr="004B485F" w:rsidRDefault="003B7BE1" w:rsidP="003B7BE1">
      <w:pPr>
        <w:ind w:firstLine="0"/>
      </w:pPr>
    </w:p>
    <w:p w:rsidR="003B7BE1" w:rsidRDefault="003B7BE1" w:rsidP="003B7BE1">
      <w:pPr>
        <w:pStyle w:val="Ttulo2"/>
        <w:pBdr>
          <w:bottom w:val="single" w:sz="6" w:space="0" w:color="C0E5F7"/>
        </w:pBdr>
        <w:shd w:val="clear" w:color="auto" w:fill="FFFFFF"/>
        <w:spacing w:before="240" w:after="120" w:line="360" w:lineRule="atLeast"/>
        <w:textAlignment w:val="baseline"/>
        <w:rPr>
          <w:rFonts w:cs="Arial"/>
          <w:b w:val="0"/>
          <w:bCs w:val="0"/>
          <w:color w:val="A21505"/>
          <w:sz w:val="30"/>
          <w:szCs w:val="30"/>
        </w:rPr>
      </w:pPr>
      <w:r>
        <w:rPr>
          <w:rFonts w:cs="Arial"/>
          <w:b w:val="0"/>
          <w:bCs w:val="0"/>
          <w:color w:val="A21505"/>
          <w:sz w:val="30"/>
          <w:szCs w:val="30"/>
        </w:rPr>
        <w:lastRenderedPageBreak/>
        <w:t>Conclusão</w:t>
      </w:r>
    </w:p>
    <w:p w:rsidR="003B7BE1" w:rsidRDefault="003B7BE1" w:rsidP="003B7BE1">
      <w:pPr>
        <w:pStyle w:val="NormalWeb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Portanto, após a análise dos princípios em questão, mais uma vez se mostra necessária a observação destes na execução do serviço público, sendo este tarefa do Estado. É na devida observância que o interesse público conseguirá ser alcançado e devidamente executado, seja pela Administração Pública em sua forma direta ou indireta. </w:t>
      </w:r>
    </w:p>
    <w:p w:rsidR="00A120BF" w:rsidRDefault="00A120BF">
      <w:bookmarkStart w:id="23" w:name="_GoBack"/>
      <w:bookmarkEnd w:id="23"/>
    </w:p>
    <w:sectPr w:rsidR="00A12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EF" w:rsidRDefault="003B2BEF" w:rsidP="003B7BE1">
      <w:pPr>
        <w:spacing w:line="240" w:lineRule="auto"/>
      </w:pPr>
      <w:r>
        <w:separator/>
      </w:r>
    </w:p>
  </w:endnote>
  <w:endnote w:type="continuationSeparator" w:id="0">
    <w:p w:rsidR="003B2BEF" w:rsidRDefault="003B2BEF" w:rsidP="003B7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EF" w:rsidRDefault="003B2BEF" w:rsidP="003B7BE1">
      <w:pPr>
        <w:spacing w:line="240" w:lineRule="auto"/>
      </w:pPr>
      <w:r>
        <w:separator/>
      </w:r>
    </w:p>
  </w:footnote>
  <w:footnote w:type="continuationSeparator" w:id="0">
    <w:p w:rsidR="003B2BEF" w:rsidRDefault="003B2BEF" w:rsidP="003B7BE1">
      <w:pPr>
        <w:spacing w:line="240" w:lineRule="auto"/>
      </w:pPr>
      <w:r>
        <w:continuationSeparator/>
      </w:r>
    </w:p>
  </w:footnote>
  <w:footnote w:id="1">
    <w:p w:rsidR="003B7BE1" w:rsidRDefault="003B7BE1" w:rsidP="003B7BE1">
      <w:pPr>
        <w:pStyle w:val="Textodenotaderodap"/>
        <w:ind w:firstLine="0"/>
      </w:pPr>
      <w:r w:rsidRPr="00061D25">
        <w:rPr>
          <w:rStyle w:val="Refdenotaderodap"/>
          <w:rFonts w:cs="Arial"/>
        </w:rPr>
        <w:footnoteRef/>
      </w:r>
      <w:r w:rsidRPr="00061D25">
        <w:rPr>
          <w:rFonts w:cs="Arial"/>
        </w:rPr>
        <w:t xml:space="preserve"> DI PIETRO, Maria Sylvia Zanella. Direito Administrativo. 22ª Ed. São Paulo: Atlas, 2009. </w:t>
      </w:r>
      <w:proofErr w:type="gramStart"/>
      <w:r w:rsidRPr="00061D25">
        <w:rPr>
          <w:rFonts w:cs="Arial"/>
        </w:rPr>
        <w:t>p.</w:t>
      </w:r>
      <w:proofErr w:type="gramEnd"/>
      <w:r w:rsidRPr="00061D25">
        <w:rPr>
          <w:rFonts w:cs="Arial"/>
        </w:rPr>
        <w:t xml:space="preserve"> 98.</w:t>
      </w:r>
    </w:p>
  </w:footnote>
  <w:footnote w:id="2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MEIRELLES, Hely Lopes. Direito Administrativo Brasileiro. 18ª ed. São Paulo: </w:t>
      </w:r>
      <w:proofErr w:type="gramStart"/>
      <w:r>
        <w:t>RT,</w:t>
      </w:r>
      <w:proofErr w:type="gramEnd"/>
      <w:r>
        <w:t xml:space="preserve">1993. </w:t>
      </w:r>
      <w:proofErr w:type="gramStart"/>
      <w:r>
        <w:t>p.</w:t>
      </w:r>
      <w:proofErr w:type="gramEnd"/>
      <w:r>
        <w:t xml:space="preserve"> 294.</w:t>
      </w:r>
    </w:p>
  </w:footnote>
  <w:footnote w:id="3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PONTES, Valmir. Programa de Direito Administrativo. São Paulo: 1968. Sugestões Literárias, 2ª ed., p.132.</w:t>
      </w:r>
    </w:p>
  </w:footnote>
  <w:footnote w:id="4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DI PIETRO, </w:t>
      </w:r>
      <w:proofErr w:type="spellStart"/>
      <w:r>
        <w:t>op.cit</w:t>
      </w:r>
      <w:proofErr w:type="spellEnd"/>
      <w:r>
        <w:t>., p. 99.</w:t>
      </w:r>
    </w:p>
  </w:footnote>
  <w:footnote w:id="5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DE MELLO, Celso </w:t>
      </w:r>
      <w:proofErr w:type="spellStart"/>
      <w:r>
        <w:t>Antonio</w:t>
      </w:r>
      <w:proofErr w:type="spellEnd"/>
      <w:r>
        <w:t xml:space="preserve"> Bandeira. 19ª ed. São Paulo: Malheiros, 2005. </w:t>
      </w:r>
      <w:proofErr w:type="gramStart"/>
      <w:r>
        <w:t>p.</w:t>
      </w:r>
      <w:proofErr w:type="gramEnd"/>
      <w:r>
        <w:t xml:space="preserve"> 679.</w:t>
      </w:r>
    </w:p>
  </w:footnote>
  <w:footnote w:id="6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DI PIETRO, idem.</w:t>
      </w:r>
    </w:p>
  </w:footnote>
  <w:footnote w:id="7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DI PIETRO, </w:t>
      </w:r>
      <w:proofErr w:type="spellStart"/>
      <w:r>
        <w:t>op.cit</w:t>
      </w:r>
      <w:proofErr w:type="spellEnd"/>
      <w:r>
        <w:t>., p. 103.</w:t>
      </w:r>
    </w:p>
  </w:footnote>
  <w:footnote w:id="8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DE MELLO, </w:t>
      </w:r>
      <w:proofErr w:type="spellStart"/>
      <w:r>
        <w:t>op.cit</w:t>
      </w:r>
      <w:proofErr w:type="spellEnd"/>
      <w:r>
        <w:t xml:space="preserve">., p. 684. </w:t>
      </w:r>
    </w:p>
  </w:footnote>
  <w:footnote w:id="9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DI PIETRO, </w:t>
      </w:r>
      <w:proofErr w:type="spellStart"/>
      <w:r>
        <w:t>op.cit</w:t>
      </w:r>
      <w:proofErr w:type="spellEnd"/>
      <w:r>
        <w:t>., p. 103.</w:t>
      </w:r>
    </w:p>
  </w:footnote>
  <w:footnote w:id="10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ALEXANDRINO, Marcelo. PAULO, Vicente. Direito Administrativo. São Paulo: Editora </w:t>
      </w:r>
      <w:proofErr w:type="spellStart"/>
      <w:r>
        <w:t>Impetus</w:t>
      </w:r>
      <w:proofErr w:type="spellEnd"/>
      <w:r>
        <w:t>. 2005. 7ª ed., p. 469.</w:t>
      </w:r>
    </w:p>
  </w:footnote>
  <w:footnote w:id="11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 w:rsidRPr="000563E3">
        <w:t xml:space="preserve"> DI PIETRO, </w:t>
      </w:r>
      <w:proofErr w:type="spellStart"/>
      <w:r w:rsidRPr="000563E3">
        <w:t>op.cit</w:t>
      </w:r>
      <w:proofErr w:type="spellEnd"/>
      <w:r w:rsidRPr="000563E3">
        <w:t xml:space="preserve">., p. 1041-105. </w:t>
      </w:r>
    </w:p>
  </w:footnote>
  <w:footnote w:id="12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proofErr w:type="gramStart"/>
      <w:r>
        <w:t>idem</w:t>
      </w:r>
      <w:proofErr w:type="gramEnd"/>
      <w:r>
        <w:t xml:space="preserve">. </w:t>
      </w:r>
    </w:p>
  </w:footnote>
  <w:footnote w:id="13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DE MELLO, op. cit., p. 686-687.</w:t>
      </w:r>
    </w:p>
  </w:footnote>
  <w:footnote w:id="14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TANAKA, Sônia </w:t>
      </w:r>
      <w:proofErr w:type="spellStart"/>
      <w:r>
        <w:t>Yuriko</w:t>
      </w:r>
      <w:proofErr w:type="spellEnd"/>
      <w:r>
        <w:t xml:space="preserve"> Kanashiro (Coord.). Direito Administrativo. São Paulo: Malheiros, 2008. </w:t>
      </w:r>
      <w:proofErr w:type="gramStart"/>
      <w:r>
        <w:t>p.</w:t>
      </w:r>
      <w:proofErr w:type="gramEnd"/>
      <w:r>
        <w:t xml:space="preserve"> 371.</w:t>
      </w:r>
    </w:p>
  </w:footnote>
  <w:footnote w:id="15">
    <w:p w:rsidR="003B7BE1" w:rsidRPr="00C27FD0" w:rsidRDefault="003B7BE1" w:rsidP="003B7BE1">
      <w:pPr>
        <w:pStyle w:val="Textodenotaderodap"/>
        <w:ind w:firstLine="0"/>
        <w:rPr>
          <w:i/>
          <w:lang w:val="en-US"/>
        </w:rPr>
      </w:pPr>
      <w:r>
        <w:rPr>
          <w:rStyle w:val="Refdenotaderodap"/>
        </w:rPr>
        <w:footnoteRef/>
      </w:r>
      <w:r>
        <w:t xml:space="preserve"> A jurisprudência aceita o corte de energia por inadimplemento do usuário. Contudo, há ressalvas pelo Superior Tribunal de Justiça: </w:t>
      </w:r>
      <w:r>
        <w:rPr>
          <w:i/>
        </w:rPr>
        <w:t xml:space="preserve">O STJ pacificou o entendimento de que é ilegítimo o corte de energia elétrica por débitos pretéritos de outro consumidor, devendo a companhia utilizar de meios ordinários de cobrança para reaver seu crédito. </w:t>
      </w:r>
      <w:proofErr w:type="gramStart"/>
      <w:r w:rsidRPr="00C27FD0">
        <w:rPr>
          <w:i/>
          <w:lang w:val="en-US"/>
        </w:rPr>
        <w:t xml:space="preserve">(2ª </w:t>
      </w:r>
      <w:proofErr w:type="spellStart"/>
      <w:r w:rsidRPr="00C27FD0">
        <w:rPr>
          <w:i/>
          <w:lang w:val="en-US"/>
        </w:rPr>
        <w:t>Turma</w:t>
      </w:r>
      <w:proofErr w:type="spellEnd"/>
      <w:r w:rsidRPr="00C27FD0">
        <w:rPr>
          <w:i/>
          <w:lang w:val="en-US"/>
        </w:rPr>
        <w:t xml:space="preserve">, </w:t>
      </w:r>
      <w:proofErr w:type="spellStart"/>
      <w:r w:rsidRPr="00C27FD0">
        <w:rPr>
          <w:i/>
          <w:lang w:val="en-US"/>
        </w:rPr>
        <w:t>AgRg</w:t>
      </w:r>
      <w:proofErr w:type="spellEnd"/>
      <w:r w:rsidRPr="00C27FD0">
        <w:rPr>
          <w:i/>
          <w:lang w:val="en-US"/>
        </w:rPr>
        <w:t xml:space="preserve"> no RMS 19748 RJ 2005/0044786-0, j. 10/11/2009, Rel. Min. Herman Benjamin.</w:t>
      </w:r>
      <w:proofErr w:type="gramEnd"/>
      <w:r w:rsidRPr="00C27FD0">
        <w:rPr>
          <w:i/>
          <w:lang w:val="en-US"/>
        </w:rPr>
        <w:t xml:space="preserve"> </w:t>
      </w:r>
    </w:p>
  </w:footnote>
  <w:footnote w:id="16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FIGUEIREDO, Lúcia Valle. Curso de Direito Administrativo. 9ª ed. São Paulo: Malheiros, 2008, p. 84.</w:t>
      </w:r>
    </w:p>
  </w:footnote>
  <w:footnote w:id="17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TANAKA, op. cit., p. 371.</w:t>
      </w:r>
    </w:p>
  </w:footnote>
  <w:footnote w:id="18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MEDAUAR, Odete. Direito Administrativo Moderno. 15ª ed. São Paulo: Revista dos Tribunais, 2011, p. 338.</w:t>
      </w:r>
    </w:p>
  </w:footnote>
  <w:footnote w:id="19">
    <w:p w:rsidR="003B7BE1" w:rsidRPr="000349EB" w:rsidRDefault="003B7BE1" w:rsidP="003B7BE1">
      <w:pPr>
        <w:pStyle w:val="Textodenotaderodap"/>
        <w:ind w:firstLine="0"/>
        <w:rPr>
          <w:lang w:val="en-US"/>
        </w:rPr>
      </w:pPr>
      <w:r>
        <w:rPr>
          <w:rStyle w:val="Refdenotaderodap"/>
        </w:rPr>
        <w:footnoteRef/>
      </w:r>
      <w:r>
        <w:t xml:space="preserve"> GASPARINI, Diógenes. Direito Administrativo. São Paulo: </w:t>
      </w:r>
      <w:proofErr w:type="gramStart"/>
      <w:r>
        <w:t>Saraiva,</w:t>
      </w:r>
      <w:proofErr w:type="gramEnd"/>
      <w:r>
        <w:t xml:space="preserve"> 2011. </w:t>
      </w:r>
      <w:proofErr w:type="gramStart"/>
      <w:r w:rsidRPr="000349EB">
        <w:rPr>
          <w:lang w:val="en-US"/>
        </w:rPr>
        <w:t>16ª ed., p.354.</w:t>
      </w:r>
      <w:proofErr w:type="gramEnd"/>
    </w:p>
  </w:footnote>
  <w:footnote w:id="20">
    <w:p w:rsidR="003B7BE1" w:rsidRPr="000349EB" w:rsidRDefault="003B7BE1" w:rsidP="003B7BE1">
      <w:pPr>
        <w:pStyle w:val="Textodenotaderodap"/>
        <w:ind w:firstLine="0"/>
        <w:rPr>
          <w:lang w:val="en-US"/>
        </w:rPr>
      </w:pPr>
      <w:r>
        <w:rPr>
          <w:rStyle w:val="Refdenotaderodap"/>
        </w:rPr>
        <w:footnoteRef/>
      </w:r>
      <w:r w:rsidRPr="000349EB">
        <w:rPr>
          <w:lang w:val="en-US"/>
        </w:rPr>
        <w:t xml:space="preserve"> </w:t>
      </w:r>
      <w:proofErr w:type="gramStart"/>
      <w:r w:rsidRPr="000349EB">
        <w:rPr>
          <w:lang w:val="en-US"/>
        </w:rPr>
        <w:t>TANAKA, op. cit., idem.</w:t>
      </w:r>
      <w:proofErr w:type="gramEnd"/>
    </w:p>
  </w:footnote>
  <w:footnote w:id="21">
    <w:p w:rsidR="003B7BE1" w:rsidRPr="000563E3" w:rsidRDefault="003B7BE1" w:rsidP="003B7BE1">
      <w:pPr>
        <w:pStyle w:val="Textodenotaderodap"/>
        <w:ind w:firstLine="0"/>
        <w:rPr>
          <w:lang w:val="en-US"/>
        </w:rPr>
      </w:pPr>
      <w:r>
        <w:rPr>
          <w:rStyle w:val="Refdenotaderodap"/>
        </w:rPr>
        <w:footnoteRef/>
      </w:r>
      <w:r w:rsidRPr="000563E3">
        <w:rPr>
          <w:lang w:val="en-US"/>
        </w:rPr>
        <w:t xml:space="preserve"> DI PIETRO, op. cit., p. 108.</w:t>
      </w:r>
    </w:p>
  </w:footnote>
  <w:footnote w:id="22">
    <w:p w:rsidR="003B7BE1" w:rsidRPr="000349EB" w:rsidRDefault="003B7BE1" w:rsidP="003B7BE1">
      <w:pPr>
        <w:pStyle w:val="Textodenotaderodap"/>
        <w:ind w:firstLine="0"/>
        <w:rPr>
          <w:lang w:val="en-US"/>
        </w:rPr>
      </w:pPr>
      <w:r>
        <w:rPr>
          <w:rStyle w:val="Refdenotaderodap"/>
        </w:rPr>
        <w:footnoteRef/>
      </w:r>
      <w:r w:rsidRPr="000563E3">
        <w:rPr>
          <w:lang w:val="en-US"/>
        </w:rPr>
        <w:t xml:space="preserve"> TANAKA, op.</w:t>
      </w:r>
      <w:r>
        <w:rPr>
          <w:lang w:val="en-US"/>
        </w:rPr>
        <w:t xml:space="preserve"> cit., </w:t>
      </w:r>
      <w:r w:rsidRPr="000349EB">
        <w:rPr>
          <w:lang w:val="en-US"/>
        </w:rPr>
        <w:t>p. 372.</w:t>
      </w:r>
    </w:p>
  </w:footnote>
  <w:footnote w:id="23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MOREIRA NETO, Diogo de Figueiredo. Curso de Direito Administrativo. 15ª ed. São Paulo: Ed. Forense. 2010, p. 478.</w:t>
      </w:r>
    </w:p>
  </w:footnote>
  <w:footnote w:id="24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TANAKA, op. cit., p. 373.</w:t>
      </w:r>
    </w:p>
  </w:footnote>
  <w:footnote w:id="25">
    <w:p w:rsidR="003B7BE1" w:rsidRDefault="003B7BE1" w:rsidP="003B7BE1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MOREIRA NETO, op. </w:t>
      </w:r>
      <w:proofErr w:type="spellStart"/>
      <w:r>
        <w:t>cit</w:t>
      </w:r>
      <w:proofErr w:type="spellEnd"/>
      <w:r>
        <w:t>, p. 479.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2C3B"/>
    <w:multiLevelType w:val="hybridMultilevel"/>
    <w:tmpl w:val="7C740134"/>
    <w:lvl w:ilvl="0" w:tplc="3EB07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E1"/>
    <w:rsid w:val="003B2BEF"/>
    <w:rsid w:val="003B7BE1"/>
    <w:rsid w:val="00A120BF"/>
    <w:rsid w:val="00F0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BE1"/>
    <w:pPr>
      <w:spacing w:after="0" w:line="360" w:lineRule="auto"/>
      <w:ind w:firstLine="709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3B7BE1"/>
    <w:pPr>
      <w:keepNext/>
      <w:keepLines/>
      <w:ind w:firstLine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7BE1"/>
    <w:pPr>
      <w:keepNext/>
      <w:keepLines/>
      <w:ind w:firstLine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7BE1"/>
    <w:rPr>
      <w:rFonts w:ascii="Arial" w:eastAsiaTheme="majorEastAsia" w:hAnsi="Arial" w:cstheme="majorBidi"/>
      <w:b/>
      <w:bCs/>
      <w:color w:val="000000" w:themeColor="text1"/>
      <w:sz w:val="24"/>
      <w:szCs w:val="28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3B7BE1"/>
    <w:rPr>
      <w:rFonts w:ascii="Arial" w:eastAsiaTheme="majorEastAsia" w:hAnsi="Arial" w:cstheme="majorBidi"/>
      <w:b/>
      <w:bCs/>
      <w:color w:val="000000" w:themeColor="text1"/>
      <w:sz w:val="24"/>
      <w:szCs w:val="26"/>
      <w:lang w:eastAsia="zh-CN"/>
    </w:rPr>
  </w:style>
  <w:style w:type="paragraph" w:styleId="Citao">
    <w:name w:val="Quote"/>
    <w:basedOn w:val="Normal"/>
    <w:next w:val="Normal"/>
    <w:link w:val="CitaoChar"/>
    <w:uiPriority w:val="29"/>
    <w:qFormat/>
    <w:rsid w:val="003B7BE1"/>
    <w:pPr>
      <w:ind w:left="1134" w:firstLine="0"/>
    </w:pPr>
    <w:rPr>
      <w:rFonts w:eastAsiaTheme="minorHAnsi" w:cstheme="minorBidi"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B7BE1"/>
    <w:rPr>
      <w:rFonts w:ascii="Arial" w:hAnsi="Arial"/>
      <w:iCs/>
      <w:color w:val="000000" w:themeColor="text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7BE1"/>
    <w:pPr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7BE1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7B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B7BE1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7BE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BE1"/>
    <w:pPr>
      <w:spacing w:after="0" w:line="360" w:lineRule="auto"/>
      <w:ind w:firstLine="709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3B7BE1"/>
    <w:pPr>
      <w:keepNext/>
      <w:keepLines/>
      <w:ind w:firstLine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7BE1"/>
    <w:pPr>
      <w:keepNext/>
      <w:keepLines/>
      <w:ind w:firstLine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7BE1"/>
    <w:rPr>
      <w:rFonts w:ascii="Arial" w:eastAsiaTheme="majorEastAsia" w:hAnsi="Arial" w:cstheme="majorBidi"/>
      <w:b/>
      <w:bCs/>
      <w:color w:val="000000" w:themeColor="text1"/>
      <w:sz w:val="24"/>
      <w:szCs w:val="28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3B7BE1"/>
    <w:rPr>
      <w:rFonts w:ascii="Arial" w:eastAsiaTheme="majorEastAsia" w:hAnsi="Arial" w:cstheme="majorBidi"/>
      <w:b/>
      <w:bCs/>
      <w:color w:val="000000" w:themeColor="text1"/>
      <w:sz w:val="24"/>
      <w:szCs w:val="26"/>
      <w:lang w:eastAsia="zh-CN"/>
    </w:rPr>
  </w:style>
  <w:style w:type="paragraph" w:styleId="Citao">
    <w:name w:val="Quote"/>
    <w:basedOn w:val="Normal"/>
    <w:next w:val="Normal"/>
    <w:link w:val="CitaoChar"/>
    <w:uiPriority w:val="29"/>
    <w:qFormat/>
    <w:rsid w:val="003B7BE1"/>
    <w:pPr>
      <w:ind w:left="1134" w:firstLine="0"/>
    </w:pPr>
    <w:rPr>
      <w:rFonts w:eastAsiaTheme="minorHAnsi" w:cstheme="minorBidi"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B7BE1"/>
    <w:rPr>
      <w:rFonts w:ascii="Arial" w:hAnsi="Arial"/>
      <w:iCs/>
      <w:color w:val="000000" w:themeColor="text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7BE1"/>
    <w:pPr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7BE1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7B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B7BE1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7BE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2725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Augusto</dc:creator>
  <cp:lastModifiedBy>João Augusto</cp:lastModifiedBy>
  <cp:revision>1</cp:revision>
  <dcterms:created xsi:type="dcterms:W3CDTF">2013-10-24T17:33:00Z</dcterms:created>
  <dcterms:modified xsi:type="dcterms:W3CDTF">2013-10-24T17:50:00Z</dcterms:modified>
</cp:coreProperties>
</file>