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7F" w:rsidRPr="00D44280" w:rsidRDefault="00010A7F" w:rsidP="00010A7F">
      <w:pPr>
        <w:pStyle w:val="Ttulo1"/>
        <w:spacing w:before="30" w:after="30"/>
        <w:jc w:val="center"/>
        <w:rPr>
          <w:rFonts w:ascii="Arial" w:hAnsi="Arial" w:cs="Arial"/>
          <w:b w:val="0"/>
          <w:szCs w:val="24"/>
        </w:rPr>
      </w:pPr>
      <w:r w:rsidRPr="00D44280">
        <w:rPr>
          <w:rFonts w:ascii="Arial" w:hAnsi="Arial" w:cs="Arial"/>
          <w:noProof/>
          <w:sz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-680720</wp:posOffset>
            </wp:positionV>
            <wp:extent cx="952500" cy="1111885"/>
            <wp:effectExtent l="38100" t="57150" r="228600" b="221615"/>
            <wp:wrapTopAndBottom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1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44280">
        <w:rPr>
          <w:rFonts w:ascii="Arial" w:hAnsi="Arial" w:cs="Arial"/>
          <w:b w:val="0"/>
          <w:szCs w:val="24"/>
        </w:rPr>
        <w:t>UNIVERSIDADE FEDERAL DO CEARÁ</w:t>
      </w:r>
    </w:p>
    <w:p w:rsidR="00010A7F" w:rsidRPr="00D44280" w:rsidRDefault="00010A7F" w:rsidP="00010A7F">
      <w:pPr>
        <w:spacing w:before="30" w:after="30"/>
        <w:jc w:val="center"/>
        <w:rPr>
          <w:rFonts w:ascii="Arial" w:hAnsi="Arial" w:cs="Arial"/>
          <w:sz w:val="24"/>
          <w:szCs w:val="24"/>
        </w:rPr>
      </w:pPr>
      <w:r w:rsidRPr="00D44280">
        <w:rPr>
          <w:rFonts w:ascii="Arial" w:hAnsi="Arial" w:cs="Arial"/>
          <w:sz w:val="24"/>
          <w:szCs w:val="24"/>
        </w:rPr>
        <w:t>FACULDADE DE DIREITO</w:t>
      </w:r>
    </w:p>
    <w:p w:rsidR="00010A7F" w:rsidRPr="00D44280" w:rsidRDefault="00010A7F" w:rsidP="00010A7F">
      <w:pPr>
        <w:spacing w:before="30" w:after="30"/>
        <w:jc w:val="center"/>
        <w:rPr>
          <w:rFonts w:ascii="Arial" w:hAnsi="Arial" w:cs="Arial"/>
          <w:sz w:val="24"/>
          <w:szCs w:val="24"/>
        </w:rPr>
      </w:pPr>
      <w:r w:rsidRPr="00D44280">
        <w:rPr>
          <w:rFonts w:ascii="Arial" w:hAnsi="Arial" w:cs="Arial"/>
          <w:sz w:val="24"/>
          <w:szCs w:val="24"/>
        </w:rPr>
        <w:t>DISCIPLINA DE RECUPERAÇÕES E FALÊNCIAS</w:t>
      </w:r>
    </w:p>
    <w:p w:rsidR="00010A7F" w:rsidRPr="00D44280" w:rsidRDefault="00010A7F" w:rsidP="00010A7F">
      <w:pPr>
        <w:spacing w:before="30" w:after="30"/>
        <w:rPr>
          <w:rFonts w:ascii="Arial" w:hAnsi="Arial" w:cs="Arial"/>
          <w:sz w:val="24"/>
          <w:szCs w:val="24"/>
        </w:rPr>
      </w:pPr>
    </w:p>
    <w:p w:rsidR="00010A7F" w:rsidRPr="00D44280" w:rsidRDefault="00010A7F" w:rsidP="00010A7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010A7F" w:rsidRPr="00D44280" w:rsidRDefault="00010A7F" w:rsidP="00010A7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010A7F" w:rsidRPr="00D44280" w:rsidRDefault="00010A7F" w:rsidP="00010A7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010A7F" w:rsidRPr="00D44280" w:rsidRDefault="00010A7F" w:rsidP="00010A7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010A7F" w:rsidRPr="00D44280" w:rsidRDefault="00010A7F" w:rsidP="00010A7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010A7F" w:rsidRPr="00D44280" w:rsidRDefault="00010A7F" w:rsidP="00010A7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010A7F" w:rsidRPr="00D44280" w:rsidRDefault="00010A7F" w:rsidP="00010A7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010A7F" w:rsidRPr="00D44280" w:rsidRDefault="00010A7F" w:rsidP="00010A7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010A7F" w:rsidRPr="00D44280" w:rsidRDefault="00461092" w:rsidP="00010A7F">
      <w:pPr>
        <w:spacing w:before="30" w:after="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LEON SIMÕES DE MELLO</w:t>
      </w:r>
    </w:p>
    <w:p w:rsidR="00010A7F" w:rsidRPr="00D44280" w:rsidRDefault="00010A7F" w:rsidP="00010A7F">
      <w:pPr>
        <w:spacing w:before="30" w:after="30"/>
        <w:jc w:val="center"/>
        <w:rPr>
          <w:rFonts w:ascii="Arial" w:hAnsi="Arial" w:cs="Arial"/>
          <w:b/>
          <w:sz w:val="24"/>
          <w:szCs w:val="24"/>
        </w:rPr>
      </w:pPr>
    </w:p>
    <w:p w:rsidR="00010A7F" w:rsidRPr="00D44280" w:rsidRDefault="00010A7F" w:rsidP="00010A7F">
      <w:pPr>
        <w:spacing w:before="30" w:after="30"/>
        <w:jc w:val="center"/>
        <w:rPr>
          <w:rFonts w:ascii="Arial" w:hAnsi="Arial" w:cs="Arial"/>
          <w:b/>
          <w:sz w:val="24"/>
          <w:szCs w:val="24"/>
        </w:rPr>
      </w:pPr>
    </w:p>
    <w:p w:rsidR="00010A7F" w:rsidRPr="00D44280" w:rsidRDefault="00010A7F" w:rsidP="00010A7F">
      <w:pPr>
        <w:pStyle w:val="Ttulo3"/>
        <w:spacing w:before="30" w:after="30"/>
        <w:jc w:val="left"/>
        <w:rPr>
          <w:rFonts w:ascii="Arial" w:hAnsi="Arial" w:cs="Arial"/>
          <w:color w:val="FFFFFF"/>
          <w:sz w:val="24"/>
          <w:szCs w:val="24"/>
        </w:rPr>
      </w:pPr>
    </w:p>
    <w:p w:rsidR="00010A7F" w:rsidRPr="00D44280" w:rsidRDefault="00010A7F" w:rsidP="00010A7F">
      <w:pPr>
        <w:rPr>
          <w:rFonts w:ascii="Arial" w:hAnsi="Arial" w:cs="Arial"/>
        </w:rPr>
      </w:pPr>
    </w:p>
    <w:p w:rsidR="00301C10" w:rsidRPr="00D44280" w:rsidRDefault="00301C10" w:rsidP="00010A7F">
      <w:pPr>
        <w:rPr>
          <w:rFonts w:ascii="Arial" w:hAnsi="Arial" w:cs="Arial"/>
        </w:rPr>
      </w:pPr>
    </w:p>
    <w:p w:rsidR="00301C10" w:rsidRPr="00D44280" w:rsidRDefault="00301C10" w:rsidP="00010A7F">
      <w:pPr>
        <w:rPr>
          <w:rFonts w:ascii="Arial" w:hAnsi="Arial" w:cs="Arial"/>
        </w:rPr>
      </w:pPr>
    </w:p>
    <w:p w:rsidR="00301C10" w:rsidRPr="00D44280" w:rsidRDefault="00301C10" w:rsidP="00010A7F">
      <w:pPr>
        <w:rPr>
          <w:rFonts w:ascii="Arial" w:hAnsi="Arial" w:cs="Arial"/>
        </w:rPr>
      </w:pPr>
    </w:p>
    <w:p w:rsidR="00010A7F" w:rsidRPr="00D44280" w:rsidRDefault="00010A7F" w:rsidP="00010A7F">
      <w:pPr>
        <w:rPr>
          <w:rFonts w:ascii="Arial" w:hAnsi="Arial" w:cs="Arial"/>
        </w:rPr>
      </w:pPr>
    </w:p>
    <w:p w:rsidR="00010A7F" w:rsidRPr="00D44280" w:rsidRDefault="00010A7F" w:rsidP="00010A7F">
      <w:pPr>
        <w:rPr>
          <w:rFonts w:ascii="Arial" w:hAnsi="Arial" w:cs="Arial"/>
        </w:rPr>
      </w:pPr>
    </w:p>
    <w:p w:rsidR="00010A7F" w:rsidRPr="00D44280" w:rsidRDefault="00010A7F" w:rsidP="00010A7F">
      <w:pPr>
        <w:pStyle w:val="Ttulo3"/>
        <w:spacing w:before="30" w:after="30"/>
        <w:rPr>
          <w:rFonts w:ascii="Arial" w:hAnsi="Arial" w:cs="Arial"/>
          <w:color w:val="FFFFFF"/>
          <w:sz w:val="24"/>
          <w:szCs w:val="24"/>
        </w:rPr>
      </w:pPr>
      <w:r w:rsidRPr="00D44280">
        <w:rPr>
          <w:rFonts w:ascii="Arial" w:hAnsi="Arial" w:cs="Arial"/>
          <w:color w:val="FFFFFF"/>
          <w:sz w:val="24"/>
          <w:szCs w:val="24"/>
        </w:rPr>
        <w:t>PROJETO DE PESQUISA</w:t>
      </w:r>
    </w:p>
    <w:p w:rsidR="00010A7F" w:rsidRPr="00D44280" w:rsidRDefault="00010A7F" w:rsidP="00010A7F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:rsidR="00010A7F" w:rsidRPr="00D44280" w:rsidRDefault="00010A7F" w:rsidP="00010A7F">
      <w:pPr>
        <w:pStyle w:val="Corpodetexto"/>
        <w:spacing w:before="30" w:after="30"/>
        <w:rPr>
          <w:rFonts w:ascii="Arial" w:hAnsi="Arial" w:cs="Arial"/>
          <w:sz w:val="28"/>
          <w:szCs w:val="28"/>
        </w:rPr>
      </w:pPr>
    </w:p>
    <w:p w:rsidR="00010A7F" w:rsidRPr="00D44280" w:rsidRDefault="00010A7F" w:rsidP="00010A7F">
      <w:pPr>
        <w:pStyle w:val="Corpodetexto"/>
        <w:spacing w:before="30" w:after="30"/>
        <w:rPr>
          <w:rFonts w:ascii="Arial" w:hAnsi="Arial" w:cs="Arial"/>
          <w:sz w:val="28"/>
          <w:szCs w:val="28"/>
        </w:rPr>
      </w:pPr>
      <w:r w:rsidRPr="00D44280">
        <w:rPr>
          <w:rFonts w:ascii="Arial" w:hAnsi="Arial" w:cs="Arial"/>
          <w:color w:val="FFFFFF"/>
          <w:sz w:val="24"/>
          <w:szCs w:val="24"/>
        </w:rPr>
        <w:t>EST</w:t>
      </w:r>
      <w:r w:rsidRPr="00D44280">
        <w:rPr>
          <w:rFonts w:ascii="Arial" w:hAnsi="Arial" w:cs="Arial"/>
          <w:sz w:val="28"/>
          <w:szCs w:val="28"/>
        </w:rPr>
        <w:t xml:space="preserve">CONCEITUAÇÃO DE FALÊNCIA E </w:t>
      </w:r>
      <w:r w:rsidR="00ED4154" w:rsidRPr="00D44280">
        <w:rPr>
          <w:rFonts w:ascii="Arial" w:hAnsi="Arial" w:cs="Arial"/>
          <w:sz w:val="28"/>
          <w:szCs w:val="28"/>
        </w:rPr>
        <w:t xml:space="preserve">BREVES </w:t>
      </w:r>
      <w:r w:rsidR="008D49E0" w:rsidRPr="00D44280">
        <w:rPr>
          <w:rFonts w:ascii="Arial" w:hAnsi="Arial" w:cs="Arial"/>
          <w:sz w:val="28"/>
          <w:szCs w:val="28"/>
        </w:rPr>
        <w:t>CONSIDERAÇÕES ACERCA DA</w:t>
      </w:r>
      <w:r w:rsidRPr="00D44280">
        <w:rPr>
          <w:rFonts w:ascii="Arial" w:hAnsi="Arial" w:cs="Arial"/>
          <w:sz w:val="28"/>
          <w:szCs w:val="28"/>
        </w:rPr>
        <w:t xml:space="preserve"> FALÊNCIA SUMÁRIA E</w:t>
      </w:r>
      <w:r w:rsidR="008D49E0" w:rsidRPr="00D44280">
        <w:rPr>
          <w:rFonts w:ascii="Arial" w:hAnsi="Arial" w:cs="Arial"/>
          <w:sz w:val="28"/>
          <w:szCs w:val="28"/>
        </w:rPr>
        <w:t xml:space="preserve"> DA</w:t>
      </w:r>
      <w:r w:rsidRPr="00D44280">
        <w:rPr>
          <w:rFonts w:ascii="Arial" w:hAnsi="Arial" w:cs="Arial"/>
          <w:sz w:val="28"/>
          <w:szCs w:val="28"/>
        </w:rPr>
        <w:t xml:space="preserve"> FALÊNCIA FRUSTRADA</w:t>
      </w:r>
    </w:p>
    <w:p w:rsidR="00010A7F" w:rsidRPr="00D44280" w:rsidRDefault="00010A7F" w:rsidP="00010A7F">
      <w:pPr>
        <w:pStyle w:val="Corpodetexto"/>
        <w:spacing w:before="30" w:after="30"/>
        <w:jc w:val="left"/>
        <w:rPr>
          <w:rFonts w:ascii="Arial" w:hAnsi="Arial" w:cs="Arial"/>
          <w:color w:val="FFFFFF"/>
          <w:sz w:val="24"/>
          <w:szCs w:val="24"/>
        </w:rPr>
      </w:pPr>
    </w:p>
    <w:p w:rsidR="00010A7F" w:rsidRPr="00D44280" w:rsidRDefault="00010A7F" w:rsidP="00010A7F">
      <w:pPr>
        <w:pStyle w:val="Corpodetexto"/>
        <w:spacing w:before="30" w:after="30"/>
        <w:jc w:val="left"/>
        <w:rPr>
          <w:rFonts w:ascii="Arial" w:hAnsi="Arial" w:cs="Arial"/>
          <w:color w:val="FFFFFF"/>
          <w:sz w:val="24"/>
          <w:szCs w:val="24"/>
        </w:rPr>
      </w:pPr>
    </w:p>
    <w:p w:rsidR="00010A7F" w:rsidRPr="00D44280" w:rsidRDefault="00010A7F" w:rsidP="00010A7F">
      <w:pPr>
        <w:pStyle w:val="Corpodetexto"/>
        <w:spacing w:before="30" w:after="30"/>
        <w:jc w:val="left"/>
        <w:rPr>
          <w:rFonts w:ascii="Arial" w:hAnsi="Arial" w:cs="Arial"/>
          <w:color w:val="FFFFFF"/>
          <w:sz w:val="24"/>
          <w:szCs w:val="24"/>
        </w:rPr>
      </w:pPr>
    </w:p>
    <w:p w:rsidR="00010A7F" w:rsidRPr="00D44280" w:rsidRDefault="00010A7F" w:rsidP="00010A7F">
      <w:pPr>
        <w:pStyle w:val="Corpodetexto"/>
        <w:spacing w:before="30" w:after="30"/>
        <w:jc w:val="left"/>
        <w:rPr>
          <w:rFonts w:ascii="Arial" w:hAnsi="Arial" w:cs="Arial"/>
          <w:color w:val="FFFFFF"/>
          <w:sz w:val="24"/>
          <w:szCs w:val="24"/>
        </w:rPr>
      </w:pPr>
    </w:p>
    <w:p w:rsidR="00010A7F" w:rsidRPr="00D44280" w:rsidRDefault="00010A7F" w:rsidP="00010A7F">
      <w:pPr>
        <w:pStyle w:val="Corpodetexto"/>
        <w:spacing w:before="30" w:after="30"/>
        <w:jc w:val="left"/>
        <w:rPr>
          <w:rFonts w:ascii="Arial" w:hAnsi="Arial" w:cs="Arial"/>
          <w:color w:val="FFFFFF"/>
          <w:sz w:val="24"/>
          <w:szCs w:val="24"/>
        </w:rPr>
      </w:pPr>
    </w:p>
    <w:p w:rsidR="00010A7F" w:rsidRPr="00D44280" w:rsidRDefault="00010A7F" w:rsidP="00301C10">
      <w:pPr>
        <w:pStyle w:val="Ttulo5"/>
        <w:spacing w:before="30" w:after="30"/>
        <w:jc w:val="left"/>
        <w:rPr>
          <w:rFonts w:ascii="Arial" w:hAnsi="Arial" w:cs="Arial"/>
          <w:sz w:val="24"/>
          <w:szCs w:val="24"/>
        </w:rPr>
      </w:pPr>
    </w:p>
    <w:p w:rsidR="00D44280" w:rsidRPr="00D44280" w:rsidRDefault="00D44280" w:rsidP="00D44280">
      <w:pPr>
        <w:rPr>
          <w:rFonts w:ascii="Arial" w:hAnsi="Arial" w:cs="Arial"/>
        </w:rPr>
      </w:pPr>
    </w:p>
    <w:p w:rsidR="00301C10" w:rsidRPr="00D44280" w:rsidRDefault="00301C10" w:rsidP="00301C10">
      <w:pPr>
        <w:rPr>
          <w:rFonts w:ascii="Arial" w:hAnsi="Arial" w:cs="Arial"/>
        </w:rPr>
      </w:pPr>
    </w:p>
    <w:p w:rsidR="00010A7F" w:rsidRPr="00D44280" w:rsidRDefault="00010A7F" w:rsidP="00010A7F">
      <w:pPr>
        <w:pStyle w:val="Ttulo6"/>
        <w:spacing w:before="30" w:after="30"/>
        <w:rPr>
          <w:rFonts w:ascii="Arial" w:hAnsi="Arial" w:cs="Arial"/>
          <w:szCs w:val="24"/>
        </w:rPr>
      </w:pPr>
      <w:r w:rsidRPr="00D44280">
        <w:rPr>
          <w:rFonts w:ascii="Arial" w:hAnsi="Arial" w:cs="Arial"/>
          <w:szCs w:val="24"/>
        </w:rPr>
        <w:t>FORTALEZA</w:t>
      </w:r>
    </w:p>
    <w:p w:rsidR="00010A7F" w:rsidRPr="00D44280" w:rsidRDefault="00010A7F" w:rsidP="00010A7F">
      <w:pPr>
        <w:pStyle w:val="Ttulo3"/>
        <w:spacing w:before="30" w:after="30"/>
        <w:rPr>
          <w:rFonts w:ascii="Arial" w:hAnsi="Arial" w:cs="Arial"/>
          <w:b w:val="0"/>
          <w:bCs/>
          <w:sz w:val="24"/>
          <w:szCs w:val="24"/>
        </w:rPr>
      </w:pPr>
      <w:r w:rsidRPr="00D44280">
        <w:rPr>
          <w:rFonts w:ascii="Arial" w:hAnsi="Arial" w:cs="Arial"/>
          <w:b w:val="0"/>
          <w:bCs/>
          <w:sz w:val="24"/>
          <w:szCs w:val="24"/>
        </w:rPr>
        <w:t>2013</w:t>
      </w:r>
    </w:p>
    <w:p w:rsidR="0056288D" w:rsidRPr="00D44280" w:rsidRDefault="0056288D">
      <w:pPr>
        <w:rPr>
          <w:rFonts w:ascii="Arial" w:hAnsi="Arial" w:cs="Arial"/>
        </w:rPr>
      </w:pPr>
    </w:p>
    <w:p w:rsidR="00010A7F" w:rsidRPr="00D44280" w:rsidRDefault="00010A7F" w:rsidP="00010A7F">
      <w:pPr>
        <w:spacing w:line="360" w:lineRule="auto"/>
        <w:rPr>
          <w:rStyle w:val="Fort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D44280">
        <w:rPr>
          <w:rStyle w:val="Fort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1</w:t>
      </w:r>
      <w:proofErr w:type="gramEnd"/>
      <w:r w:rsidRPr="00D44280">
        <w:rPr>
          <w:rStyle w:val="Fort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CONCEITUAÇÃO DO INSTITUTO DA FALÊNCIA</w:t>
      </w:r>
    </w:p>
    <w:p w:rsidR="00D44280" w:rsidRPr="00D44280" w:rsidRDefault="00D44280" w:rsidP="00010A7F">
      <w:pPr>
        <w:spacing w:line="360" w:lineRule="auto"/>
        <w:rPr>
          <w:rStyle w:val="Fort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44D66" w:rsidRPr="00D44280" w:rsidRDefault="00305865" w:rsidP="00B44D66">
      <w:pPr>
        <w:spacing w:line="360" w:lineRule="auto"/>
        <w:jc w:val="both"/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D44280">
        <w:rPr>
          <w:rStyle w:val="Fort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A palavra “falência” deriva do latim </w:t>
      </w:r>
      <w:proofErr w:type="spellStart"/>
      <w:r w:rsidRPr="00D44280">
        <w:rPr>
          <w:rStyle w:val="Forte"/>
          <w:rFonts w:ascii="Arial" w:hAnsi="Arial" w:cs="Arial"/>
          <w:b w:val="0"/>
          <w:i/>
          <w:color w:val="000000" w:themeColor="text1"/>
          <w:sz w:val="24"/>
          <w:szCs w:val="24"/>
          <w:shd w:val="clear" w:color="auto" w:fill="FFFFFF"/>
        </w:rPr>
        <w:t>fallare</w:t>
      </w:r>
      <w:proofErr w:type="spellEnd"/>
      <w:r w:rsidRPr="00D44280">
        <w:rPr>
          <w:rStyle w:val="Forte"/>
          <w:rFonts w:ascii="Arial" w:hAnsi="Arial" w:cs="Arial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que pode ser traduzido como “faltar”, “enganar”, no sentido de deixar de cumprir uma obrigação. Como sinônimo de falência, poder-se-ia utilizar a expressão </w:t>
      </w:r>
      <w:r w:rsidRPr="00D44280">
        <w:rPr>
          <w:rStyle w:val="Forte"/>
          <w:rFonts w:ascii="Arial" w:hAnsi="Arial" w:cs="Arial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quebra, </w:t>
      </w:r>
      <w:r w:rsidR="00B44D66"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por ocasião da quebra da banca dos devedores pelos credores; ou ainda, a palavra bancarrota, que também era usada para identificar a falência, tendo sua origem na língua italiana.  </w:t>
      </w:r>
    </w:p>
    <w:p w:rsidR="00503285" w:rsidRPr="00D44280" w:rsidRDefault="00183375" w:rsidP="00183375">
      <w:pPr>
        <w:spacing w:line="360" w:lineRule="auto"/>
        <w:jc w:val="both"/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ab/>
        <w:t>Inicialmente, cumpre estabelecer o conceito basilar de falência</w:t>
      </w:r>
      <w:r w:rsidR="00305865"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, que seria</w:t>
      </w:r>
      <w:r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uma execução coletiva movida contra um devedor que exerce atividade comercial, onde seu patrimônio é arrecadado para uma venda forçada. O resultado dessa venda é dividido entre os credores, atendendo as preferências estabelecidas em lei. Tem por objetivo a preservação e </w:t>
      </w:r>
      <w:proofErr w:type="gramStart"/>
      <w:r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otimização</w:t>
      </w:r>
      <w:proofErr w:type="gramEnd"/>
      <w:r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da utilização produtiva dos bens da empresa. </w:t>
      </w:r>
    </w:p>
    <w:p w:rsidR="00D35B62" w:rsidRPr="00D44280" w:rsidRDefault="00183375" w:rsidP="00183375">
      <w:pPr>
        <w:spacing w:line="360" w:lineRule="auto"/>
        <w:jc w:val="both"/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ab/>
        <w:t>A falência, enquanto procedimento judicial</w:t>
      </w:r>
      <w:proofErr w:type="gramStart"/>
      <w:r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, é</w:t>
      </w:r>
      <w:proofErr w:type="gramEnd"/>
      <w:r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o processo no qual a empresa devedora, aquela que não paga a obrigação líquida na data do vencimento, </w:t>
      </w:r>
      <w:r w:rsidR="00E8107E"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encontra-se </w:t>
      </w:r>
      <w:r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submetida a uma execução coletiva de seus bens. Esta execução beneficia a todos os credores da empresa</w:t>
      </w:r>
      <w:r w:rsidR="00E8107E"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;</w:t>
      </w:r>
      <w:r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consistindo na venda forçada do patrimônio disponível, verificação dos créditos, liquidação do ativo e a solução do </w:t>
      </w:r>
      <w:r w:rsidR="00D35B62"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passivo.</w:t>
      </w:r>
    </w:p>
    <w:p w:rsidR="00B44D66" w:rsidRPr="00D44280" w:rsidRDefault="00B44D66" w:rsidP="00D35B62">
      <w:pPr>
        <w:tabs>
          <w:tab w:val="left" w:pos="709"/>
        </w:tabs>
        <w:spacing w:line="360" w:lineRule="auto"/>
        <w:jc w:val="both"/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ab/>
        <w:t xml:space="preserve">Sob o ponto de vista material, </w:t>
      </w:r>
      <w:r w:rsidR="0088755B"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consistiria num conjunto de normas jurídicas especiais, o que afasta a incidência dos preceitos comuns aos demais devedores. A falência cria uma situação jurídica nova, conferindo à atividade comercial o estado de </w:t>
      </w:r>
      <w:r w:rsidR="00E8107E"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falida</w:t>
      </w:r>
      <w:r w:rsidR="0088755B"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. Pode-se mencionar como exemplo de consequência do status de falido a suspensão da prescrição ao ser decretada a falência, que só voltará a correr do trânsito em julgado da sentença que encerra o processo falimentar. </w:t>
      </w:r>
    </w:p>
    <w:p w:rsidR="0088755B" w:rsidRPr="00D44280" w:rsidRDefault="0088755B" w:rsidP="00183375">
      <w:pPr>
        <w:spacing w:line="360" w:lineRule="auto"/>
        <w:jc w:val="both"/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ab/>
        <w:t xml:space="preserve">Cabe ainda citar o aspecto econômico da falência, como instituto regulador da atividade econômica. Tendo por motivação as desvantagens socioeconômicas trazidas pela falência, como a rescisão de contratos de trabalhos e diminuição da arrecadação tributária, esta é considerada uma medida excepcional, sendo tomada apenas quando for inevitável. A recuperação judicial surge neste contexto como tentativa de repelir a falência. </w:t>
      </w:r>
    </w:p>
    <w:p w:rsidR="00D35B62" w:rsidRPr="00D44280" w:rsidRDefault="00D35B62" w:rsidP="00183375">
      <w:pPr>
        <w:spacing w:line="360" w:lineRule="auto"/>
        <w:jc w:val="both"/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lastRenderedPageBreak/>
        <w:tab/>
        <w:t xml:space="preserve">Existe atualmente relevante debate doutrinário acerca da natureza jurídica da falência. Pode-se indicar, basicamente, três linhas de argumentação, quais </w:t>
      </w:r>
      <w:proofErr w:type="gramStart"/>
      <w:r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sejam</w:t>
      </w:r>
      <w:proofErr w:type="gramEnd"/>
      <w:r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, a teoria administrativa, a teoria </w:t>
      </w:r>
      <w:proofErr w:type="spellStart"/>
      <w:r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substancialista</w:t>
      </w:r>
      <w:proofErr w:type="spellEnd"/>
      <w:r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e a teoria processualista.</w:t>
      </w:r>
    </w:p>
    <w:p w:rsidR="00D35B62" w:rsidRPr="00D44280" w:rsidRDefault="00D35B62" w:rsidP="00D35B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ab/>
        <w:t xml:space="preserve">A teoria administrativa fundamenta-se no interesse público que sempre deve motivar a exclusão da empresa em dificuldade dentro do exercício da atividade econômica. </w:t>
      </w:r>
      <w:r w:rsidRPr="00D44280">
        <w:rPr>
          <w:rFonts w:ascii="Arial" w:hAnsi="Arial" w:cs="Arial"/>
          <w:sz w:val="24"/>
          <w:szCs w:val="24"/>
        </w:rPr>
        <w:t xml:space="preserve"> </w:t>
      </w:r>
      <w:r w:rsidR="00220912" w:rsidRPr="00D44280">
        <w:rPr>
          <w:rFonts w:ascii="Arial" w:hAnsi="Arial" w:cs="Arial"/>
          <w:sz w:val="24"/>
          <w:szCs w:val="24"/>
        </w:rPr>
        <w:t xml:space="preserve">Já a teoria </w:t>
      </w:r>
      <w:proofErr w:type="spellStart"/>
      <w:r w:rsidR="00220912" w:rsidRPr="00D44280">
        <w:rPr>
          <w:rFonts w:ascii="Arial" w:hAnsi="Arial" w:cs="Arial"/>
          <w:sz w:val="24"/>
          <w:szCs w:val="24"/>
        </w:rPr>
        <w:t>substancialista</w:t>
      </w:r>
      <w:proofErr w:type="spellEnd"/>
      <w:r w:rsidR="00220912" w:rsidRPr="00D44280">
        <w:rPr>
          <w:rFonts w:ascii="Arial" w:hAnsi="Arial" w:cs="Arial"/>
          <w:sz w:val="24"/>
          <w:szCs w:val="24"/>
        </w:rPr>
        <w:t xml:space="preserve"> leciona que as regras falimentares pertencem ao direito material, sendo o processo falimentar mero instrumento que viabiliza a realização das normas de direito substantivo. Por fim, profusa doutrina aponta para o reconhecimento da natureza processual do instituto da falência, tratando o instituto como execução coletiva a qual está submetido o devedor comerciante. </w:t>
      </w:r>
    </w:p>
    <w:p w:rsidR="00D44280" w:rsidRPr="00D44280" w:rsidRDefault="00D44280" w:rsidP="00D35B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49E0" w:rsidRPr="00D44280" w:rsidRDefault="00C21B00" w:rsidP="00D35B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44280">
        <w:rPr>
          <w:rFonts w:ascii="Arial" w:hAnsi="Arial" w:cs="Arial"/>
          <w:b/>
          <w:sz w:val="24"/>
          <w:szCs w:val="24"/>
        </w:rPr>
        <w:t>2</w:t>
      </w:r>
      <w:proofErr w:type="gramEnd"/>
      <w:r w:rsidR="008D49E0" w:rsidRPr="00D44280">
        <w:rPr>
          <w:rFonts w:ascii="Arial" w:hAnsi="Arial" w:cs="Arial"/>
          <w:b/>
          <w:sz w:val="24"/>
          <w:szCs w:val="24"/>
        </w:rPr>
        <w:t xml:space="preserve"> DA FALÊNCIA SUMÁRIA</w:t>
      </w:r>
    </w:p>
    <w:p w:rsidR="00D44280" w:rsidRPr="00D44280" w:rsidRDefault="00D44280" w:rsidP="00D35B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D49E0" w:rsidRPr="00D44280" w:rsidRDefault="008D49E0" w:rsidP="00D35B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4280">
        <w:rPr>
          <w:rFonts w:ascii="Arial" w:hAnsi="Arial" w:cs="Arial"/>
          <w:sz w:val="24"/>
          <w:szCs w:val="24"/>
        </w:rPr>
        <w:tab/>
        <w:t xml:space="preserve">A falência sumária seria a adoção de um rito simplificado para as causas em que o passivo pequeno não excedesse cem vezes o salário mínimo à época. </w:t>
      </w:r>
    </w:p>
    <w:p w:rsidR="00E24ED7" w:rsidRPr="00D44280" w:rsidRDefault="00E24ED7" w:rsidP="00D35B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4280">
        <w:rPr>
          <w:rFonts w:ascii="Arial" w:hAnsi="Arial" w:cs="Arial"/>
          <w:sz w:val="24"/>
          <w:szCs w:val="24"/>
        </w:rPr>
        <w:tab/>
        <w:t xml:space="preserve">No Decreto-lei nº 7.661, </w:t>
      </w:r>
      <w:r w:rsidR="00AF01E4" w:rsidRPr="00D44280">
        <w:rPr>
          <w:rFonts w:ascii="Arial" w:hAnsi="Arial" w:cs="Arial"/>
          <w:sz w:val="24"/>
          <w:szCs w:val="24"/>
        </w:rPr>
        <w:t xml:space="preserve">antiga lei que regia o processo falimentar, </w:t>
      </w:r>
      <w:r w:rsidRPr="00D44280">
        <w:rPr>
          <w:rFonts w:ascii="Arial" w:hAnsi="Arial" w:cs="Arial"/>
          <w:sz w:val="24"/>
          <w:szCs w:val="24"/>
        </w:rPr>
        <w:t xml:space="preserve">o síndico, denominado hodiernamente de administrador judicial, não poderia adotar o procedimento sumário logo de início, teria de requerer ao judiciário a adoção do procedimento correto. A partir desse pedido, o juiz da causa poderia determinar o rito sumário para o caso. </w:t>
      </w:r>
      <w:r w:rsidR="00AF01E4" w:rsidRPr="00D44280">
        <w:rPr>
          <w:rFonts w:ascii="Arial" w:hAnsi="Arial" w:cs="Arial"/>
          <w:sz w:val="24"/>
          <w:szCs w:val="24"/>
        </w:rPr>
        <w:t xml:space="preserve">Caso não houvesse </w:t>
      </w:r>
      <w:proofErr w:type="gramStart"/>
      <w:r w:rsidR="00AF01E4" w:rsidRPr="00D44280">
        <w:rPr>
          <w:rFonts w:ascii="Arial" w:hAnsi="Arial" w:cs="Arial"/>
          <w:sz w:val="24"/>
          <w:szCs w:val="24"/>
        </w:rPr>
        <w:t>denúncia criminal ou pedido de concordata</w:t>
      </w:r>
      <w:proofErr w:type="gramEnd"/>
      <w:r w:rsidR="00AF01E4" w:rsidRPr="00D44280">
        <w:rPr>
          <w:rFonts w:ascii="Arial" w:hAnsi="Arial" w:cs="Arial"/>
          <w:sz w:val="24"/>
          <w:szCs w:val="24"/>
        </w:rPr>
        <w:t>, para por fim ao processo, o síndico já procedia à realização do ativo.</w:t>
      </w:r>
    </w:p>
    <w:p w:rsidR="00AF01E4" w:rsidRPr="00D44280" w:rsidRDefault="00AF01E4" w:rsidP="00D35B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4280">
        <w:rPr>
          <w:rFonts w:ascii="Arial" w:hAnsi="Arial" w:cs="Arial"/>
          <w:sz w:val="24"/>
          <w:szCs w:val="24"/>
        </w:rPr>
        <w:tab/>
        <w:t xml:space="preserve">Esse procedimento diferenciado tinha por objetivo dar celeridade aos casos de falência de menor complexidade, onde o montante passivo declarado pelos credores fosse de até cem vezes o salário mínimo então vigente. </w:t>
      </w:r>
    </w:p>
    <w:p w:rsidR="00AF01E4" w:rsidRPr="00D44280" w:rsidRDefault="00AF01E4" w:rsidP="00D35B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4280">
        <w:rPr>
          <w:rFonts w:ascii="Arial" w:hAnsi="Arial" w:cs="Arial"/>
          <w:sz w:val="24"/>
          <w:szCs w:val="24"/>
        </w:rPr>
        <w:tab/>
        <w:t xml:space="preserve">No contexto da promulgação da nova lei de falências, a Lei 11.101/2005, não existe dispositivo que traga menção expressa à falência sumária. Ocorre, portando, uma aparente deficiência da nova legislação, uma vez que esta subtraíra do ordenamento jurídico a previsão do rito sumário no processo falimentar oportunamente enquadrado na legislação agora ultrapassada. </w:t>
      </w:r>
    </w:p>
    <w:p w:rsidR="00176C5A" w:rsidRPr="00D44280" w:rsidRDefault="00AF01E4" w:rsidP="00D35B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4280">
        <w:rPr>
          <w:rFonts w:ascii="Arial" w:hAnsi="Arial" w:cs="Arial"/>
          <w:sz w:val="24"/>
          <w:szCs w:val="24"/>
        </w:rPr>
        <w:lastRenderedPageBreak/>
        <w:tab/>
        <w:t xml:space="preserve">Assim, devendo </w:t>
      </w:r>
      <w:r w:rsidR="00176C5A" w:rsidRPr="00D44280">
        <w:rPr>
          <w:rFonts w:ascii="Arial" w:hAnsi="Arial" w:cs="Arial"/>
          <w:sz w:val="24"/>
          <w:szCs w:val="24"/>
        </w:rPr>
        <w:t xml:space="preserve">acontecer </w:t>
      </w:r>
      <w:proofErr w:type="gramStart"/>
      <w:r w:rsidR="00176C5A" w:rsidRPr="00D44280">
        <w:rPr>
          <w:rFonts w:ascii="Arial" w:hAnsi="Arial" w:cs="Arial"/>
          <w:sz w:val="24"/>
          <w:szCs w:val="24"/>
        </w:rPr>
        <w:t>a</w:t>
      </w:r>
      <w:proofErr w:type="gramEnd"/>
      <w:r w:rsidRPr="00D44280">
        <w:rPr>
          <w:rFonts w:ascii="Arial" w:hAnsi="Arial" w:cs="Arial"/>
          <w:sz w:val="24"/>
          <w:szCs w:val="24"/>
        </w:rPr>
        <w:t xml:space="preserve"> integração da lacuna mencionada, deve-se interpretar extensivamente a nova legislação falimentar que possui em seu texto a alusão aos princípios da celeridade e economia processual. </w:t>
      </w:r>
      <w:r w:rsidR="00176C5A" w:rsidRPr="00D44280">
        <w:rPr>
          <w:rFonts w:ascii="Arial" w:hAnsi="Arial" w:cs="Arial"/>
          <w:sz w:val="24"/>
          <w:szCs w:val="24"/>
        </w:rPr>
        <w:t xml:space="preserve">Desta feita, a retirada da chamada falência sumária do ordenamento jurídico brasileiro seria evidentemente contrária aos princípios supracitados. Esta é a solução adotada pela doutrina e, primordialmente, pela construção pretoriana.  </w:t>
      </w:r>
    </w:p>
    <w:p w:rsidR="00D44280" w:rsidRPr="00D44280" w:rsidRDefault="00D44280" w:rsidP="00D35B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01E4" w:rsidRPr="00D44280" w:rsidRDefault="00416B52" w:rsidP="00D35B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44280">
        <w:rPr>
          <w:rFonts w:ascii="Arial" w:hAnsi="Arial" w:cs="Arial"/>
          <w:b/>
          <w:sz w:val="24"/>
          <w:szCs w:val="24"/>
        </w:rPr>
        <w:t>3</w:t>
      </w:r>
      <w:proofErr w:type="gramEnd"/>
      <w:r w:rsidRPr="00D44280">
        <w:rPr>
          <w:rFonts w:ascii="Arial" w:hAnsi="Arial" w:cs="Arial"/>
          <w:b/>
          <w:sz w:val="24"/>
          <w:szCs w:val="24"/>
        </w:rPr>
        <w:t xml:space="preserve"> DA FALÊNCIA FRUSTRADA</w:t>
      </w:r>
      <w:r w:rsidR="00AF01E4" w:rsidRPr="00D44280">
        <w:rPr>
          <w:rFonts w:ascii="Arial" w:hAnsi="Arial" w:cs="Arial"/>
          <w:b/>
          <w:sz w:val="24"/>
          <w:szCs w:val="24"/>
        </w:rPr>
        <w:tab/>
      </w:r>
    </w:p>
    <w:p w:rsidR="00D44280" w:rsidRPr="00D44280" w:rsidRDefault="00D44280" w:rsidP="00D35B6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1C10" w:rsidRPr="00D44280" w:rsidRDefault="00301C10" w:rsidP="00D35B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4280">
        <w:rPr>
          <w:rFonts w:ascii="Arial" w:hAnsi="Arial" w:cs="Arial"/>
          <w:b/>
          <w:sz w:val="24"/>
          <w:szCs w:val="24"/>
        </w:rPr>
        <w:tab/>
      </w:r>
      <w:r w:rsidRPr="00D44280">
        <w:rPr>
          <w:rFonts w:ascii="Arial" w:hAnsi="Arial" w:cs="Arial"/>
          <w:sz w:val="24"/>
          <w:szCs w:val="24"/>
        </w:rPr>
        <w:t>A falência frustrada, prevista também na antiga legislação (Decreto-lei 7.661/45), acontecia quando o síndico, durante o período de arrecadação, não encontrava bens do falido ou apenas bens de valor ínfimo, insuficientes para custear inclusive o processo. Neste caso, dever-se-ia comunicar imediatamente ao juiz da causa. A partir deste ato do síndico, um edital seria publicado com o objetivo de dar ciência aos interessados.</w:t>
      </w:r>
    </w:p>
    <w:p w:rsidR="00301C10" w:rsidRPr="00D44280" w:rsidRDefault="00301C10" w:rsidP="00D35B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4280">
        <w:rPr>
          <w:rFonts w:ascii="Arial" w:hAnsi="Arial" w:cs="Arial"/>
          <w:sz w:val="24"/>
          <w:szCs w:val="24"/>
        </w:rPr>
        <w:tab/>
        <w:t xml:space="preserve">Caso persista a falta de localização de bens, ou ainda não haja candidatos para arcar comas custas do prosseguimento normal, haveria a conversão para um rito especial, qual </w:t>
      </w:r>
      <w:proofErr w:type="gramStart"/>
      <w:r w:rsidRPr="00D44280">
        <w:rPr>
          <w:rFonts w:ascii="Arial" w:hAnsi="Arial" w:cs="Arial"/>
          <w:sz w:val="24"/>
          <w:szCs w:val="24"/>
        </w:rPr>
        <w:t>seja,</w:t>
      </w:r>
      <w:proofErr w:type="gramEnd"/>
      <w:r w:rsidRPr="00D44280">
        <w:rPr>
          <w:rFonts w:ascii="Arial" w:hAnsi="Arial" w:cs="Arial"/>
          <w:sz w:val="24"/>
          <w:szCs w:val="24"/>
        </w:rPr>
        <w:t xml:space="preserve"> o rito da falência frustrada.</w:t>
      </w:r>
    </w:p>
    <w:p w:rsidR="00301C10" w:rsidRPr="00D44280" w:rsidRDefault="00301C10" w:rsidP="00D35B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4280">
        <w:rPr>
          <w:rFonts w:ascii="Arial" w:hAnsi="Arial" w:cs="Arial"/>
          <w:sz w:val="24"/>
          <w:szCs w:val="24"/>
        </w:rPr>
        <w:tab/>
        <w:t xml:space="preserve">Os bens que ainda assim foram arrecadados são prontamente vendidos. Além disso, o síndico deveria apresentar um único relatório (em vez de três). Não há, então, necessidade dos autos de declarações de crédito. Ocorre, ainda, a supressão da fase de liquidação, por decorrência lógica de não ter o que se liquidar. Todavia, o inquérito judicial ainda é necessário, que ensejaria o encerramento da falência pelo magistrado após sua solução.  </w:t>
      </w:r>
    </w:p>
    <w:p w:rsidR="00A21B9F" w:rsidRPr="00D44280" w:rsidRDefault="00A21B9F" w:rsidP="00010A7F">
      <w:pPr>
        <w:pStyle w:val="NormalWeb"/>
        <w:shd w:val="clear" w:color="auto" w:fill="FFFFFF"/>
        <w:rPr>
          <w:rFonts w:ascii="Arial" w:hAnsi="Arial" w:cs="Arial"/>
          <w:color w:val="3A382C"/>
          <w:sz w:val="18"/>
          <w:szCs w:val="18"/>
        </w:rPr>
      </w:pPr>
    </w:p>
    <w:p w:rsidR="00A21B9F" w:rsidRPr="00D44280" w:rsidRDefault="00A21B9F" w:rsidP="00010A7F">
      <w:pPr>
        <w:pStyle w:val="NormalWeb"/>
        <w:shd w:val="clear" w:color="auto" w:fill="FFFFFF"/>
        <w:rPr>
          <w:rFonts w:ascii="Arial" w:hAnsi="Arial" w:cs="Arial"/>
          <w:color w:val="3A382C"/>
          <w:sz w:val="18"/>
          <w:szCs w:val="18"/>
        </w:rPr>
      </w:pPr>
    </w:p>
    <w:p w:rsidR="00010A7F" w:rsidRPr="00D44280" w:rsidRDefault="00010A7F" w:rsidP="00010A7F">
      <w:pPr>
        <w:rPr>
          <w:rFonts w:ascii="Arial" w:hAnsi="Arial" w:cs="Arial"/>
        </w:rPr>
      </w:pPr>
    </w:p>
    <w:p w:rsidR="00D35B62" w:rsidRPr="00D44280" w:rsidRDefault="00D35B62" w:rsidP="00010A7F">
      <w:pPr>
        <w:rPr>
          <w:rFonts w:ascii="Arial" w:hAnsi="Arial" w:cs="Arial"/>
        </w:rPr>
      </w:pPr>
    </w:p>
    <w:p w:rsidR="00220912" w:rsidRPr="00D44280" w:rsidRDefault="00220912" w:rsidP="00010A7F">
      <w:pPr>
        <w:rPr>
          <w:rFonts w:ascii="Arial" w:hAnsi="Arial" w:cs="Arial"/>
        </w:rPr>
      </w:pPr>
    </w:p>
    <w:p w:rsidR="00220912" w:rsidRPr="00D44280" w:rsidRDefault="00220912" w:rsidP="00010A7F">
      <w:pPr>
        <w:rPr>
          <w:rFonts w:ascii="Arial" w:hAnsi="Arial" w:cs="Arial"/>
        </w:rPr>
      </w:pPr>
    </w:p>
    <w:p w:rsidR="00220912" w:rsidRPr="00D44280" w:rsidRDefault="00220912" w:rsidP="00010A7F">
      <w:pPr>
        <w:rPr>
          <w:rFonts w:ascii="Arial" w:hAnsi="Arial" w:cs="Arial"/>
        </w:rPr>
      </w:pPr>
    </w:p>
    <w:p w:rsidR="00220912" w:rsidRPr="00D44280" w:rsidRDefault="00220912" w:rsidP="00010A7F">
      <w:pPr>
        <w:rPr>
          <w:rFonts w:ascii="Arial" w:hAnsi="Arial" w:cs="Arial"/>
        </w:rPr>
      </w:pPr>
    </w:p>
    <w:p w:rsidR="00220912" w:rsidRPr="00D44280" w:rsidRDefault="00220912" w:rsidP="00010A7F">
      <w:pPr>
        <w:rPr>
          <w:rFonts w:ascii="Arial" w:hAnsi="Arial" w:cs="Arial"/>
        </w:rPr>
      </w:pPr>
    </w:p>
    <w:p w:rsidR="00220912" w:rsidRPr="00D44280" w:rsidRDefault="00220912" w:rsidP="00010A7F">
      <w:pPr>
        <w:rPr>
          <w:rFonts w:ascii="Arial" w:hAnsi="Arial" w:cs="Arial"/>
        </w:rPr>
      </w:pPr>
    </w:p>
    <w:p w:rsidR="00220912" w:rsidRPr="00D44280" w:rsidRDefault="00220912" w:rsidP="00010A7F">
      <w:pPr>
        <w:rPr>
          <w:rFonts w:ascii="Arial" w:hAnsi="Arial" w:cs="Arial"/>
        </w:rPr>
      </w:pPr>
    </w:p>
    <w:p w:rsidR="00220912" w:rsidRPr="00D44280" w:rsidRDefault="00220912" w:rsidP="00010A7F">
      <w:pPr>
        <w:rPr>
          <w:rFonts w:ascii="Arial" w:hAnsi="Arial" w:cs="Arial"/>
        </w:rPr>
      </w:pPr>
    </w:p>
    <w:p w:rsidR="00220912" w:rsidRPr="00D44280" w:rsidRDefault="00220912" w:rsidP="00010A7F">
      <w:pPr>
        <w:rPr>
          <w:rFonts w:ascii="Arial" w:hAnsi="Arial" w:cs="Arial"/>
        </w:rPr>
      </w:pPr>
    </w:p>
    <w:p w:rsidR="00D35B62" w:rsidRPr="00D44280" w:rsidRDefault="00D35B62" w:rsidP="00010A7F">
      <w:pPr>
        <w:rPr>
          <w:rFonts w:ascii="Arial" w:hAnsi="Arial" w:cs="Arial"/>
        </w:rPr>
      </w:pPr>
    </w:p>
    <w:p w:rsidR="00D35B62" w:rsidRPr="00D44280" w:rsidRDefault="00D35B62" w:rsidP="00D44280">
      <w:pPr>
        <w:rPr>
          <w:rFonts w:ascii="Arial" w:hAnsi="Arial" w:cs="Arial"/>
          <w:b/>
          <w:sz w:val="24"/>
          <w:szCs w:val="24"/>
        </w:rPr>
      </w:pPr>
      <w:r w:rsidRPr="00D44280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D35B62" w:rsidRPr="00D44280" w:rsidRDefault="00D35B62" w:rsidP="00D44280">
      <w:pPr>
        <w:spacing w:after="240"/>
        <w:rPr>
          <w:rFonts w:ascii="Arial" w:hAnsi="Arial" w:cs="Arial"/>
          <w:sz w:val="24"/>
          <w:szCs w:val="24"/>
        </w:rPr>
      </w:pPr>
    </w:p>
    <w:p w:rsidR="00D35B62" w:rsidRPr="00D44280" w:rsidRDefault="00D35B62" w:rsidP="00010A7F">
      <w:pPr>
        <w:rPr>
          <w:rFonts w:ascii="Arial" w:hAnsi="Arial" w:cs="Arial"/>
          <w:color w:val="000000" w:themeColor="text1"/>
          <w:sz w:val="24"/>
          <w:szCs w:val="24"/>
        </w:rPr>
      </w:pPr>
      <w:r w:rsidRPr="00D44280">
        <w:rPr>
          <w:rFonts w:ascii="Arial" w:hAnsi="Arial" w:cs="Arial"/>
          <w:color w:val="000000" w:themeColor="text1"/>
          <w:sz w:val="24"/>
          <w:szCs w:val="24"/>
        </w:rPr>
        <w:t>PORTO, Fábio da Silva. A jurisdição no processo de falência. In</w:t>
      </w:r>
      <w:r w:rsidRPr="00D44280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Âmbito Jurídico</w:t>
      </w:r>
      <w:r w:rsidRPr="00D44280">
        <w:rPr>
          <w:rFonts w:ascii="Arial" w:hAnsi="Arial" w:cs="Arial"/>
          <w:color w:val="000000" w:themeColor="text1"/>
          <w:sz w:val="24"/>
          <w:szCs w:val="24"/>
        </w:rPr>
        <w:t>, Rio Grande, II, n. 4, fev 2001. Disponível em: &lt;</w:t>
      </w:r>
      <w:hyperlink r:id="rId8" w:tooltip="Informações Bibliográficas" w:history="1">
        <w:r w:rsidRPr="00D44280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http://www.ambito-juridico.com.br/site/index.php?n_link=revista_artigos_leitura&amp;artigo_id=2131</w:t>
        </w:r>
      </w:hyperlink>
      <w:r w:rsidRPr="00D44280">
        <w:rPr>
          <w:rFonts w:ascii="Arial" w:hAnsi="Arial" w:cs="Arial"/>
          <w:color w:val="000000" w:themeColor="text1"/>
          <w:sz w:val="24"/>
          <w:szCs w:val="24"/>
        </w:rPr>
        <w:t>&gt;. Acesso em set 2013</w:t>
      </w:r>
    </w:p>
    <w:p w:rsidR="00D35B62" w:rsidRPr="00D44280" w:rsidRDefault="00D35B62" w:rsidP="00D44280">
      <w:pPr>
        <w:spacing w:after="240"/>
        <w:rPr>
          <w:rFonts w:ascii="Arial" w:hAnsi="Arial" w:cs="Arial"/>
          <w:color w:val="000000" w:themeColor="text1"/>
          <w:sz w:val="24"/>
          <w:szCs w:val="24"/>
        </w:rPr>
      </w:pPr>
    </w:p>
    <w:p w:rsidR="00220912" w:rsidRPr="00D44280" w:rsidRDefault="00220912" w:rsidP="00220912">
      <w:pPr>
        <w:rPr>
          <w:rFonts w:ascii="Arial" w:hAnsi="Arial" w:cs="Arial"/>
          <w:color w:val="000000" w:themeColor="text1"/>
          <w:sz w:val="24"/>
          <w:szCs w:val="24"/>
        </w:rPr>
      </w:pPr>
      <w:r w:rsidRPr="00D44280">
        <w:rPr>
          <w:rFonts w:ascii="Arial" w:hAnsi="Arial" w:cs="Arial"/>
          <w:color w:val="000000" w:themeColor="text1"/>
          <w:sz w:val="24"/>
          <w:szCs w:val="24"/>
        </w:rPr>
        <w:t xml:space="preserve">THOMÉ, Georgina Maria; MARCO, Carla Fernanda de </w:t>
      </w:r>
      <w:proofErr w:type="gramStart"/>
      <w:r w:rsidRPr="00D44280">
        <w:rPr>
          <w:rFonts w:ascii="Arial" w:hAnsi="Arial" w:cs="Arial"/>
          <w:color w:val="000000" w:themeColor="text1"/>
          <w:sz w:val="24"/>
          <w:szCs w:val="24"/>
        </w:rPr>
        <w:t>et</w:t>
      </w:r>
      <w:proofErr w:type="gramEnd"/>
      <w:r w:rsidRPr="00D44280">
        <w:rPr>
          <w:rFonts w:ascii="Arial" w:hAnsi="Arial" w:cs="Arial"/>
          <w:color w:val="000000" w:themeColor="text1"/>
          <w:sz w:val="24"/>
          <w:szCs w:val="24"/>
        </w:rPr>
        <w:t xml:space="preserve"> al. Falência e sua evolução: da quebra à reorganização da empresa. </w:t>
      </w:r>
      <w:r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 xml:space="preserve">Jus </w:t>
      </w:r>
      <w:proofErr w:type="spellStart"/>
      <w:r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</w:rPr>
        <w:t>Navigandi</w:t>
      </w:r>
      <w:proofErr w:type="spellEnd"/>
      <w:r w:rsidRPr="00D44280">
        <w:rPr>
          <w:rFonts w:ascii="Arial" w:hAnsi="Arial" w:cs="Arial"/>
          <w:color w:val="000000" w:themeColor="text1"/>
          <w:sz w:val="24"/>
          <w:szCs w:val="24"/>
        </w:rPr>
        <w:t xml:space="preserve">, Teresina, </w:t>
      </w:r>
      <w:hyperlink r:id="rId9" w:history="1">
        <w:r w:rsidRPr="00D44280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ano 5</w:t>
        </w:r>
      </w:hyperlink>
      <w:r w:rsidRPr="00D4428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0" w:history="1">
        <w:r w:rsidRPr="00D44280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n. 41</w:t>
        </w:r>
      </w:hyperlink>
      <w:r w:rsidRPr="00D4428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1" w:history="1">
        <w:r w:rsidRPr="00D44280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1</w:t>
        </w:r>
      </w:hyperlink>
      <w:r w:rsidRPr="00D442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2" w:history="1">
        <w:r w:rsidRPr="00D44280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maio</w:t>
        </w:r>
      </w:hyperlink>
      <w:r w:rsidRPr="00D442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3" w:history="1">
        <w:r w:rsidRPr="00D44280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2000</w:t>
        </w:r>
      </w:hyperlink>
      <w:proofErr w:type="gramStart"/>
      <w:r w:rsidRPr="00D44280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  <w:r w:rsidRPr="00D44280">
        <w:rPr>
          <w:rFonts w:ascii="Arial" w:hAnsi="Arial" w:cs="Arial"/>
          <w:color w:val="000000" w:themeColor="text1"/>
          <w:sz w:val="24"/>
          <w:szCs w:val="24"/>
        </w:rPr>
        <w:t xml:space="preserve"> Disponível em: </w:t>
      </w:r>
      <w:r w:rsidRPr="00D44280">
        <w:rPr>
          <w:rStyle w:val="url"/>
          <w:rFonts w:ascii="Arial" w:hAnsi="Arial" w:cs="Arial"/>
          <w:color w:val="000000" w:themeColor="text1"/>
          <w:sz w:val="24"/>
          <w:szCs w:val="24"/>
        </w:rPr>
        <w:t>&lt;</w:t>
      </w:r>
      <w:hyperlink r:id="rId14" w:history="1">
        <w:r w:rsidRPr="00D44280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http://jus.com.br/artigos/760</w:t>
        </w:r>
      </w:hyperlink>
      <w:r w:rsidRPr="00D44280">
        <w:rPr>
          <w:rStyle w:val="url"/>
          <w:rFonts w:ascii="Arial" w:hAnsi="Arial" w:cs="Arial"/>
          <w:color w:val="000000" w:themeColor="text1"/>
          <w:sz w:val="24"/>
          <w:szCs w:val="24"/>
        </w:rPr>
        <w:t>&gt;</w:t>
      </w:r>
      <w:r w:rsidRPr="00D44280">
        <w:rPr>
          <w:rFonts w:ascii="Arial" w:hAnsi="Arial" w:cs="Arial"/>
          <w:color w:val="000000" w:themeColor="text1"/>
          <w:sz w:val="24"/>
          <w:szCs w:val="24"/>
        </w:rPr>
        <w:t xml:space="preserve">. Acesso em: </w:t>
      </w:r>
      <w:r w:rsidRPr="00D44280">
        <w:rPr>
          <w:rStyle w:val="timeaccess"/>
          <w:rFonts w:ascii="Arial" w:hAnsi="Arial" w:cs="Arial"/>
          <w:color w:val="000000" w:themeColor="text1"/>
          <w:sz w:val="24"/>
          <w:szCs w:val="24"/>
        </w:rPr>
        <w:t>23 set. 2013</w:t>
      </w:r>
      <w:r w:rsidRPr="00D4428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20912" w:rsidRPr="00D44280" w:rsidRDefault="00220912" w:rsidP="00D44280">
      <w:pPr>
        <w:shd w:val="clear" w:color="auto" w:fill="FFFFFF"/>
        <w:spacing w:after="240"/>
        <w:rPr>
          <w:rFonts w:ascii="Arial" w:hAnsi="Arial" w:cs="Arial"/>
          <w:color w:val="000000"/>
        </w:rPr>
      </w:pPr>
    </w:p>
    <w:p w:rsidR="00220912" w:rsidRPr="00D44280" w:rsidRDefault="00ED4154" w:rsidP="00220912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D442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LEITE, Gisele Pereira Jorge. Considerações sobre a instauração da falência. In:</w:t>
      </w:r>
      <w:r w:rsidRPr="00D44280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D4428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Âmbito Jurídico</w:t>
      </w:r>
      <w:r w:rsidRPr="00D442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Rio Grande, XI, n. 59, </w:t>
      </w:r>
      <w:proofErr w:type="spellStart"/>
      <w:r w:rsidRPr="00D442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</w:t>
      </w:r>
      <w:proofErr w:type="spellEnd"/>
      <w:r w:rsidRPr="00D442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2008. Disponível em: &lt;</w:t>
      </w:r>
      <w:hyperlink r:id="rId15" w:tooltip="Informações Bibliográficas" w:history="1">
        <w:r w:rsidRPr="00D44280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http://www.ambito-juridico.com.br/site/index.php?artigo_id=5314&amp;n_link=revista_artigos_leitura</w:t>
        </w:r>
      </w:hyperlink>
      <w:r w:rsidRPr="00D442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&gt;. Acesso em set 2013.</w:t>
      </w:r>
      <w:bookmarkStart w:id="0" w:name="_GoBack"/>
      <w:bookmarkEnd w:id="0"/>
    </w:p>
    <w:p w:rsidR="00220912" w:rsidRPr="00D44280" w:rsidRDefault="00220912" w:rsidP="00010A7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35B62" w:rsidRPr="00D44280" w:rsidRDefault="00D35B62" w:rsidP="00010A7F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D35B62" w:rsidRPr="00D44280" w:rsidSect="00503285">
      <w:footerReference w:type="default" r:id="rId16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9A9" w:rsidRDefault="001879A9" w:rsidP="00503285">
      <w:r>
        <w:separator/>
      </w:r>
    </w:p>
  </w:endnote>
  <w:endnote w:type="continuationSeparator" w:id="0">
    <w:p w:rsidR="001879A9" w:rsidRDefault="001879A9" w:rsidP="00503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85" w:rsidRDefault="005032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9A9" w:rsidRDefault="001879A9" w:rsidP="00503285">
      <w:r>
        <w:separator/>
      </w:r>
    </w:p>
  </w:footnote>
  <w:footnote w:type="continuationSeparator" w:id="0">
    <w:p w:rsidR="001879A9" w:rsidRDefault="001879A9" w:rsidP="00503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1D75"/>
    <w:multiLevelType w:val="hybridMultilevel"/>
    <w:tmpl w:val="FB14E9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95298"/>
    <w:multiLevelType w:val="multilevel"/>
    <w:tmpl w:val="BACA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6348F"/>
    <w:multiLevelType w:val="hybridMultilevel"/>
    <w:tmpl w:val="F19C92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54532"/>
    <w:multiLevelType w:val="multilevel"/>
    <w:tmpl w:val="8B08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A7F"/>
    <w:rsid w:val="00010A7F"/>
    <w:rsid w:val="00176C5A"/>
    <w:rsid w:val="00183375"/>
    <w:rsid w:val="001879A9"/>
    <w:rsid w:val="00220912"/>
    <w:rsid w:val="00301C10"/>
    <w:rsid w:val="00305865"/>
    <w:rsid w:val="00416B52"/>
    <w:rsid w:val="00461092"/>
    <w:rsid w:val="004837B6"/>
    <w:rsid w:val="00503285"/>
    <w:rsid w:val="0056288D"/>
    <w:rsid w:val="005B3B4C"/>
    <w:rsid w:val="0088755B"/>
    <w:rsid w:val="008D49E0"/>
    <w:rsid w:val="009A2E5A"/>
    <w:rsid w:val="00A21B9F"/>
    <w:rsid w:val="00AF01E4"/>
    <w:rsid w:val="00B44D66"/>
    <w:rsid w:val="00B574E8"/>
    <w:rsid w:val="00C21B00"/>
    <w:rsid w:val="00D35B62"/>
    <w:rsid w:val="00D44280"/>
    <w:rsid w:val="00DC1877"/>
    <w:rsid w:val="00E24ED7"/>
    <w:rsid w:val="00E8107E"/>
    <w:rsid w:val="00ED4154"/>
    <w:rsid w:val="00F0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0A7F"/>
    <w:pPr>
      <w:keepNext/>
      <w:outlineLvl w:val="0"/>
    </w:pPr>
    <w:rPr>
      <w:b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10A7F"/>
    <w:pPr>
      <w:keepNext/>
      <w:jc w:val="center"/>
      <w:outlineLvl w:val="2"/>
    </w:pPr>
    <w:rPr>
      <w:b/>
      <w:sz w:val="32"/>
    </w:rPr>
  </w:style>
  <w:style w:type="paragraph" w:styleId="Ttulo5">
    <w:name w:val="heading 5"/>
    <w:basedOn w:val="Normal"/>
    <w:next w:val="Normal"/>
    <w:link w:val="Ttulo5Char"/>
    <w:unhideWhenUsed/>
    <w:qFormat/>
    <w:rsid w:val="00010A7F"/>
    <w:pPr>
      <w:keepNext/>
      <w:jc w:val="center"/>
      <w:outlineLvl w:val="4"/>
    </w:pPr>
    <w:rPr>
      <w:b/>
      <w:color w:val="FFFFFF"/>
      <w:sz w:val="32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10A7F"/>
    <w:pPr>
      <w:keepNext/>
      <w:jc w:val="center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0A7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10A7F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10A7F"/>
    <w:rPr>
      <w:rFonts w:ascii="Times New Roman" w:eastAsia="Times New Roman" w:hAnsi="Times New Roman" w:cs="Times New Roman"/>
      <w:b/>
      <w:color w:val="FFFFFF"/>
      <w:sz w:val="32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10A7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10A7F"/>
    <w:pPr>
      <w:spacing w:line="360" w:lineRule="auto"/>
      <w:jc w:val="center"/>
    </w:pPr>
    <w:rPr>
      <w:b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010A7F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Standard">
    <w:name w:val="Standard"/>
    <w:rsid w:val="00010A7F"/>
    <w:pPr>
      <w:widowControl w:val="0"/>
      <w:suppressAutoHyphens/>
      <w:autoSpaceDN w:val="0"/>
      <w:spacing w:after="0" w:line="240" w:lineRule="auto"/>
    </w:pPr>
    <w:rPr>
      <w:rFonts w:ascii="Thorndale AMT" w:eastAsia="Arial" w:hAnsi="Thorndale AMT" w:cs="Tahoma"/>
      <w:kern w:val="3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10A7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10A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0A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10A7F"/>
  </w:style>
  <w:style w:type="character" w:styleId="Hyperlink">
    <w:name w:val="Hyperlink"/>
    <w:basedOn w:val="Fontepargpadro"/>
    <w:uiPriority w:val="99"/>
    <w:semiHidden/>
    <w:unhideWhenUsed/>
    <w:rsid w:val="00A21B9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032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2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32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28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url">
    <w:name w:val="url"/>
    <w:basedOn w:val="Fontepargpadro"/>
    <w:rsid w:val="00220912"/>
  </w:style>
  <w:style w:type="character" w:customStyle="1" w:styleId="timeaccess">
    <w:name w:val="timeaccess"/>
    <w:basedOn w:val="Fontepargpadro"/>
    <w:rsid w:val="00220912"/>
  </w:style>
  <w:style w:type="character" w:customStyle="1" w:styleId="viajus">
    <w:name w:val="viajus"/>
    <w:basedOn w:val="Fontepargpadro"/>
    <w:rsid w:val="008D4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0A7F"/>
    <w:pPr>
      <w:keepNext/>
      <w:outlineLvl w:val="0"/>
    </w:pPr>
    <w:rPr>
      <w:b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10A7F"/>
    <w:pPr>
      <w:keepNext/>
      <w:jc w:val="center"/>
      <w:outlineLvl w:val="2"/>
    </w:pPr>
    <w:rPr>
      <w:b/>
      <w:sz w:val="32"/>
    </w:rPr>
  </w:style>
  <w:style w:type="paragraph" w:styleId="Ttulo5">
    <w:name w:val="heading 5"/>
    <w:basedOn w:val="Normal"/>
    <w:next w:val="Normal"/>
    <w:link w:val="Ttulo5Char"/>
    <w:unhideWhenUsed/>
    <w:qFormat/>
    <w:rsid w:val="00010A7F"/>
    <w:pPr>
      <w:keepNext/>
      <w:jc w:val="center"/>
      <w:outlineLvl w:val="4"/>
    </w:pPr>
    <w:rPr>
      <w:b/>
      <w:color w:val="FFFFFF"/>
      <w:sz w:val="32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10A7F"/>
    <w:pPr>
      <w:keepNext/>
      <w:jc w:val="center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0A7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10A7F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10A7F"/>
    <w:rPr>
      <w:rFonts w:ascii="Times New Roman" w:eastAsia="Times New Roman" w:hAnsi="Times New Roman" w:cs="Times New Roman"/>
      <w:b/>
      <w:color w:val="FFFFFF"/>
      <w:sz w:val="32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10A7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10A7F"/>
    <w:pPr>
      <w:spacing w:line="360" w:lineRule="auto"/>
      <w:jc w:val="center"/>
    </w:pPr>
    <w:rPr>
      <w:b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010A7F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Standard">
    <w:name w:val="Standard"/>
    <w:rsid w:val="00010A7F"/>
    <w:pPr>
      <w:widowControl w:val="0"/>
      <w:suppressAutoHyphens/>
      <w:autoSpaceDN w:val="0"/>
      <w:spacing w:after="0" w:line="240" w:lineRule="auto"/>
    </w:pPr>
    <w:rPr>
      <w:rFonts w:ascii="Thorndale AMT" w:eastAsia="Arial" w:hAnsi="Thorndale AMT" w:cs="Tahoma"/>
      <w:kern w:val="3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10A7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10A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0A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10A7F"/>
  </w:style>
  <w:style w:type="character" w:styleId="Hyperlink">
    <w:name w:val="Hyperlink"/>
    <w:basedOn w:val="Fontepargpadro"/>
    <w:uiPriority w:val="99"/>
    <w:semiHidden/>
    <w:unhideWhenUsed/>
    <w:rsid w:val="00A21B9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032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2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32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328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url">
    <w:name w:val="url"/>
    <w:basedOn w:val="Fontepargpadro"/>
    <w:rsid w:val="00220912"/>
  </w:style>
  <w:style w:type="character" w:customStyle="1" w:styleId="timeaccess">
    <w:name w:val="timeaccess"/>
    <w:basedOn w:val="Fontepargpadro"/>
    <w:rsid w:val="00220912"/>
  </w:style>
  <w:style w:type="character" w:customStyle="1" w:styleId="viajus">
    <w:name w:val="viajus"/>
    <w:basedOn w:val="Fontepargpadro"/>
    <w:rsid w:val="008D4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ito-juridico.com.br/site/index.php?n_link=revista_artigos_leitura&amp;artigo_id=2131" TargetMode="External"/><Relationship Id="rId13" Type="http://schemas.openxmlformats.org/officeDocument/2006/relationships/hyperlink" Target="http://jus.com.br/revista/edicoes/20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jus.com.br/revista/edicoes/2000/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us.com.br/revista/edicoes/2000/5/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mbito-juridico.com.br/site/index.php?artigo_id=5314&amp;n_link=revista_artigos_leitura" TargetMode="External"/><Relationship Id="rId10" Type="http://schemas.openxmlformats.org/officeDocument/2006/relationships/hyperlink" Target="http://jus.com.br/revista/edicoes/2000/5/1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jus.com.br/revista/edicoes/2000" TargetMode="External"/><Relationship Id="rId14" Type="http://schemas.openxmlformats.org/officeDocument/2006/relationships/hyperlink" Target="http://jus.com.br/artigos/760/falencia-e-sua-evoluc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5</Pages>
  <Words>1155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SETE</cp:lastModifiedBy>
  <cp:revision>7</cp:revision>
  <dcterms:created xsi:type="dcterms:W3CDTF">2013-09-22T22:07:00Z</dcterms:created>
  <dcterms:modified xsi:type="dcterms:W3CDTF">2013-09-24T13:25:00Z</dcterms:modified>
</cp:coreProperties>
</file>