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897" w:rsidRPr="00283822" w:rsidRDefault="00EA043E" w:rsidP="00EA043E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BREVE </w:t>
      </w:r>
      <w:r w:rsidR="001E1897" w:rsidRPr="00283822">
        <w:rPr>
          <w:b/>
          <w:sz w:val="28"/>
          <w:szCs w:val="28"/>
        </w:rPr>
        <w:t>H</w:t>
      </w:r>
      <w:r w:rsidR="001E1897">
        <w:rPr>
          <w:b/>
          <w:sz w:val="28"/>
          <w:szCs w:val="28"/>
        </w:rPr>
        <w:t xml:space="preserve">ISTÓRICO DA LEGISLAÇÃO </w:t>
      </w:r>
      <w:r w:rsidR="001E1897" w:rsidRPr="001E1897">
        <w:rPr>
          <w:b/>
          <w:sz w:val="28"/>
          <w:szCs w:val="28"/>
        </w:rPr>
        <w:t>DE CRIMES RACIAIS NO ORDENAMENTO JURÍDICO BRASILEIRO</w:t>
      </w:r>
    </w:p>
    <w:p w:rsidR="001E1897" w:rsidRDefault="001E1897" w:rsidP="001E1897">
      <w:pPr>
        <w:spacing w:line="360" w:lineRule="auto"/>
        <w:ind w:firstLine="708"/>
        <w:jc w:val="both"/>
      </w:pPr>
    </w:p>
    <w:p w:rsidR="001E1897" w:rsidRPr="00FA0D55" w:rsidRDefault="001E1897" w:rsidP="001E1897">
      <w:pPr>
        <w:spacing w:line="360" w:lineRule="auto"/>
        <w:ind w:firstLine="708"/>
        <w:jc w:val="both"/>
      </w:pPr>
    </w:p>
    <w:p w:rsidR="001E1897" w:rsidRDefault="001E1897" w:rsidP="001E1897">
      <w:pPr>
        <w:spacing w:line="360" w:lineRule="auto"/>
        <w:rPr>
          <w:b/>
          <w:sz w:val="28"/>
          <w:szCs w:val="28"/>
        </w:rPr>
      </w:pPr>
      <w:r w:rsidRPr="00283822">
        <w:rPr>
          <w:b/>
          <w:sz w:val="28"/>
          <w:szCs w:val="28"/>
        </w:rPr>
        <w:t>CÓDIGO PENAL DOS ESTADOS UNIDOS DO BRASIL</w:t>
      </w:r>
    </w:p>
    <w:p w:rsidR="001E1897" w:rsidRPr="00283822" w:rsidRDefault="001E1897" w:rsidP="001E1897">
      <w:pPr>
        <w:spacing w:line="360" w:lineRule="auto"/>
        <w:rPr>
          <w:b/>
          <w:sz w:val="28"/>
          <w:szCs w:val="28"/>
        </w:rPr>
      </w:pPr>
    </w:p>
    <w:p w:rsidR="001E1897" w:rsidRPr="00FA0D55" w:rsidRDefault="001E1897" w:rsidP="001E1897">
      <w:pPr>
        <w:spacing w:line="360" w:lineRule="auto"/>
        <w:ind w:firstLine="708"/>
        <w:jc w:val="both"/>
      </w:pPr>
      <w:r w:rsidRPr="00FA0D55">
        <w:t xml:space="preserve">Após a promulgação da Lei Áurea, é </w:t>
      </w:r>
      <w:proofErr w:type="gramStart"/>
      <w:r w:rsidRPr="00FA0D55">
        <w:t>publicado</w:t>
      </w:r>
      <w:proofErr w:type="gramEnd"/>
      <w:r w:rsidRPr="00FA0D55">
        <w:t xml:space="preserve"> o “Código Penal dos Estados Unidos do Brasil”, </w:t>
      </w:r>
      <w:r>
        <w:t xml:space="preserve">de 11 de outubro </w:t>
      </w:r>
      <w:r w:rsidRPr="00FA0D55">
        <w:t>de 1890, que, não bastasse o não estabelecimento de qualquer conduta punitiva aos autores de discriminação, enuncia como contravenção penal em seu art. 402, primeira parte: “</w:t>
      </w:r>
      <w:r>
        <w:t>Art.402. Fazer nas ruas e praças pú</w:t>
      </w:r>
      <w:r w:rsidRPr="00FA0D55">
        <w:t xml:space="preserve">blicas exercícios de agilidade e destreza corporal conhecidos pela denominação </w:t>
      </w:r>
      <w:proofErr w:type="spellStart"/>
      <w:r w:rsidRPr="00FA0D55">
        <w:t>capoeiragem</w:t>
      </w:r>
      <w:proofErr w:type="spellEnd"/>
      <w:r w:rsidRPr="00FA0D55">
        <w:t xml:space="preserve"> (...) Pena: de prisão celular por dois a seis meses”.</w:t>
      </w:r>
    </w:p>
    <w:p w:rsidR="001E1897" w:rsidRPr="00FA0D55" w:rsidRDefault="001E1897" w:rsidP="001E1897">
      <w:pPr>
        <w:spacing w:line="360" w:lineRule="auto"/>
        <w:ind w:firstLine="708"/>
        <w:jc w:val="both"/>
      </w:pPr>
      <w:r w:rsidRPr="00FA0D55">
        <w:t xml:space="preserve">Note que tal esporte hoje tão praticado no Brasil e no mundo, e que fora uma das mais marcantes e significativas manifestações culturais do negro em nosso país, outrora fora penalizado criminalmente, apenas dois anos após a “libertação dos escravos”; embora não </w:t>
      </w:r>
      <w:proofErr w:type="gramStart"/>
      <w:r w:rsidRPr="00FA0D55">
        <w:t>houvesse expressa</w:t>
      </w:r>
      <w:proofErr w:type="gramEnd"/>
      <w:r w:rsidRPr="00FA0D55">
        <w:t xml:space="preserve"> referencia a seu praticante no texto legislativo.</w:t>
      </w:r>
    </w:p>
    <w:p w:rsidR="001E1897" w:rsidRDefault="001E1897" w:rsidP="001E1897">
      <w:pPr>
        <w:spacing w:line="360" w:lineRule="auto"/>
        <w:ind w:firstLine="708"/>
        <w:jc w:val="both"/>
      </w:pPr>
    </w:p>
    <w:p w:rsidR="001E1897" w:rsidRDefault="001E1897" w:rsidP="001E1897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CÓ</w:t>
      </w:r>
      <w:r w:rsidRPr="00320265">
        <w:rPr>
          <w:b/>
          <w:sz w:val="28"/>
          <w:szCs w:val="28"/>
        </w:rPr>
        <w:t>DIGO PENAL DE 1940</w:t>
      </w:r>
    </w:p>
    <w:p w:rsidR="001E1897" w:rsidRPr="00320265" w:rsidRDefault="001E1897" w:rsidP="001E1897">
      <w:pPr>
        <w:spacing w:line="360" w:lineRule="auto"/>
        <w:jc w:val="both"/>
        <w:rPr>
          <w:b/>
          <w:sz w:val="28"/>
          <w:szCs w:val="28"/>
        </w:rPr>
      </w:pPr>
    </w:p>
    <w:p w:rsidR="001E1897" w:rsidRPr="00FA0D55" w:rsidRDefault="001E1897" w:rsidP="001E1897">
      <w:pPr>
        <w:spacing w:line="360" w:lineRule="auto"/>
        <w:ind w:firstLine="708"/>
        <w:jc w:val="both"/>
      </w:pPr>
      <w:r w:rsidRPr="00FA0D55">
        <w:t>O Código Penal - Decreto Lei n. 2.848/40, em vigor,</w:t>
      </w:r>
      <w:r>
        <w:t xml:space="preserve"> não trata do preconceito e nem da discriminação, </w:t>
      </w:r>
      <w:r w:rsidRPr="00FA0D55">
        <w:t>mesmo com suas alterações posteriores</w:t>
      </w:r>
      <w:r>
        <w:t>.</w:t>
      </w:r>
    </w:p>
    <w:p w:rsidR="001E1897" w:rsidRDefault="001E1897" w:rsidP="001E1897">
      <w:pPr>
        <w:spacing w:line="360" w:lineRule="auto"/>
        <w:jc w:val="both"/>
      </w:pPr>
    </w:p>
    <w:p w:rsidR="001E1897" w:rsidRDefault="001E1897" w:rsidP="001E1897">
      <w:pPr>
        <w:spacing w:line="360" w:lineRule="auto"/>
        <w:jc w:val="both"/>
        <w:rPr>
          <w:b/>
          <w:sz w:val="28"/>
          <w:szCs w:val="28"/>
        </w:rPr>
      </w:pPr>
      <w:r w:rsidRPr="00320265">
        <w:rPr>
          <w:b/>
          <w:sz w:val="28"/>
          <w:szCs w:val="28"/>
        </w:rPr>
        <w:t xml:space="preserve">CONSTITUIÇÕES FEDERAIS DE 1934, 1937 E </w:t>
      </w:r>
      <w:proofErr w:type="gramStart"/>
      <w:r w:rsidRPr="00320265">
        <w:rPr>
          <w:b/>
          <w:sz w:val="28"/>
          <w:szCs w:val="28"/>
        </w:rPr>
        <w:t>1946</w:t>
      </w:r>
      <w:proofErr w:type="gramEnd"/>
    </w:p>
    <w:p w:rsidR="001E1897" w:rsidRPr="00320265" w:rsidRDefault="001E1897" w:rsidP="001E1897">
      <w:pPr>
        <w:spacing w:line="360" w:lineRule="auto"/>
        <w:jc w:val="both"/>
        <w:rPr>
          <w:b/>
          <w:sz w:val="28"/>
          <w:szCs w:val="28"/>
        </w:rPr>
      </w:pPr>
    </w:p>
    <w:p w:rsidR="001E1897" w:rsidRPr="00FA0D55" w:rsidRDefault="001E1897" w:rsidP="001E1897">
      <w:pPr>
        <w:spacing w:line="360" w:lineRule="auto"/>
        <w:ind w:firstLine="708"/>
        <w:jc w:val="both"/>
      </w:pPr>
      <w:r w:rsidRPr="00FA0D55">
        <w:t>Como bem pesquisado por Fabiano Silveira</w:t>
      </w:r>
      <w:r>
        <w:t xml:space="preserve"> (2007, </w:t>
      </w:r>
      <w:proofErr w:type="gramStart"/>
      <w:r>
        <w:t>p..</w:t>
      </w:r>
      <w:proofErr w:type="gramEnd"/>
      <w:r>
        <w:t>26)</w:t>
      </w:r>
      <w:r w:rsidRPr="00FA0D55">
        <w:t>, a Constituição Federal de 16 de julho de 1934, buscando “inspiração no novo constitucionalismo do pós-guerra de 1914/1918 e nas Constituições representativas do constitucionalismo social do século XX</w:t>
      </w:r>
      <w:r>
        <w:t>”</w:t>
      </w:r>
      <w:r>
        <w:rPr>
          <w:rStyle w:val="Refdenotaderodap"/>
        </w:rPr>
        <w:footnoteReference w:id="1"/>
      </w:r>
      <w:r w:rsidRPr="00FA0D55">
        <w:t>, como anota Raul Machado Horta – incorporou, ineditamente, a expressão “raça” ao dispor sobre o princípio da igualdade, consoante o art.113, n.1:</w:t>
      </w:r>
    </w:p>
    <w:p w:rsidR="001E1897" w:rsidRDefault="001E1897" w:rsidP="001E1897">
      <w:pPr>
        <w:spacing w:line="360" w:lineRule="auto"/>
        <w:ind w:left="2268"/>
        <w:jc w:val="both"/>
      </w:pPr>
    </w:p>
    <w:p w:rsidR="001E1897" w:rsidRPr="009B40A9" w:rsidRDefault="001E1897" w:rsidP="001E1897">
      <w:pPr>
        <w:spacing w:line="360" w:lineRule="auto"/>
        <w:ind w:left="2268"/>
        <w:jc w:val="both"/>
        <w:rPr>
          <w:sz w:val="22"/>
          <w:szCs w:val="22"/>
        </w:rPr>
      </w:pPr>
      <w:r w:rsidRPr="009B40A9">
        <w:rPr>
          <w:sz w:val="22"/>
          <w:szCs w:val="22"/>
        </w:rPr>
        <w:lastRenderedPageBreak/>
        <w:t xml:space="preserve">Art.113. 1 – Todos são </w:t>
      </w:r>
      <w:proofErr w:type="spellStart"/>
      <w:r w:rsidRPr="009B40A9">
        <w:rPr>
          <w:sz w:val="22"/>
          <w:szCs w:val="22"/>
        </w:rPr>
        <w:t>iguaes</w:t>
      </w:r>
      <w:proofErr w:type="spellEnd"/>
      <w:r w:rsidRPr="009B40A9">
        <w:rPr>
          <w:sz w:val="22"/>
          <w:szCs w:val="22"/>
        </w:rPr>
        <w:t xml:space="preserve"> perante a lei. Não haverá privilégios, nem </w:t>
      </w:r>
      <w:proofErr w:type="spellStart"/>
      <w:r w:rsidRPr="009B40A9">
        <w:rPr>
          <w:sz w:val="22"/>
          <w:szCs w:val="22"/>
        </w:rPr>
        <w:t>distincções</w:t>
      </w:r>
      <w:proofErr w:type="spellEnd"/>
      <w:r w:rsidRPr="009B40A9">
        <w:rPr>
          <w:sz w:val="22"/>
          <w:szCs w:val="22"/>
        </w:rPr>
        <w:t xml:space="preserve">, por motivo de nascimento, sexo, </w:t>
      </w:r>
      <w:r w:rsidRPr="009B40A9">
        <w:rPr>
          <w:i/>
          <w:sz w:val="22"/>
          <w:szCs w:val="22"/>
        </w:rPr>
        <w:t>raça,</w:t>
      </w:r>
      <w:r w:rsidRPr="009B40A9">
        <w:rPr>
          <w:sz w:val="22"/>
          <w:szCs w:val="22"/>
        </w:rPr>
        <w:t xml:space="preserve"> profissões próprias ou dos </w:t>
      </w:r>
      <w:proofErr w:type="spellStart"/>
      <w:proofErr w:type="gramStart"/>
      <w:r w:rsidRPr="009B40A9">
        <w:rPr>
          <w:sz w:val="22"/>
          <w:szCs w:val="22"/>
        </w:rPr>
        <w:t>paes</w:t>
      </w:r>
      <w:proofErr w:type="spellEnd"/>
      <w:proofErr w:type="gramEnd"/>
      <w:r w:rsidRPr="009B40A9">
        <w:rPr>
          <w:sz w:val="22"/>
          <w:szCs w:val="22"/>
        </w:rPr>
        <w:t xml:space="preserve">, classe social, riqueza, crenças religiosas ou </w:t>
      </w:r>
      <w:proofErr w:type="spellStart"/>
      <w:r w:rsidRPr="009B40A9">
        <w:rPr>
          <w:sz w:val="22"/>
          <w:szCs w:val="22"/>
        </w:rPr>
        <w:t>idéas</w:t>
      </w:r>
      <w:proofErr w:type="spellEnd"/>
      <w:r w:rsidRPr="009B40A9">
        <w:rPr>
          <w:sz w:val="22"/>
          <w:szCs w:val="22"/>
        </w:rPr>
        <w:t xml:space="preserve"> políticas; (...)</w:t>
      </w:r>
    </w:p>
    <w:p w:rsidR="001E1897" w:rsidRPr="00FA0D55" w:rsidRDefault="001E1897" w:rsidP="001E1897">
      <w:pPr>
        <w:spacing w:line="360" w:lineRule="auto"/>
        <w:ind w:left="2268"/>
        <w:jc w:val="both"/>
      </w:pPr>
    </w:p>
    <w:p w:rsidR="001E1897" w:rsidRPr="00FA0D55" w:rsidRDefault="001E1897" w:rsidP="001E1897">
      <w:pPr>
        <w:spacing w:line="360" w:lineRule="auto"/>
        <w:ind w:firstLine="708"/>
        <w:jc w:val="both"/>
      </w:pPr>
      <w:r w:rsidRPr="00FA0D55">
        <w:t xml:space="preserve">O dispositivo em foco, todavia, vigeu por curtíssimo período, retornando a Carta outorgada de 10 de novembro de 1937 ao laconismo do “todos são </w:t>
      </w:r>
      <w:proofErr w:type="spellStart"/>
      <w:r w:rsidRPr="00FA0D55">
        <w:t>iguaes</w:t>
      </w:r>
      <w:proofErr w:type="spellEnd"/>
      <w:r w:rsidRPr="00FA0D55">
        <w:t xml:space="preserve"> perante a lei”, como se lê do seu art.122, nº. </w:t>
      </w:r>
      <w:proofErr w:type="gramStart"/>
      <w:r w:rsidRPr="00FA0D55">
        <w:t>1</w:t>
      </w:r>
      <w:proofErr w:type="gramEnd"/>
      <w:r w:rsidRPr="00FA0D55">
        <w:t>, frustrando, uma vez mais, as expectativas de avançar no combate à discriminação racial.</w:t>
      </w:r>
    </w:p>
    <w:p w:rsidR="001E1897" w:rsidRPr="00FA0D55" w:rsidRDefault="001E1897" w:rsidP="001E1897">
      <w:pPr>
        <w:spacing w:line="360" w:lineRule="auto"/>
        <w:ind w:firstLine="708"/>
        <w:jc w:val="both"/>
      </w:pPr>
      <w:r w:rsidRPr="00FA0D55">
        <w:t>Essa mesma fórmula fora adotada pelo art.141, § 1.º, da Constituição Federal de 18 de setembro de 1946, observando-se, porém, na parte final do § 5.º do mencionado artigo, a expressão ”preconceitos de raça” como limitativa do direito à livre manifestação do pensamento, nos seguintes termos:</w:t>
      </w:r>
    </w:p>
    <w:p w:rsidR="001E1897" w:rsidRDefault="001E1897" w:rsidP="001E1897">
      <w:pPr>
        <w:spacing w:line="360" w:lineRule="auto"/>
        <w:jc w:val="both"/>
      </w:pPr>
    </w:p>
    <w:p w:rsidR="001E1897" w:rsidRPr="009B40A9" w:rsidRDefault="001E1897" w:rsidP="001E1897">
      <w:pPr>
        <w:spacing w:line="360" w:lineRule="auto"/>
        <w:ind w:left="2268"/>
        <w:jc w:val="both"/>
        <w:rPr>
          <w:sz w:val="22"/>
          <w:szCs w:val="22"/>
        </w:rPr>
      </w:pPr>
      <w:r w:rsidRPr="009B40A9">
        <w:rPr>
          <w:sz w:val="22"/>
          <w:szCs w:val="22"/>
        </w:rPr>
        <w:t>Art.141</w:t>
      </w:r>
      <w:r>
        <w:rPr>
          <w:sz w:val="22"/>
          <w:szCs w:val="22"/>
        </w:rPr>
        <w:t>. §</w:t>
      </w:r>
      <w:r w:rsidRPr="009B40A9">
        <w:rPr>
          <w:sz w:val="22"/>
          <w:szCs w:val="22"/>
        </w:rPr>
        <w:t>5.º</w:t>
      </w:r>
      <w:proofErr w:type="gramStart"/>
      <w:r w:rsidRPr="009B40A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proofErr w:type="gramEnd"/>
      <w:r w:rsidRPr="009B40A9">
        <w:rPr>
          <w:sz w:val="22"/>
          <w:szCs w:val="22"/>
        </w:rPr>
        <w:t xml:space="preserve">Não será,  porém, tolerada, propaganda de guerra, de processos violentos para subverter a ordem política e social, ou de </w:t>
      </w:r>
      <w:r w:rsidRPr="009B40A9">
        <w:rPr>
          <w:i/>
          <w:sz w:val="22"/>
          <w:szCs w:val="22"/>
        </w:rPr>
        <w:t xml:space="preserve">preconceitos de raça </w:t>
      </w:r>
      <w:r w:rsidRPr="009B40A9">
        <w:rPr>
          <w:sz w:val="22"/>
          <w:szCs w:val="22"/>
        </w:rPr>
        <w:t>ou de classe.</w:t>
      </w:r>
    </w:p>
    <w:p w:rsidR="001E1897" w:rsidRPr="00FA0D55" w:rsidRDefault="001E1897" w:rsidP="001E1897">
      <w:pPr>
        <w:spacing w:line="360" w:lineRule="auto"/>
        <w:ind w:firstLine="708"/>
        <w:jc w:val="both"/>
      </w:pPr>
    </w:p>
    <w:p w:rsidR="001E1897" w:rsidRDefault="001E1897" w:rsidP="001E1897">
      <w:pPr>
        <w:spacing w:line="360" w:lineRule="auto"/>
        <w:jc w:val="both"/>
        <w:rPr>
          <w:b/>
          <w:sz w:val="28"/>
          <w:szCs w:val="28"/>
        </w:rPr>
      </w:pPr>
      <w:r w:rsidRPr="009B40A9">
        <w:rPr>
          <w:b/>
          <w:sz w:val="28"/>
          <w:szCs w:val="28"/>
        </w:rPr>
        <w:t>LEI Nº 1.390/1951 – LEI “AFONSO ARINOS”</w:t>
      </w:r>
    </w:p>
    <w:p w:rsidR="001E1897" w:rsidRDefault="001E1897" w:rsidP="001E1897">
      <w:pPr>
        <w:spacing w:line="360" w:lineRule="auto"/>
        <w:jc w:val="both"/>
        <w:rPr>
          <w:b/>
          <w:sz w:val="28"/>
          <w:szCs w:val="28"/>
        </w:rPr>
      </w:pPr>
    </w:p>
    <w:p w:rsidR="001E1897" w:rsidRDefault="001E1897" w:rsidP="001E1897">
      <w:pPr>
        <w:spacing w:line="360" w:lineRule="auto"/>
        <w:ind w:firstLine="708"/>
        <w:jc w:val="both"/>
      </w:pPr>
      <w:r>
        <w:t xml:space="preserve">Em 03 de julho de 1951, foi promulgada a Lei 1.390, denominada Lei Afonso Arinos, que incluía as contravenções penais a prática de atos resultantes de preconceitos de raça e de cor, tendo como autor intelectual, o deputado Afonso Arinos de Melo Franco (SILVEIRA, 2007, p. 63). </w:t>
      </w:r>
      <w:r w:rsidRPr="00FA0D55">
        <w:t>Em 17 de julho de 1950,</w:t>
      </w:r>
      <w:proofErr w:type="gramStart"/>
      <w:r w:rsidRPr="00FA0D55">
        <w:t xml:space="preserve"> </w:t>
      </w:r>
      <w:r>
        <w:t xml:space="preserve"> </w:t>
      </w:r>
      <w:proofErr w:type="gramEnd"/>
      <w:r>
        <w:t>o deputado justificou o referido projeto de lei.</w:t>
      </w:r>
    </w:p>
    <w:p w:rsidR="001E1897" w:rsidRPr="00FA0D55" w:rsidRDefault="001E1897" w:rsidP="001E1897">
      <w:pPr>
        <w:spacing w:line="360" w:lineRule="auto"/>
        <w:ind w:firstLine="708"/>
        <w:jc w:val="both"/>
      </w:pPr>
    </w:p>
    <w:p w:rsidR="001E1897" w:rsidRPr="008D38E1" w:rsidRDefault="001E1897" w:rsidP="001E1897">
      <w:pPr>
        <w:spacing w:line="360" w:lineRule="auto"/>
        <w:ind w:left="2268"/>
        <w:jc w:val="both"/>
        <w:rPr>
          <w:sz w:val="22"/>
          <w:szCs w:val="22"/>
        </w:rPr>
      </w:pPr>
      <w:r w:rsidRPr="008D38E1">
        <w:rPr>
          <w:sz w:val="22"/>
          <w:szCs w:val="22"/>
        </w:rPr>
        <w:t xml:space="preserve">(...) 4 – Urge, porém, que o Poder Legislativo adote medidas convenientes para que as conclusões científicas tenham adequada aplicação na política do </w:t>
      </w:r>
      <w:proofErr w:type="spellStart"/>
      <w:r w:rsidRPr="008D38E1">
        <w:rPr>
          <w:sz w:val="22"/>
          <w:szCs w:val="22"/>
        </w:rPr>
        <w:t>Govêrno</w:t>
      </w:r>
      <w:proofErr w:type="spellEnd"/>
      <w:r w:rsidRPr="008D38E1">
        <w:rPr>
          <w:sz w:val="22"/>
          <w:szCs w:val="22"/>
        </w:rPr>
        <w:t xml:space="preserve">. As disposições da Constituição Federal e os preceitos dos acordos internacionais de que </w:t>
      </w:r>
      <w:proofErr w:type="gramStart"/>
      <w:r w:rsidRPr="008D38E1">
        <w:rPr>
          <w:sz w:val="22"/>
          <w:szCs w:val="22"/>
        </w:rPr>
        <w:t>participamos,</w:t>
      </w:r>
      <w:proofErr w:type="gramEnd"/>
      <w:r w:rsidRPr="008D38E1">
        <w:rPr>
          <w:sz w:val="22"/>
          <w:szCs w:val="22"/>
        </w:rPr>
        <w:t xml:space="preserve"> referentes ao assunto, ficarão como simples declarações platônicas se a lei ordinária não lhe vier dar </w:t>
      </w:r>
      <w:proofErr w:type="spellStart"/>
      <w:r w:rsidRPr="008D38E1">
        <w:rPr>
          <w:sz w:val="22"/>
          <w:szCs w:val="22"/>
        </w:rPr>
        <w:t>fôrças</w:t>
      </w:r>
      <w:proofErr w:type="spellEnd"/>
      <w:r w:rsidRPr="008D38E1">
        <w:rPr>
          <w:sz w:val="22"/>
          <w:szCs w:val="22"/>
        </w:rPr>
        <w:t xml:space="preserve"> de regra obrigatória de direito. 5 – Por mais que se proclame a inexistência, entre nós, do preconceito de raça, a verdade é que ele existe, e com perigosa tendência a se ampliar (...) é sabido que certas carreiras civis, como o corpo </w:t>
      </w:r>
      <w:r w:rsidRPr="008D38E1">
        <w:rPr>
          <w:sz w:val="22"/>
          <w:szCs w:val="22"/>
        </w:rPr>
        <w:lastRenderedPageBreak/>
        <w:t xml:space="preserve">diplomático, estão fechadas aos negros; que a Marinha e a Aeronáutica criam injustificáveis dificuldades ao ingresso de negros nos corpos de oficiais e que outras restrições existem, em vários setores da administração. </w:t>
      </w:r>
      <w:proofErr w:type="gramStart"/>
      <w:r w:rsidRPr="008D38E1">
        <w:rPr>
          <w:sz w:val="22"/>
          <w:szCs w:val="22"/>
        </w:rPr>
        <w:t>6 – Quando o Estado, por seus agentes, oferece tal exemplo de odiosa discriminação, vedada pela Lei Magna, não é de se admirar que estabelecimentos comerciais proíbam a entrada de negros nos seus recintos (...) 9 – Nada justifica, pois, que continuemos disfarçadamente a fechar os olhos à prática de atos injustos de discriminação racial que a ciência condena, a justiça repele, a Constituição proíbe, e que podem conduzir a monstruosidade como os “</w:t>
      </w:r>
      <w:proofErr w:type="spellStart"/>
      <w:r w:rsidRPr="008D38E1">
        <w:rPr>
          <w:sz w:val="22"/>
          <w:szCs w:val="22"/>
        </w:rPr>
        <w:t>pogrooms</w:t>
      </w:r>
      <w:proofErr w:type="spellEnd"/>
      <w:r w:rsidRPr="008D38E1">
        <w:rPr>
          <w:sz w:val="22"/>
          <w:szCs w:val="22"/>
        </w:rPr>
        <w:t>” hitleristas ou a situações insolúveis como a de grande massa negra norte-americana”</w:t>
      </w:r>
      <w:proofErr w:type="gramEnd"/>
      <w:r w:rsidRPr="008D38E1">
        <w:rPr>
          <w:sz w:val="22"/>
          <w:szCs w:val="22"/>
        </w:rPr>
        <w:t>.</w:t>
      </w:r>
    </w:p>
    <w:p w:rsidR="001E1897" w:rsidRPr="00FA0D55" w:rsidRDefault="001E1897" w:rsidP="001E1897">
      <w:pPr>
        <w:spacing w:line="360" w:lineRule="auto"/>
        <w:ind w:left="2268"/>
        <w:jc w:val="both"/>
      </w:pPr>
    </w:p>
    <w:p w:rsidR="001E1897" w:rsidRPr="00FA0D55" w:rsidRDefault="001E1897" w:rsidP="001E1897">
      <w:pPr>
        <w:spacing w:line="360" w:lineRule="auto"/>
        <w:ind w:firstLine="708"/>
        <w:jc w:val="both"/>
      </w:pPr>
      <w:r w:rsidRPr="00FA0D55">
        <w:t xml:space="preserve">A Lei Afonso Arinos foi o primeiro dispositivo a tratar positivamente os crimes raciais e de preconceito no ordenamento penal brasileiro. </w:t>
      </w:r>
    </w:p>
    <w:p w:rsidR="001E1897" w:rsidRPr="00FA0D55" w:rsidRDefault="001E1897" w:rsidP="001E1897">
      <w:pPr>
        <w:spacing w:line="360" w:lineRule="auto"/>
        <w:ind w:firstLine="708"/>
        <w:jc w:val="both"/>
      </w:pPr>
      <w:r w:rsidRPr="00FA0D55">
        <w:t xml:space="preserve"> Os crimes raciais na referida lei eram enquadrados como meras contravenções penais e suas penas eram apenas simbólicas, com penas brandas que não chegavam a um ano de prisão simples ou multa.</w:t>
      </w:r>
    </w:p>
    <w:p w:rsidR="001E1897" w:rsidRPr="00FA0D55" w:rsidRDefault="001E1897" w:rsidP="001E1897">
      <w:pPr>
        <w:spacing w:line="360" w:lineRule="auto"/>
        <w:ind w:firstLine="708"/>
        <w:jc w:val="both"/>
      </w:pPr>
      <w:r w:rsidRPr="00FA0D55">
        <w:t>Também muito se questionou sobre a tipificação das condutas, entendidas como pouco abrangentes, nada mais sendo uma contravenção que mera variação da outra, gerando a dificuldade de aplicação da lei.</w:t>
      </w:r>
    </w:p>
    <w:p w:rsidR="001E1897" w:rsidRPr="00FA0D55" w:rsidRDefault="001E1897" w:rsidP="001E1897">
      <w:pPr>
        <w:spacing w:line="360" w:lineRule="auto"/>
        <w:ind w:firstLine="708"/>
        <w:jc w:val="both"/>
      </w:pPr>
      <w:r w:rsidRPr="00FA0D55">
        <w:t xml:space="preserve">A Lei Afonso Arinos </w:t>
      </w:r>
      <w:r>
        <w:t xml:space="preserve">dispõe da </w:t>
      </w:r>
      <w:r w:rsidRPr="00FA0D55">
        <w:t>recusa, por parte de estabelecimento comercial ou de ensino, de hospedar, servir, atender ou receber cliente, comprador ou aluno (art. 1º); recusar hospedagem em hotel, pensão, estalagem ou estabelecimento da mesma finalidade (art. 2º); recusar a venda de mercadorias em lojas de qualquer gênero, ou atender clientes em restaurantes, bares, confeitarias e locais semelhantes, abertos ao público, onde se sirvam alimentos, bebidas, refrigerantes e guloseimas (art. 3º); recusar entrada em estabelecimento público, de diversões ou esporte, bem como em salões de barbearia ou cabeleireiros (art. 4º); recusar inscrição de aluno em estabelecimentos de ensino de qualquer curso ou grau (art. 5º); obstar o acesso a qualquer cargo do funcionalismo público ou ao serviço em qualquer ramo das forças armadas (art. 6º); negar emprego ou trabalho a alguém em autarquia, sociedade de economia mista, empresa concessionária de serv</w:t>
      </w:r>
      <w:r>
        <w:t xml:space="preserve">iço público ou empresa privada </w:t>
      </w:r>
      <w:r w:rsidRPr="00FA0D55">
        <w:t>(art. 7º).</w:t>
      </w:r>
    </w:p>
    <w:p w:rsidR="001E1897" w:rsidRDefault="001E1897" w:rsidP="001E1897">
      <w:pPr>
        <w:spacing w:line="360" w:lineRule="auto"/>
        <w:ind w:firstLine="708"/>
        <w:jc w:val="both"/>
      </w:pPr>
      <w:r>
        <w:t>Augusto Silveira (2007, p. 64) lembra que:</w:t>
      </w:r>
    </w:p>
    <w:p w:rsidR="001E1897" w:rsidRDefault="001E1897" w:rsidP="001E1897">
      <w:pPr>
        <w:spacing w:line="360" w:lineRule="auto"/>
        <w:ind w:firstLine="708"/>
        <w:jc w:val="both"/>
      </w:pPr>
    </w:p>
    <w:p w:rsidR="001E1897" w:rsidRPr="00FA0D55" w:rsidRDefault="001E1897" w:rsidP="001E1897">
      <w:pPr>
        <w:spacing w:line="360" w:lineRule="auto"/>
        <w:ind w:left="2268"/>
        <w:jc w:val="both"/>
      </w:pPr>
      <w:r w:rsidRPr="00FA0D55">
        <w:lastRenderedPageBreak/>
        <w:t xml:space="preserve"> </w:t>
      </w:r>
      <w:proofErr w:type="gramStart"/>
      <w:r w:rsidRPr="00FA0D55">
        <w:t>referida</w:t>
      </w:r>
      <w:proofErr w:type="gramEnd"/>
      <w:r w:rsidRPr="00FA0D55">
        <w:t xml:space="preserve"> lei nunca esteve entre os instrumentos legais mais eficazes; ao contrário, segundo investigação de Peter Eccles</w:t>
      </w:r>
      <w:r>
        <w:rPr>
          <w:rStyle w:val="Refdenotaderodap"/>
        </w:rPr>
        <w:footnoteReference w:id="2"/>
      </w:r>
      <w:r w:rsidRPr="00FA0D55">
        <w:t xml:space="preserve">, dos três casos levados à Justiça de que se teve noticia, dois resultaram em condenação. Como contravenções penais </w:t>
      </w:r>
      <w:proofErr w:type="gramStart"/>
      <w:r w:rsidRPr="00FA0D55">
        <w:t>são</w:t>
      </w:r>
      <w:proofErr w:type="gramEnd"/>
      <w:r w:rsidRPr="00FA0D55">
        <w:t xml:space="preserve">, por natureza, infrações de menor potencial ofensivo, a lei de 1951, em certo sentido, não se desvia do tradicional gradualismo das leis </w:t>
      </w:r>
      <w:proofErr w:type="spellStart"/>
      <w:r w:rsidRPr="00FA0D55">
        <w:t>emancipatórias</w:t>
      </w:r>
      <w:proofErr w:type="spellEnd"/>
      <w:r w:rsidRPr="00FA0D55">
        <w:t xml:space="preserve"> – o racismo, para ser definido como crime, teve ser antes contravenção.</w:t>
      </w:r>
    </w:p>
    <w:p w:rsidR="001E1897" w:rsidRPr="00D10B79" w:rsidRDefault="001E1897" w:rsidP="001E1897">
      <w:pPr>
        <w:spacing w:line="360" w:lineRule="auto"/>
        <w:jc w:val="both"/>
        <w:rPr>
          <w:b/>
          <w:sz w:val="28"/>
          <w:szCs w:val="28"/>
        </w:rPr>
      </w:pPr>
    </w:p>
    <w:p w:rsidR="001E1897" w:rsidRDefault="001E1897" w:rsidP="001E1897">
      <w:pPr>
        <w:spacing w:line="360" w:lineRule="auto"/>
        <w:jc w:val="both"/>
        <w:rPr>
          <w:b/>
          <w:sz w:val="28"/>
          <w:szCs w:val="28"/>
        </w:rPr>
      </w:pPr>
      <w:r w:rsidRPr="00D10B79">
        <w:rPr>
          <w:b/>
          <w:sz w:val="28"/>
          <w:szCs w:val="28"/>
        </w:rPr>
        <w:t>CONSTITUIÇÃO FEDERAL DE 1967</w:t>
      </w:r>
    </w:p>
    <w:p w:rsidR="001E1897" w:rsidRPr="00D10B79" w:rsidRDefault="001E1897" w:rsidP="001E1897">
      <w:pPr>
        <w:spacing w:line="360" w:lineRule="auto"/>
        <w:jc w:val="both"/>
        <w:rPr>
          <w:b/>
          <w:sz w:val="28"/>
          <w:szCs w:val="28"/>
        </w:rPr>
      </w:pPr>
    </w:p>
    <w:p w:rsidR="001E1897" w:rsidRDefault="001E1897" w:rsidP="001E1897">
      <w:pPr>
        <w:spacing w:line="360" w:lineRule="auto"/>
        <w:ind w:firstLine="708"/>
        <w:jc w:val="both"/>
      </w:pPr>
      <w:r w:rsidRPr="00FA0D55">
        <w:t>A Consti</w:t>
      </w:r>
      <w:r>
        <w:t>tuição de 24 de janeiro de 1967 trouxe em seus artigos a repreensão expressa quanto ao preconceito racial, conforme artigos transcritos abaixo</w:t>
      </w:r>
      <w:proofErr w:type="gramStart"/>
      <w:r>
        <w:t>:.</w:t>
      </w:r>
      <w:proofErr w:type="gramEnd"/>
      <w:r>
        <w:t xml:space="preserve"> </w:t>
      </w:r>
    </w:p>
    <w:p w:rsidR="001E1897" w:rsidRPr="00106E54" w:rsidRDefault="001E1897" w:rsidP="001E1897">
      <w:pPr>
        <w:pStyle w:val="NormalWeb"/>
        <w:spacing w:before="0" w:beforeAutospacing="0" w:after="0" w:afterAutospacing="0" w:line="360" w:lineRule="auto"/>
        <w:ind w:left="2268"/>
        <w:rPr>
          <w:sz w:val="22"/>
          <w:szCs w:val="22"/>
        </w:rPr>
      </w:pPr>
      <w:r w:rsidRPr="00106E54">
        <w:rPr>
          <w:sz w:val="22"/>
          <w:szCs w:val="22"/>
        </w:rPr>
        <w:t xml:space="preserve">  </w:t>
      </w:r>
      <w:bookmarkStart w:id="0" w:name="art150"/>
      <w:bookmarkEnd w:id="0"/>
      <w:proofErr w:type="spellStart"/>
      <w:r w:rsidRPr="00106E54">
        <w:rPr>
          <w:sz w:val="22"/>
          <w:szCs w:val="22"/>
        </w:rPr>
        <w:t>Art</w:t>
      </w:r>
      <w:proofErr w:type="spellEnd"/>
      <w:r w:rsidRPr="00106E54">
        <w:rPr>
          <w:sz w:val="22"/>
          <w:szCs w:val="22"/>
        </w:rPr>
        <w:t xml:space="preserve"> 150 - A Constituição assegura aos brasileiros e aos estrangeiros residentes </w:t>
      </w:r>
      <w:proofErr w:type="gramStart"/>
      <w:r w:rsidRPr="00106E54">
        <w:rPr>
          <w:sz w:val="22"/>
          <w:szCs w:val="22"/>
        </w:rPr>
        <w:t>no Pais</w:t>
      </w:r>
      <w:proofErr w:type="gramEnd"/>
      <w:r w:rsidRPr="00106E54">
        <w:rPr>
          <w:sz w:val="22"/>
          <w:szCs w:val="22"/>
        </w:rPr>
        <w:t xml:space="preserve"> a inviolabilidade dos direitos concernentes à vida, à liberdade, à segurança e à propriedade, nos termos seguintes: </w:t>
      </w:r>
    </w:p>
    <w:p w:rsidR="001E1897" w:rsidRPr="00106E54" w:rsidRDefault="001E1897" w:rsidP="001E1897">
      <w:pPr>
        <w:pStyle w:val="NormalWeb"/>
        <w:spacing w:before="0" w:beforeAutospacing="0" w:after="0" w:afterAutospacing="0" w:line="360" w:lineRule="auto"/>
        <w:ind w:left="2268"/>
        <w:rPr>
          <w:sz w:val="22"/>
          <w:szCs w:val="22"/>
        </w:rPr>
      </w:pPr>
      <w:r w:rsidRPr="00106E54">
        <w:rPr>
          <w:sz w:val="22"/>
          <w:szCs w:val="22"/>
        </w:rPr>
        <w:t xml:space="preserve">        § 1º - Todos são iguais perante a lei, sem distinção, de sexo, raça, trabalho, credo religioso e convicções políticas. O preconceito de raça será punido pela </w:t>
      </w:r>
      <w:proofErr w:type="gramStart"/>
      <w:r w:rsidRPr="00106E54">
        <w:rPr>
          <w:sz w:val="22"/>
          <w:szCs w:val="22"/>
        </w:rPr>
        <w:t>lei.</w:t>
      </w:r>
      <w:proofErr w:type="gramEnd"/>
      <w:r>
        <w:rPr>
          <w:sz w:val="22"/>
          <w:szCs w:val="22"/>
        </w:rPr>
        <w:t>(...)</w:t>
      </w:r>
    </w:p>
    <w:p w:rsidR="001E1897" w:rsidRDefault="001E1897" w:rsidP="001E1897">
      <w:pPr>
        <w:pStyle w:val="NormalWeb"/>
        <w:spacing w:before="0" w:beforeAutospacing="0" w:after="0" w:afterAutospacing="0" w:line="360" w:lineRule="auto"/>
        <w:ind w:left="2268"/>
        <w:rPr>
          <w:sz w:val="22"/>
          <w:szCs w:val="22"/>
        </w:rPr>
      </w:pPr>
      <w:r>
        <w:rPr>
          <w:sz w:val="22"/>
          <w:szCs w:val="22"/>
        </w:rPr>
        <w:t xml:space="preserve">(...) </w:t>
      </w:r>
      <w:r w:rsidRPr="00106E54">
        <w:rPr>
          <w:sz w:val="22"/>
          <w:szCs w:val="22"/>
        </w:rPr>
        <w:t>§ 8º - É livre a manifestação de pensamento, de convicção política ou filosófica e a prestação de informação sem sujeição à censura, salvo quanto a espetáculos de diversões públicas, respondendo cada um, nos termos da lei, pelos abusos que cometer. É assegurado o direito de resposta. A publicação de livros, jornais e periódicos independe de licença da autoridade. Não será, porém, tolerada a propaganda de guerra, de subversão da ordem ou de preconceitos de raça ou de classe.</w:t>
      </w:r>
    </w:p>
    <w:p w:rsidR="001E1897" w:rsidRPr="00106E54" w:rsidRDefault="001E1897" w:rsidP="001E1897">
      <w:pPr>
        <w:pStyle w:val="NormalWeb"/>
        <w:spacing w:before="0" w:beforeAutospacing="0" w:after="0" w:afterAutospacing="0" w:line="360" w:lineRule="auto"/>
        <w:ind w:left="2268"/>
        <w:rPr>
          <w:sz w:val="22"/>
          <w:szCs w:val="22"/>
        </w:rPr>
      </w:pPr>
    </w:p>
    <w:p w:rsidR="001E1897" w:rsidRPr="00FA0D55" w:rsidRDefault="001E1897" w:rsidP="001E1897">
      <w:pPr>
        <w:spacing w:line="360" w:lineRule="auto"/>
        <w:ind w:firstLine="708"/>
        <w:jc w:val="both"/>
      </w:pPr>
      <w:r w:rsidRPr="00FA0D55">
        <w:t xml:space="preserve"> A expressão “será </w:t>
      </w:r>
      <w:proofErr w:type="gramStart"/>
      <w:r w:rsidRPr="00FA0D55">
        <w:t>punido</w:t>
      </w:r>
      <w:proofErr w:type="gramEnd"/>
      <w:r w:rsidRPr="00FA0D55">
        <w:t xml:space="preserve"> pela lei” facultava ao legislador infraconstitucional a descrição de contravenções penais ou de crimes, como quer que escolhesse. Evidentemente, na falta de movimentação legislativa, recepcionada estava a Lei Afonso Arinos. </w:t>
      </w:r>
    </w:p>
    <w:p w:rsidR="001E1897" w:rsidRPr="00FA0D55" w:rsidRDefault="001E1897" w:rsidP="001E1897">
      <w:pPr>
        <w:spacing w:line="360" w:lineRule="auto"/>
        <w:ind w:firstLine="708"/>
        <w:jc w:val="both"/>
      </w:pPr>
      <w:r>
        <w:lastRenderedPageBreak/>
        <w:t>A L</w:t>
      </w:r>
      <w:r w:rsidRPr="00FA0D55">
        <w:t xml:space="preserve">ei Afonso Arinos, por mais objeções que tivesse, fulgurou por mais de trinta anos, como o principal instrumento de reação ao racismo, vindo ser revogada com o advento da lei n. 7437, de 20 de dezembro de 1985. </w:t>
      </w:r>
    </w:p>
    <w:p w:rsidR="001E1897" w:rsidRDefault="001E1897" w:rsidP="001E1897">
      <w:pPr>
        <w:spacing w:line="360" w:lineRule="auto"/>
        <w:jc w:val="both"/>
      </w:pPr>
    </w:p>
    <w:p w:rsidR="001E1897" w:rsidRDefault="001E1897" w:rsidP="001E1897">
      <w:pPr>
        <w:spacing w:line="360" w:lineRule="auto"/>
        <w:jc w:val="both"/>
        <w:rPr>
          <w:b/>
          <w:sz w:val="28"/>
          <w:szCs w:val="28"/>
        </w:rPr>
      </w:pPr>
      <w:r w:rsidRPr="003D342B">
        <w:rPr>
          <w:b/>
          <w:sz w:val="28"/>
          <w:szCs w:val="28"/>
        </w:rPr>
        <w:t>LEI N. 5.250/1967 – “LEI DE IMPRENSA”</w:t>
      </w:r>
    </w:p>
    <w:p w:rsidR="001E1897" w:rsidRPr="003D342B" w:rsidRDefault="001E1897" w:rsidP="001E1897">
      <w:pPr>
        <w:spacing w:line="360" w:lineRule="auto"/>
        <w:jc w:val="both"/>
        <w:rPr>
          <w:b/>
          <w:sz w:val="28"/>
          <w:szCs w:val="28"/>
        </w:rPr>
      </w:pPr>
    </w:p>
    <w:p w:rsidR="001E1897" w:rsidRPr="00FA0D55" w:rsidRDefault="001E1897" w:rsidP="001E1897">
      <w:pPr>
        <w:spacing w:line="360" w:lineRule="auto"/>
        <w:ind w:firstLine="708"/>
        <w:jc w:val="both"/>
      </w:pPr>
      <w:r w:rsidRPr="00FA0D55">
        <w:t xml:space="preserve">A “Lei de Imprensa” promulgada em fevereiro de </w:t>
      </w:r>
      <w:proofErr w:type="gramStart"/>
      <w:r w:rsidRPr="00FA0D55">
        <w:t>1967,</w:t>
      </w:r>
      <w:proofErr w:type="gramEnd"/>
      <w:r w:rsidRPr="00FA0D55">
        <w:t>certamente influenciada pelo texto constitucional de 1946,  também estabeleceu espécie de delito vinculado a exteriorização do preconceito ou da discriminação, em seu art. 14.º, inserido no capitulo III (Dos abusos no exercício da liberdade de manifestação do pensamento e informação), onde se lê:</w:t>
      </w:r>
      <w:r>
        <w:t xml:space="preserve"> </w:t>
      </w:r>
      <w:r w:rsidRPr="00FA0D55">
        <w:t xml:space="preserve">“Fazer propagando de guerra, de processo para subversão da ordem política e social ou de </w:t>
      </w:r>
      <w:r w:rsidRPr="00FA0D55">
        <w:rPr>
          <w:i/>
        </w:rPr>
        <w:t xml:space="preserve">preconceito de raça </w:t>
      </w:r>
      <w:r w:rsidRPr="00FA0D55">
        <w:t>ou de classe:</w:t>
      </w:r>
      <w:r>
        <w:t xml:space="preserve"> </w:t>
      </w:r>
      <w:r w:rsidRPr="00FA0D55">
        <w:t>Pena – de 1(um) a 4(quatro) anos de detenção”.</w:t>
      </w:r>
    </w:p>
    <w:p w:rsidR="001E1897" w:rsidRDefault="001E1897" w:rsidP="001E1897">
      <w:pPr>
        <w:spacing w:line="360" w:lineRule="auto"/>
        <w:jc w:val="both"/>
      </w:pPr>
    </w:p>
    <w:p w:rsidR="001E1897" w:rsidRDefault="001E1897" w:rsidP="001E1897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DECRETO-LEI Nº</w:t>
      </w:r>
      <w:r w:rsidRPr="003D342B">
        <w:rPr>
          <w:b/>
          <w:sz w:val="28"/>
          <w:szCs w:val="28"/>
        </w:rPr>
        <w:t xml:space="preserve"> 314/1967 e LEI </w:t>
      </w:r>
      <w:r>
        <w:rPr>
          <w:b/>
          <w:sz w:val="28"/>
          <w:szCs w:val="28"/>
        </w:rPr>
        <w:t>Nº</w:t>
      </w:r>
      <w:r w:rsidRPr="003D342B">
        <w:rPr>
          <w:b/>
          <w:sz w:val="28"/>
          <w:szCs w:val="28"/>
        </w:rPr>
        <w:t xml:space="preserve"> 7.170/1983</w:t>
      </w:r>
    </w:p>
    <w:p w:rsidR="001E1897" w:rsidRPr="003D342B" w:rsidRDefault="001E1897" w:rsidP="001E1897">
      <w:pPr>
        <w:spacing w:line="360" w:lineRule="auto"/>
        <w:jc w:val="both"/>
        <w:rPr>
          <w:b/>
          <w:sz w:val="28"/>
          <w:szCs w:val="28"/>
        </w:rPr>
      </w:pPr>
    </w:p>
    <w:p w:rsidR="001E1897" w:rsidRPr="00FA0D55" w:rsidRDefault="001E1897" w:rsidP="001E1897">
      <w:pPr>
        <w:spacing w:line="360" w:lineRule="auto"/>
        <w:ind w:firstLine="708"/>
        <w:jc w:val="both"/>
      </w:pPr>
      <w:r w:rsidRPr="00FA0D55">
        <w:t>Convém também destacar que o Decreto Lei n. 314, de 13 de março de 1967, conhecido como “Lei de Segurança Nacional”, estabeleceu como crime, em seu art. 33:</w:t>
      </w:r>
    </w:p>
    <w:p w:rsidR="001E1897" w:rsidRPr="003D342B" w:rsidRDefault="001E1897" w:rsidP="001E1897">
      <w:pPr>
        <w:spacing w:line="360" w:lineRule="auto"/>
        <w:ind w:left="2268"/>
        <w:jc w:val="both"/>
        <w:rPr>
          <w:sz w:val="22"/>
          <w:szCs w:val="22"/>
        </w:rPr>
      </w:pPr>
      <w:r w:rsidRPr="003D342B">
        <w:rPr>
          <w:sz w:val="22"/>
          <w:szCs w:val="22"/>
        </w:rPr>
        <w:t>Art. 33 Incitar publicamente:</w:t>
      </w:r>
    </w:p>
    <w:p w:rsidR="001E1897" w:rsidRPr="003D342B" w:rsidRDefault="001E1897" w:rsidP="001E1897">
      <w:pPr>
        <w:spacing w:line="360" w:lineRule="auto"/>
        <w:ind w:left="2268"/>
        <w:jc w:val="both"/>
        <w:rPr>
          <w:sz w:val="22"/>
          <w:szCs w:val="22"/>
        </w:rPr>
      </w:pPr>
      <w:r w:rsidRPr="003D342B">
        <w:rPr>
          <w:sz w:val="22"/>
          <w:szCs w:val="22"/>
        </w:rPr>
        <w:t>(...)</w:t>
      </w:r>
    </w:p>
    <w:p w:rsidR="001E1897" w:rsidRPr="003D342B" w:rsidRDefault="001E1897" w:rsidP="001E1897">
      <w:pPr>
        <w:spacing w:line="360" w:lineRule="auto"/>
        <w:ind w:left="2268"/>
        <w:jc w:val="both"/>
        <w:rPr>
          <w:sz w:val="22"/>
          <w:szCs w:val="22"/>
        </w:rPr>
      </w:pPr>
      <w:r w:rsidRPr="003D342B">
        <w:rPr>
          <w:sz w:val="22"/>
          <w:szCs w:val="22"/>
        </w:rPr>
        <w:t>IV – ao ódio ou a discriminação racial:</w:t>
      </w:r>
    </w:p>
    <w:p w:rsidR="001E1897" w:rsidRPr="003D342B" w:rsidRDefault="001E1897" w:rsidP="001E1897">
      <w:pPr>
        <w:spacing w:line="360" w:lineRule="auto"/>
        <w:ind w:left="2268"/>
        <w:jc w:val="both"/>
        <w:rPr>
          <w:sz w:val="22"/>
          <w:szCs w:val="22"/>
        </w:rPr>
      </w:pPr>
      <w:proofErr w:type="gramStart"/>
      <w:r w:rsidRPr="003D342B">
        <w:rPr>
          <w:sz w:val="22"/>
          <w:szCs w:val="22"/>
        </w:rPr>
        <w:t>Pena – detenção de um a três anos”</w:t>
      </w:r>
      <w:proofErr w:type="gramEnd"/>
      <w:r w:rsidRPr="003D342B">
        <w:rPr>
          <w:sz w:val="22"/>
          <w:szCs w:val="22"/>
        </w:rPr>
        <w:t>.</w:t>
      </w:r>
    </w:p>
    <w:p w:rsidR="001E1897" w:rsidRPr="003D342B" w:rsidRDefault="001E1897" w:rsidP="001E1897">
      <w:pPr>
        <w:spacing w:line="360" w:lineRule="auto"/>
        <w:ind w:left="2268"/>
        <w:jc w:val="both"/>
        <w:rPr>
          <w:sz w:val="22"/>
          <w:szCs w:val="22"/>
        </w:rPr>
      </w:pPr>
      <w:r w:rsidRPr="003D342B">
        <w:rPr>
          <w:sz w:val="22"/>
          <w:szCs w:val="22"/>
        </w:rPr>
        <w:t>Tal diploma foi revogado pela nova Lei de Segurança Nacional, a Lei n. 7.170, de 14 de dezembro de 1983, que estabeleceu em seu art. 22:</w:t>
      </w:r>
    </w:p>
    <w:p w:rsidR="001E1897" w:rsidRPr="003D342B" w:rsidRDefault="001E1897" w:rsidP="001E1897">
      <w:pPr>
        <w:spacing w:line="360" w:lineRule="auto"/>
        <w:ind w:left="2268"/>
        <w:jc w:val="both"/>
        <w:rPr>
          <w:sz w:val="22"/>
          <w:szCs w:val="22"/>
        </w:rPr>
      </w:pPr>
      <w:proofErr w:type="gramStart"/>
      <w:r w:rsidRPr="003D342B">
        <w:rPr>
          <w:sz w:val="22"/>
          <w:szCs w:val="22"/>
        </w:rPr>
        <w:t>“Fazer, em publico, propaganda:</w:t>
      </w:r>
    </w:p>
    <w:p w:rsidR="001E1897" w:rsidRPr="003D342B" w:rsidRDefault="001E1897" w:rsidP="001E1897">
      <w:pPr>
        <w:spacing w:line="360" w:lineRule="auto"/>
        <w:ind w:left="2268"/>
        <w:jc w:val="both"/>
        <w:rPr>
          <w:sz w:val="22"/>
          <w:szCs w:val="22"/>
        </w:rPr>
      </w:pPr>
      <w:proofErr w:type="gramEnd"/>
      <w:r w:rsidRPr="003D342B">
        <w:rPr>
          <w:sz w:val="22"/>
          <w:szCs w:val="22"/>
        </w:rPr>
        <w:t>(...)</w:t>
      </w:r>
    </w:p>
    <w:p w:rsidR="001E1897" w:rsidRPr="003D342B" w:rsidRDefault="001E1897" w:rsidP="001E1897">
      <w:pPr>
        <w:spacing w:line="360" w:lineRule="auto"/>
        <w:ind w:left="2268"/>
        <w:jc w:val="both"/>
        <w:rPr>
          <w:sz w:val="22"/>
          <w:szCs w:val="22"/>
        </w:rPr>
      </w:pPr>
      <w:r w:rsidRPr="003D342B">
        <w:rPr>
          <w:sz w:val="22"/>
          <w:szCs w:val="22"/>
        </w:rPr>
        <w:t>II – de discriminação racial, de luta pela violência entre as classes sociais, de perseguição religiosa;</w:t>
      </w:r>
    </w:p>
    <w:p w:rsidR="001E1897" w:rsidRPr="003D342B" w:rsidRDefault="001E1897" w:rsidP="001E1897">
      <w:pPr>
        <w:spacing w:line="360" w:lineRule="auto"/>
        <w:ind w:left="2268"/>
        <w:jc w:val="both"/>
        <w:rPr>
          <w:sz w:val="22"/>
          <w:szCs w:val="22"/>
        </w:rPr>
      </w:pPr>
      <w:r w:rsidRPr="003D342B">
        <w:rPr>
          <w:sz w:val="22"/>
          <w:szCs w:val="22"/>
        </w:rPr>
        <w:t xml:space="preserve">Pena: detenção de </w:t>
      </w:r>
      <w:proofErr w:type="gramStart"/>
      <w:r w:rsidRPr="003D342B">
        <w:rPr>
          <w:sz w:val="22"/>
          <w:szCs w:val="22"/>
        </w:rPr>
        <w:t>1</w:t>
      </w:r>
      <w:proofErr w:type="gramEnd"/>
      <w:r w:rsidRPr="003D342B">
        <w:rPr>
          <w:sz w:val="22"/>
          <w:szCs w:val="22"/>
        </w:rPr>
        <w:t xml:space="preserve"> (um) a 4 (quatro) anos.</w:t>
      </w:r>
    </w:p>
    <w:p w:rsidR="001E1897" w:rsidRPr="003D342B" w:rsidRDefault="001E1897" w:rsidP="001E1897">
      <w:pPr>
        <w:spacing w:line="360" w:lineRule="auto"/>
        <w:ind w:left="2268"/>
        <w:jc w:val="both"/>
        <w:rPr>
          <w:sz w:val="22"/>
          <w:szCs w:val="22"/>
        </w:rPr>
      </w:pPr>
      <w:r w:rsidRPr="003D342B">
        <w:rPr>
          <w:sz w:val="22"/>
          <w:szCs w:val="22"/>
        </w:rPr>
        <w:t>§ 1º – A pena é aumentada de um terço quando a propaganda for feita em local de trabalho ou por meio de radio ou televisão.</w:t>
      </w:r>
    </w:p>
    <w:p w:rsidR="001E1897" w:rsidRPr="003D342B" w:rsidRDefault="001E1897" w:rsidP="001E1897">
      <w:pPr>
        <w:spacing w:line="360" w:lineRule="auto"/>
        <w:ind w:left="2268"/>
        <w:jc w:val="both"/>
        <w:rPr>
          <w:sz w:val="22"/>
          <w:szCs w:val="22"/>
        </w:rPr>
      </w:pPr>
      <w:r w:rsidRPr="003D342B">
        <w:rPr>
          <w:sz w:val="22"/>
          <w:szCs w:val="22"/>
        </w:rPr>
        <w:t xml:space="preserve">§ 2º – </w:t>
      </w:r>
      <w:proofErr w:type="gramStart"/>
      <w:r w:rsidRPr="003D342B">
        <w:rPr>
          <w:sz w:val="22"/>
          <w:szCs w:val="22"/>
        </w:rPr>
        <w:t>Sujeita-se</w:t>
      </w:r>
      <w:proofErr w:type="gramEnd"/>
      <w:r w:rsidRPr="003D342B">
        <w:rPr>
          <w:sz w:val="22"/>
          <w:szCs w:val="22"/>
        </w:rPr>
        <w:t xml:space="preserve"> a mesma pena quem distribuiu ou redistribui:</w:t>
      </w:r>
    </w:p>
    <w:p w:rsidR="001E1897" w:rsidRPr="003D342B" w:rsidRDefault="001E1897" w:rsidP="001E1897">
      <w:pPr>
        <w:numPr>
          <w:ilvl w:val="0"/>
          <w:numId w:val="1"/>
        </w:numPr>
        <w:spacing w:line="360" w:lineRule="auto"/>
        <w:ind w:left="2268" w:firstLine="0"/>
        <w:jc w:val="both"/>
        <w:rPr>
          <w:sz w:val="22"/>
          <w:szCs w:val="22"/>
        </w:rPr>
      </w:pPr>
      <w:proofErr w:type="gramStart"/>
      <w:r w:rsidRPr="003D342B">
        <w:rPr>
          <w:sz w:val="22"/>
          <w:szCs w:val="22"/>
        </w:rPr>
        <w:t>fundos</w:t>
      </w:r>
      <w:proofErr w:type="gramEnd"/>
      <w:r w:rsidRPr="003D342B">
        <w:rPr>
          <w:sz w:val="22"/>
          <w:szCs w:val="22"/>
        </w:rPr>
        <w:t xml:space="preserve"> destinados a realizar a propaganda de que trata este artigo;</w:t>
      </w:r>
    </w:p>
    <w:p w:rsidR="001E1897" w:rsidRPr="003D342B" w:rsidRDefault="001E1897" w:rsidP="001E1897">
      <w:pPr>
        <w:numPr>
          <w:ilvl w:val="0"/>
          <w:numId w:val="1"/>
        </w:numPr>
        <w:spacing w:line="360" w:lineRule="auto"/>
        <w:ind w:left="2268" w:firstLine="0"/>
        <w:jc w:val="both"/>
        <w:rPr>
          <w:sz w:val="22"/>
          <w:szCs w:val="22"/>
        </w:rPr>
      </w:pPr>
      <w:proofErr w:type="gramStart"/>
      <w:r w:rsidRPr="003D342B">
        <w:rPr>
          <w:sz w:val="22"/>
          <w:szCs w:val="22"/>
        </w:rPr>
        <w:lastRenderedPageBreak/>
        <w:t>ostensiva</w:t>
      </w:r>
      <w:proofErr w:type="gramEnd"/>
      <w:r w:rsidRPr="003D342B">
        <w:rPr>
          <w:sz w:val="22"/>
          <w:szCs w:val="22"/>
        </w:rPr>
        <w:t xml:space="preserve"> ou clandestinamente boletins ou panfletos contendo a mesma propaganda.</w:t>
      </w:r>
    </w:p>
    <w:p w:rsidR="001E1897" w:rsidRPr="003D342B" w:rsidRDefault="001E1897" w:rsidP="001E1897">
      <w:pPr>
        <w:spacing w:line="360" w:lineRule="auto"/>
        <w:ind w:left="2268"/>
        <w:jc w:val="both"/>
        <w:rPr>
          <w:sz w:val="22"/>
          <w:szCs w:val="22"/>
        </w:rPr>
      </w:pPr>
      <w:r w:rsidRPr="003D342B">
        <w:rPr>
          <w:sz w:val="22"/>
          <w:szCs w:val="22"/>
        </w:rPr>
        <w:t xml:space="preserve">§ </w:t>
      </w:r>
      <w:proofErr w:type="gramStart"/>
      <w:r w:rsidRPr="003D342B">
        <w:rPr>
          <w:sz w:val="22"/>
          <w:szCs w:val="22"/>
        </w:rPr>
        <w:t>3.º – Não constitui propaganda criminosa, a exposição, a critica ou o debate de quaisquer doutrinas”</w:t>
      </w:r>
      <w:proofErr w:type="gramEnd"/>
      <w:r w:rsidRPr="003D342B">
        <w:rPr>
          <w:sz w:val="22"/>
          <w:szCs w:val="22"/>
        </w:rPr>
        <w:t xml:space="preserve">. </w:t>
      </w:r>
    </w:p>
    <w:p w:rsidR="001E1897" w:rsidRPr="003D342B" w:rsidRDefault="001E1897" w:rsidP="001E1897">
      <w:pPr>
        <w:spacing w:line="360" w:lineRule="auto"/>
        <w:ind w:left="2268"/>
        <w:jc w:val="both"/>
        <w:rPr>
          <w:sz w:val="22"/>
          <w:szCs w:val="22"/>
        </w:rPr>
      </w:pPr>
      <w:r w:rsidRPr="003D342B">
        <w:rPr>
          <w:sz w:val="22"/>
          <w:szCs w:val="22"/>
        </w:rPr>
        <w:t xml:space="preserve">A aplicabilidade da Lei de Segurança Nacional ou da Lei n. </w:t>
      </w:r>
      <w:proofErr w:type="gramStart"/>
      <w:r w:rsidRPr="003D342B">
        <w:rPr>
          <w:sz w:val="22"/>
          <w:szCs w:val="22"/>
        </w:rPr>
        <w:t>7.</w:t>
      </w:r>
      <w:proofErr w:type="gramEnd"/>
      <w:r w:rsidRPr="003D342B">
        <w:rPr>
          <w:sz w:val="22"/>
          <w:szCs w:val="22"/>
        </w:rPr>
        <w:t>&amp;16/89 decorrerá da verificação do bem jurídico lesado, diante de eventual conflito aparente de normas.</w:t>
      </w:r>
    </w:p>
    <w:p w:rsidR="001E1897" w:rsidRDefault="001E1897" w:rsidP="001E1897">
      <w:pPr>
        <w:spacing w:line="360" w:lineRule="auto"/>
        <w:jc w:val="both"/>
      </w:pPr>
    </w:p>
    <w:p w:rsidR="001E1897" w:rsidRDefault="001E1897" w:rsidP="001E1897">
      <w:pPr>
        <w:spacing w:line="360" w:lineRule="auto"/>
        <w:jc w:val="both"/>
        <w:rPr>
          <w:b/>
          <w:sz w:val="28"/>
          <w:szCs w:val="28"/>
        </w:rPr>
      </w:pPr>
      <w:r w:rsidRPr="003D342B">
        <w:rPr>
          <w:b/>
          <w:sz w:val="28"/>
          <w:szCs w:val="28"/>
        </w:rPr>
        <w:t xml:space="preserve">DECRETO – LEI </w:t>
      </w:r>
      <w:r>
        <w:rPr>
          <w:b/>
          <w:sz w:val="28"/>
          <w:szCs w:val="28"/>
        </w:rPr>
        <w:t>Nº</w:t>
      </w:r>
      <w:r w:rsidRPr="003D342B">
        <w:rPr>
          <w:b/>
          <w:sz w:val="28"/>
          <w:szCs w:val="28"/>
        </w:rPr>
        <w:t xml:space="preserve"> 1.001/1969</w:t>
      </w:r>
    </w:p>
    <w:p w:rsidR="001E1897" w:rsidRPr="003D342B" w:rsidRDefault="001E1897" w:rsidP="001E1897">
      <w:pPr>
        <w:spacing w:line="360" w:lineRule="auto"/>
        <w:jc w:val="both"/>
        <w:rPr>
          <w:b/>
          <w:sz w:val="28"/>
          <w:szCs w:val="28"/>
        </w:rPr>
      </w:pPr>
    </w:p>
    <w:p w:rsidR="001E1897" w:rsidRPr="00FA0D55" w:rsidRDefault="001E1897" w:rsidP="001E1897">
      <w:pPr>
        <w:spacing w:line="360" w:lineRule="auto"/>
        <w:ind w:firstLine="708"/>
        <w:jc w:val="both"/>
      </w:pPr>
      <w:r w:rsidRPr="00FA0D55">
        <w:t>Em 21 de outubro de 1969 foi editado o citado Decreto-Lei</w:t>
      </w:r>
      <w:proofErr w:type="gramStart"/>
      <w:r w:rsidRPr="00FA0D55">
        <w:t xml:space="preserve">  </w:t>
      </w:r>
      <w:proofErr w:type="gramEnd"/>
      <w:r w:rsidRPr="00FA0D55">
        <w:t>que instituiu o Código Penal Militar, onde foi prevista a prática do genocídio no art. 208, com a seguinte redação:</w:t>
      </w:r>
      <w:r>
        <w:t xml:space="preserve"> </w:t>
      </w:r>
      <w:r w:rsidRPr="00FA0D55">
        <w:t>“Matar membros de um grupo nacional, étnico, religioso ou pertencente a uma determinada raça, com o fim de destruição total ou parcial desse grupo. Pena – reclusão de quinze a trinta anos”.</w:t>
      </w:r>
    </w:p>
    <w:p w:rsidR="001E1897" w:rsidRPr="00FA0D55" w:rsidRDefault="001E1897" w:rsidP="001E1897">
      <w:pPr>
        <w:spacing w:line="360" w:lineRule="auto"/>
        <w:ind w:firstLine="708"/>
        <w:jc w:val="both"/>
      </w:pPr>
      <w:r w:rsidRPr="00FA0D55">
        <w:t>No § 1.º do mesmo artigo estão presentes os denominados “casos assimilados”, na expressão legal. Trata-se, evidentemente, de crime próprio.</w:t>
      </w:r>
    </w:p>
    <w:p w:rsidR="001E1897" w:rsidRPr="003D342B" w:rsidRDefault="001E1897" w:rsidP="001E1897">
      <w:pPr>
        <w:spacing w:line="360" w:lineRule="auto"/>
        <w:jc w:val="both"/>
        <w:rPr>
          <w:b/>
          <w:sz w:val="28"/>
          <w:szCs w:val="28"/>
        </w:rPr>
      </w:pPr>
    </w:p>
    <w:p w:rsidR="001E1897" w:rsidRPr="003D342B" w:rsidRDefault="001E1897" w:rsidP="001E1897">
      <w:pPr>
        <w:spacing w:line="360" w:lineRule="auto"/>
        <w:jc w:val="both"/>
        <w:rPr>
          <w:b/>
          <w:sz w:val="28"/>
          <w:szCs w:val="28"/>
        </w:rPr>
      </w:pPr>
      <w:r w:rsidRPr="003D342B">
        <w:rPr>
          <w:b/>
          <w:sz w:val="28"/>
          <w:szCs w:val="28"/>
        </w:rPr>
        <w:t xml:space="preserve">LEI </w:t>
      </w:r>
      <w:r>
        <w:rPr>
          <w:b/>
          <w:sz w:val="28"/>
          <w:szCs w:val="28"/>
        </w:rPr>
        <w:t>Nº</w:t>
      </w:r>
      <w:r w:rsidRPr="003D342B">
        <w:rPr>
          <w:b/>
          <w:sz w:val="28"/>
          <w:szCs w:val="28"/>
        </w:rPr>
        <w:t xml:space="preserve"> 7.437/1985 </w:t>
      </w:r>
    </w:p>
    <w:p w:rsidR="001E1897" w:rsidRPr="00FA0D55" w:rsidRDefault="001E1897" w:rsidP="001E1897">
      <w:pPr>
        <w:spacing w:line="360" w:lineRule="auto"/>
        <w:ind w:firstLine="708"/>
        <w:jc w:val="both"/>
      </w:pPr>
      <w:r w:rsidRPr="00FA0D55">
        <w:t>Em 20 de dezembro de 1985, foi promulgada a Lei em referência, a qual modificou a “Lei Afonso Arinos.</w:t>
      </w:r>
      <w:proofErr w:type="gramStart"/>
      <w:r w:rsidRPr="00FA0D55">
        <w:t>”</w:t>
      </w:r>
      <w:proofErr w:type="gramEnd"/>
    </w:p>
    <w:p w:rsidR="001E1897" w:rsidRPr="00FA0D55" w:rsidRDefault="001E1897" w:rsidP="001E1897">
      <w:pPr>
        <w:spacing w:line="360" w:lineRule="auto"/>
        <w:ind w:firstLine="708"/>
        <w:jc w:val="both"/>
      </w:pPr>
      <w:r w:rsidRPr="00FA0D55">
        <w:t xml:space="preserve">Merece realce, inicialmente, que a Lei 7.437/85, incluía “‘entre as contravenções penais, a prática resultantes de preconceito de raça, de cor, de sexo ou de estado civil, dando nova redação a Lei n. 1.390 de </w:t>
      </w:r>
      <w:proofErr w:type="gramStart"/>
      <w:r w:rsidRPr="00FA0D55">
        <w:t>3</w:t>
      </w:r>
      <w:proofErr w:type="gramEnd"/>
      <w:r w:rsidRPr="00FA0D55">
        <w:t xml:space="preserve"> de julho de 1951 -  Lei Afonso Arinos”. </w:t>
      </w:r>
    </w:p>
    <w:p w:rsidR="001E1897" w:rsidRDefault="001E1897" w:rsidP="001E1897">
      <w:pPr>
        <w:spacing w:line="360" w:lineRule="auto"/>
        <w:ind w:firstLine="708"/>
        <w:jc w:val="both"/>
      </w:pPr>
      <w:r w:rsidRPr="00FA0D55">
        <w:t xml:space="preserve">A Lei de 1985 manteve a natureza contravencional das infrações de cunho racista, reprimindo, simultaneamente, outras formas de discriminação (em razão de sexo ou de estado civil), mas padecendo do mesmo casuísmo ou simplesmente reproduzindo artigos </w:t>
      </w:r>
      <w:proofErr w:type="gramStart"/>
      <w:r w:rsidRPr="00FA0D55">
        <w:t>das lei</w:t>
      </w:r>
      <w:proofErr w:type="gramEnd"/>
      <w:r w:rsidRPr="00FA0D55">
        <w:t xml:space="preserve"> anterior, não contribuindo, pois, com sensíveis inovações ao tratamento da matéria.</w:t>
      </w:r>
    </w:p>
    <w:p w:rsidR="009530A7" w:rsidRDefault="009530A7" w:rsidP="001E1897">
      <w:pPr>
        <w:spacing w:line="360" w:lineRule="auto"/>
        <w:ind w:firstLine="708"/>
        <w:jc w:val="both"/>
      </w:pPr>
    </w:p>
    <w:p w:rsidR="009530A7" w:rsidRDefault="009530A7" w:rsidP="001E1897">
      <w:pPr>
        <w:spacing w:line="360" w:lineRule="auto"/>
        <w:ind w:firstLine="708"/>
        <w:jc w:val="both"/>
      </w:pPr>
    </w:p>
    <w:p w:rsidR="009530A7" w:rsidRDefault="009530A7" w:rsidP="001E1897">
      <w:pPr>
        <w:spacing w:line="360" w:lineRule="auto"/>
        <w:ind w:firstLine="708"/>
        <w:jc w:val="both"/>
      </w:pPr>
    </w:p>
    <w:p w:rsidR="009530A7" w:rsidRDefault="009530A7" w:rsidP="001E1897">
      <w:pPr>
        <w:spacing w:line="360" w:lineRule="auto"/>
        <w:ind w:firstLine="708"/>
        <w:jc w:val="both"/>
      </w:pPr>
    </w:p>
    <w:p w:rsidR="009530A7" w:rsidRDefault="009530A7" w:rsidP="001E1897">
      <w:pPr>
        <w:spacing w:line="360" w:lineRule="auto"/>
        <w:ind w:firstLine="708"/>
        <w:jc w:val="both"/>
      </w:pPr>
    </w:p>
    <w:p w:rsidR="009530A7" w:rsidRDefault="009530A7" w:rsidP="009530A7">
      <w:pPr>
        <w:spacing w:line="360" w:lineRule="auto"/>
        <w:jc w:val="center"/>
        <w:rPr>
          <w:b/>
        </w:rPr>
      </w:pPr>
      <w:r>
        <w:rPr>
          <w:b/>
        </w:rPr>
        <w:lastRenderedPageBreak/>
        <w:t>REFERÊNCIAS</w:t>
      </w:r>
    </w:p>
    <w:p w:rsidR="009530A7" w:rsidRPr="00FA0D55" w:rsidRDefault="009530A7" w:rsidP="001E1897">
      <w:pPr>
        <w:spacing w:line="360" w:lineRule="auto"/>
        <w:ind w:firstLine="708"/>
        <w:jc w:val="both"/>
      </w:pPr>
    </w:p>
    <w:p w:rsidR="00C3086D" w:rsidRDefault="00C3086D"/>
    <w:p w:rsidR="009530A7" w:rsidRPr="001057B9" w:rsidRDefault="009530A7" w:rsidP="009530A7">
      <w:pPr>
        <w:spacing w:line="360" w:lineRule="auto"/>
        <w:jc w:val="both"/>
      </w:pPr>
      <w:r w:rsidRPr="001057B9">
        <w:t xml:space="preserve">NABUCO, Joaquim. O abolicionista, </w:t>
      </w:r>
      <w:proofErr w:type="gramStart"/>
      <w:r w:rsidRPr="001057B9">
        <w:t>6</w:t>
      </w:r>
      <w:proofErr w:type="gramEnd"/>
      <w:r w:rsidRPr="001057B9">
        <w:t xml:space="preserve">. Ed. Rio de Janeiro, Nova Fronteira, 1999. </w:t>
      </w:r>
    </w:p>
    <w:p w:rsidR="009530A7" w:rsidRDefault="009530A7"/>
    <w:p w:rsidR="009530A7" w:rsidRPr="001057B9" w:rsidRDefault="009530A7" w:rsidP="009530A7">
      <w:pPr>
        <w:spacing w:line="360" w:lineRule="auto"/>
        <w:jc w:val="both"/>
      </w:pPr>
      <w:r w:rsidRPr="001057B9">
        <w:t xml:space="preserve">SILVEIRA, Fabiano Augusto Martins. Da criminalização do Racismo – Aspectos Jurídicos e Sociocriminológicos, 1º ed., Belo Horizonte, Del Rey, </w:t>
      </w:r>
      <w:proofErr w:type="gramStart"/>
      <w:r w:rsidRPr="001057B9">
        <w:t>2006</w:t>
      </w:r>
      <w:proofErr w:type="gramEnd"/>
    </w:p>
    <w:p w:rsidR="009530A7" w:rsidRDefault="009530A7" w:rsidP="009530A7">
      <w:pPr>
        <w:spacing w:line="360" w:lineRule="auto"/>
        <w:jc w:val="both"/>
      </w:pPr>
    </w:p>
    <w:p w:rsidR="009530A7" w:rsidRDefault="009530A7" w:rsidP="009530A7">
      <w:pPr>
        <w:spacing w:line="360" w:lineRule="auto"/>
        <w:jc w:val="both"/>
      </w:pPr>
      <w:r w:rsidRPr="001057B9">
        <w:t xml:space="preserve">RIBEIRO, Darcy. O Povo Brasileiro, 1º ed., Companhia de Bolso, </w:t>
      </w:r>
      <w:proofErr w:type="gramStart"/>
      <w:r w:rsidRPr="001057B9">
        <w:t>2006</w:t>
      </w:r>
      <w:proofErr w:type="gramEnd"/>
    </w:p>
    <w:p w:rsidR="009530A7" w:rsidRDefault="009530A7"/>
    <w:p w:rsidR="009530A7" w:rsidRDefault="009530A7">
      <w:r>
        <w:t>HORTA, Estudos de direito constitucional,</w:t>
      </w:r>
      <w:proofErr w:type="gramStart"/>
      <w:r>
        <w:t xml:space="preserve">  </w:t>
      </w:r>
      <w:proofErr w:type="gramEnd"/>
      <w:r>
        <w:t>p.58.</w:t>
      </w:r>
    </w:p>
    <w:sectPr w:rsidR="009530A7" w:rsidSect="00C3086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6D32" w:rsidRDefault="00786D32" w:rsidP="001E1897">
      <w:r>
        <w:separator/>
      </w:r>
    </w:p>
  </w:endnote>
  <w:endnote w:type="continuationSeparator" w:id="0">
    <w:p w:rsidR="00786D32" w:rsidRDefault="00786D32" w:rsidP="001E18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6D32" w:rsidRDefault="00786D32" w:rsidP="001E1897">
      <w:r>
        <w:separator/>
      </w:r>
    </w:p>
  </w:footnote>
  <w:footnote w:type="continuationSeparator" w:id="0">
    <w:p w:rsidR="00786D32" w:rsidRDefault="00786D32" w:rsidP="001E1897">
      <w:r>
        <w:continuationSeparator/>
      </w:r>
    </w:p>
  </w:footnote>
  <w:footnote w:id="1">
    <w:p w:rsidR="001E1897" w:rsidRDefault="001E1897" w:rsidP="001E1897">
      <w:pPr>
        <w:pStyle w:val="Textodenotaderodap"/>
      </w:pPr>
      <w:r>
        <w:rPr>
          <w:rStyle w:val="Refdenotaderodap"/>
        </w:rPr>
        <w:footnoteRef/>
      </w:r>
      <w:r>
        <w:t xml:space="preserve"> HORTA, Estudos de direito constitucional,</w:t>
      </w:r>
      <w:proofErr w:type="gramStart"/>
      <w:r>
        <w:t xml:space="preserve">  </w:t>
      </w:r>
      <w:proofErr w:type="gramEnd"/>
      <w:r>
        <w:t>p.58.</w:t>
      </w:r>
    </w:p>
  </w:footnote>
  <w:footnote w:id="2">
    <w:p w:rsidR="001E1897" w:rsidRDefault="001E1897" w:rsidP="001E1897">
      <w:pPr>
        <w:pStyle w:val="Textodenotaderodap"/>
      </w:pPr>
      <w:r>
        <w:rPr>
          <w:rStyle w:val="Refdenotaderodap"/>
        </w:rPr>
        <w:footnoteRef/>
      </w:r>
      <w:r>
        <w:t xml:space="preserve"> Citado por FRY. Cor e Estado de Direito no Brasil, p. 214.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C96B37"/>
    <w:multiLevelType w:val="hybridMultilevel"/>
    <w:tmpl w:val="D51045DA"/>
    <w:lvl w:ilvl="0" w:tplc="D2BAD452">
      <w:start w:val="1"/>
      <w:numFmt w:val="lowerLetter"/>
      <w:lvlText w:val="%1)"/>
      <w:lvlJc w:val="left"/>
      <w:pPr>
        <w:ind w:left="20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2" w:hanging="360"/>
      </w:pPr>
    </w:lvl>
    <w:lvl w:ilvl="2" w:tplc="0416001B" w:tentative="1">
      <w:start w:val="1"/>
      <w:numFmt w:val="lowerRoman"/>
      <w:lvlText w:val="%3."/>
      <w:lvlJc w:val="right"/>
      <w:pPr>
        <w:ind w:left="3502" w:hanging="180"/>
      </w:pPr>
    </w:lvl>
    <w:lvl w:ilvl="3" w:tplc="0416000F" w:tentative="1">
      <w:start w:val="1"/>
      <w:numFmt w:val="decimal"/>
      <w:lvlText w:val="%4."/>
      <w:lvlJc w:val="left"/>
      <w:pPr>
        <w:ind w:left="4222" w:hanging="360"/>
      </w:pPr>
    </w:lvl>
    <w:lvl w:ilvl="4" w:tplc="04160019" w:tentative="1">
      <w:start w:val="1"/>
      <w:numFmt w:val="lowerLetter"/>
      <w:lvlText w:val="%5."/>
      <w:lvlJc w:val="left"/>
      <w:pPr>
        <w:ind w:left="4942" w:hanging="360"/>
      </w:pPr>
    </w:lvl>
    <w:lvl w:ilvl="5" w:tplc="0416001B" w:tentative="1">
      <w:start w:val="1"/>
      <w:numFmt w:val="lowerRoman"/>
      <w:lvlText w:val="%6."/>
      <w:lvlJc w:val="right"/>
      <w:pPr>
        <w:ind w:left="5662" w:hanging="180"/>
      </w:pPr>
    </w:lvl>
    <w:lvl w:ilvl="6" w:tplc="0416000F" w:tentative="1">
      <w:start w:val="1"/>
      <w:numFmt w:val="decimal"/>
      <w:lvlText w:val="%7."/>
      <w:lvlJc w:val="left"/>
      <w:pPr>
        <w:ind w:left="6382" w:hanging="360"/>
      </w:pPr>
    </w:lvl>
    <w:lvl w:ilvl="7" w:tplc="04160019" w:tentative="1">
      <w:start w:val="1"/>
      <w:numFmt w:val="lowerLetter"/>
      <w:lvlText w:val="%8."/>
      <w:lvlJc w:val="left"/>
      <w:pPr>
        <w:ind w:left="7102" w:hanging="360"/>
      </w:pPr>
    </w:lvl>
    <w:lvl w:ilvl="8" w:tplc="0416001B" w:tentative="1">
      <w:start w:val="1"/>
      <w:numFmt w:val="lowerRoman"/>
      <w:lvlText w:val="%9."/>
      <w:lvlJc w:val="right"/>
      <w:pPr>
        <w:ind w:left="782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1897"/>
    <w:rsid w:val="001E1897"/>
    <w:rsid w:val="00786D32"/>
    <w:rsid w:val="009530A7"/>
    <w:rsid w:val="00C3086D"/>
    <w:rsid w:val="00EA0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18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E1897"/>
    <w:pPr>
      <w:spacing w:before="100" w:beforeAutospacing="1" w:after="100" w:afterAutospacing="1"/>
    </w:pPr>
  </w:style>
  <w:style w:type="paragraph" w:styleId="Textodenotaderodap">
    <w:name w:val="footnote text"/>
    <w:basedOn w:val="Normal"/>
    <w:link w:val="TextodenotaderodapChar"/>
    <w:rsid w:val="001E1897"/>
    <w:pPr>
      <w:suppressAutoHyphens/>
    </w:pPr>
    <w:rPr>
      <w:sz w:val="20"/>
      <w:szCs w:val="20"/>
      <w:lang w:eastAsia="ar-SA"/>
    </w:rPr>
  </w:style>
  <w:style w:type="character" w:customStyle="1" w:styleId="TextodenotaderodapChar">
    <w:name w:val="Texto de nota de rodapé Char"/>
    <w:basedOn w:val="Fontepargpadro"/>
    <w:link w:val="Textodenotaderodap"/>
    <w:rsid w:val="001E189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Refdenotaderodap">
    <w:name w:val="footnote reference"/>
    <w:basedOn w:val="Fontepargpadro"/>
    <w:rsid w:val="001E189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1758</Words>
  <Characters>9494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Régis</dc:creator>
  <cp:lastModifiedBy>Régis</cp:lastModifiedBy>
  <cp:revision>1</cp:revision>
  <dcterms:created xsi:type="dcterms:W3CDTF">2013-10-13T18:57:00Z</dcterms:created>
  <dcterms:modified xsi:type="dcterms:W3CDTF">2013-10-13T19:26:00Z</dcterms:modified>
</cp:coreProperties>
</file>