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99D" w:rsidRDefault="008E6126" w:rsidP="008E612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“</w:t>
      </w:r>
      <w:r w:rsidRPr="008E6126">
        <w:rPr>
          <w:rFonts w:ascii="Arial" w:hAnsi="Arial" w:cs="Arial"/>
          <w:b/>
          <w:sz w:val="28"/>
          <w:szCs w:val="28"/>
        </w:rPr>
        <w:t>Nova</w:t>
      </w:r>
      <w:r>
        <w:rPr>
          <w:rFonts w:ascii="Arial" w:hAnsi="Arial" w:cs="Arial"/>
          <w:b/>
          <w:sz w:val="28"/>
          <w:szCs w:val="28"/>
        </w:rPr>
        <w:t>”</w:t>
      </w:r>
      <w:r w:rsidR="00471F35">
        <w:rPr>
          <w:rFonts w:ascii="Arial" w:hAnsi="Arial" w:cs="Arial"/>
          <w:b/>
          <w:sz w:val="28"/>
          <w:szCs w:val="28"/>
        </w:rPr>
        <w:t xml:space="preserve"> Poupança completou </w:t>
      </w:r>
      <w:r w:rsidR="00964A53">
        <w:rPr>
          <w:rFonts w:ascii="Arial" w:hAnsi="Arial" w:cs="Arial"/>
          <w:b/>
          <w:sz w:val="28"/>
          <w:szCs w:val="28"/>
        </w:rPr>
        <w:t>um</w:t>
      </w:r>
      <w:r w:rsidRPr="008E6126">
        <w:rPr>
          <w:rFonts w:ascii="Arial" w:hAnsi="Arial" w:cs="Arial"/>
          <w:b/>
          <w:sz w:val="28"/>
          <w:szCs w:val="28"/>
        </w:rPr>
        <w:t xml:space="preserve"> ano em maio</w:t>
      </w:r>
    </w:p>
    <w:p w:rsidR="008E6126" w:rsidRPr="0050499F" w:rsidRDefault="008E6126" w:rsidP="008E6126">
      <w:pPr>
        <w:jc w:val="center"/>
        <w:rPr>
          <w:rFonts w:ascii="Arial" w:hAnsi="Arial" w:cs="Arial"/>
          <w:b/>
          <w:sz w:val="24"/>
          <w:szCs w:val="24"/>
        </w:rPr>
      </w:pPr>
    </w:p>
    <w:p w:rsidR="0050499F" w:rsidRDefault="0050499F" w:rsidP="004038C7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 Caderneta de Poupança é um</w:t>
      </w:r>
      <w:r w:rsidRPr="0050499F">
        <w:rPr>
          <w:rFonts w:ascii="Arial" w:hAnsi="Arial" w:cs="Arial"/>
          <w:color w:val="000000" w:themeColor="text1"/>
          <w:sz w:val="24"/>
          <w:szCs w:val="24"/>
        </w:rPr>
        <w:t xml:space="preserve"> produto de investimento que oferece o menor risco. As regras de funcionamento são estabelecidas pelo Banco Central, os valores investidos estão garantidos pelo Fundo Garantidor de Crédito até R$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0499F">
        <w:rPr>
          <w:rFonts w:ascii="Arial" w:hAnsi="Arial" w:cs="Arial"/>
          <w:color w:val="000000" w:themeColor="text1"/>
          <w:sz w:val="24"/>
          <w:szCs w:val="24"/>
        </w:rPr>
        <w:t>70 mil por CPF.</w:t>
      </w:r>
    </w:p>
    <w:p w:rsidR="004038C7" w:rsidRDefault="008E6126" w:rsidP="004038C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E6126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</w:t>
      </w:r>
      <w:r w:rsidR="0050499F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novas</w:t>
      </w:r>
      <w:r w:rsidR="0050499F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regras para o cálculo do rendimento da</w:t>
      </w:r>
      <w:r w:rsidR="0050499F">
        <w:rPr>
          <w:rFonts w:ascii="Arial" w:hAnsi="Arial" w:cs="Arial"/>
          <w:sz w:val="24"/>
          <w:szCs w:val="24"/>
        </w:rPr>
        <w:t xml:space="preserve"> caderneta de poupança completaram</w:t>
      </w:r>
      <w:r>
        <w:rPr>
          <w:rFonts w:ascii="Arial" w:hAnsi="Arial" w:cs="Arial"/>
          <w:sz w:val="24"/>
          <w:szCs w:val="24"/>
        </w:rPr>
        <w:t xml:space="preserve"> um ano no dia 04 de maio, desde 2012 o rendimento da aplicação passou a ser atrelado à 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="004038C7">
        <w:rPr>
          <w:rFonts w:ascii="Arial" w:hAnsi="Arial" w:cs="Arial"/>
          <w:sz w:val="24"/>
          <w:szCs w:val="24"/>
        </w:rPr>
        <w:t>elic</w:t>
      </w:r>
      <w:proofErr w:type="spellEnd"/>
      <w:r>
        <w:rPr>
          <w:rFonts w:ascii="Arial" w:hAnsi="Arial" w:cs="Arial"/>
          <w:sz w:val="24"/>
          <w:szCs w:val="24"/>
        </w:rPr>
        <w:t xml:space="preserve"> (taxa básica de juros) sempre que esta estiver em 8,5% ao ano ou menos. Quando isso acontecer, a poupança paga 70% da </w:t>
      </w:r>
      <w:proofErr w:type="spellStart"/>
      <w:r>
        <w:rPr>
          <w:rFonts w:ascii="Arial" w:hAnsi="Arial" w:cs="Arial"/>
          <w:sz w:val="24"/>
          <w:szCs w:val="24"/>
        </w:rPr>
        <w:t>Selic</w:t>
      </w:r>
      <w:proofErr w:type="spellEnd"/>
      <w:r>
        <w:rPr>
          <w:rFonts w:ascii="Arial" w:hAnsi="Arial" w:cs="Arial"/>
          <w:sz w:val="24"/>
          <w:szCs w:val="24"/>
        </w:rPr>
        <w:t xml:space="preserve"> mais TR (Taxa Referencial). </w:t>
      </w:r>
      <w:r w:rsidR="004038C7">
        <w:rPr>
          <w:rFonts w:ascii="Arial" w:hAnsi="Arial" w:cs="Arial"/>
          <w:sz w:val="24"/>
          <w:szCs w:val="24"/>
        </w:rPr>
        <w:t xml:space="preserve">Se a </w:t>
      </w:r>
      <w:proofErr w:type="spellStart"/>
      <w:r w:rsidR="004038C7">
        <w:rPr>
          <w:rFonts w:ascii="Arial" w:hAnsi="Arial" w:cs="Arial"/>
          <w:sz w:val="24"/>
          <w:szCs w:val="24"/>
        </w:rPr>
        <w:t>Selic</w:t>
      </w:r>
      <w:proofErr w:type="spellEnd"/>
      <w:r w:rsidR="004038C7">
        <w:rPr>
          <w:rFonts w:ascii="Arial" w:hAnsi="Arial" w:cs="Arial"/>
          <w:sz w:val="24"/>
          <w:szCs w:val="24"/>
        </w:rPr>
        <w:t xml:space="preserve"> estiver acima de 8</w:t>
      </w:r>
      <w:r w:rsidR="0050499F">
        <w:rPr>
          <w:rFonts w:ascii="Arial" w:hAnsi="Arial" w:cs="Arial"/>
          <w:sz w:val="24"/>
          <w:szCs w:val="24"/>
        </w:rPr>
        <w:t>,5% ao ano</w:t>
      </w:r>
      <w:r w:rsidR="004038C7">
        <w:rPr>
          <w:rFonts w:ascii="Arial" w:hAnsi="Arial" w:cs="Arial"/>
          <w:sz w:val="24"/>
          <w:szCs w:val="24"/>
        </w:rPr>
        <w:t xml:space="preserve">, a rentabilidade continua em 0,5% ao mês mais TR. As novas regras só valem para aplicações efetuadas a partir de </w:t>
      </w:r>
      <w:proofErr w:type="gramStart"/>
      <w:r w:rsidR="004038C7">
        <w:rPr>
          <w:rFonts w:ascii="Arial" w:hAnsi="Arial" w:cs="Arial"/>
          <w:sz w:val="24"/>
          <w:szCs w:val="24"/>
        </w:rPr>
        <w:t>4</w:t>
      </w:r>
      <w:proofErr w:type="gramEnd"/>
      <w:r w:rsidR="004038C7">
        <w:rPr>
          <w:rFonts w:ascii="Arial" w:hAnsi="Arial" w:cs="Arial"/>
          <w:sz w:val="24"/>
          <w:szCs w:val="24"/>
        </w:rPr>
        <w:t xml:space="preserve"> de maio de 2012.</w:t>
      </w:r>
    </w:p>
    <w:p w:rsidR="004038C7" w:rsidRDefault="004038C7" w:rsidP="004038C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principal objetivo da mudança era possibilitar a redução da taxa de juros sem que a poupança se tornasse uma aplicação mais atrativa do que fundo DI e títulos públicos.</w:t>
      </w:r>
      <w:r w:rsidR="005049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Mesmo com a queda de rentabilidade, a captação (diferença entre depósito e saques) da caderneta continua elevada. </w:t>
      </w:r>
    </w:p>
    <w:p w:rsidR="004038C7" w:rsidRPr="008E6126" w:rsidRDefault="004038C7" w:rsidP="004038C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4038C7" w:rsidRPr="008E6126" w:rsidSect="006159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6126"/>
    <w:rsid w:val="004038C7"/>
    <w:rsid w:val="00471F35"/>
    <w:rsid w:val="0050499F"/>
    <w:rsid w:val="0061599D"/>
    <w:rsid w:val="008E6126"/>
    <w:rsid w:val="00964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9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</dc:creator>
  <cp:lastModifiedBy>Cris</cp:lastModifiedBy>
  <cp:revision>1</cp:revision>
  <dcterms:created xsi:type="dcterms:W3CDTF">2013-05-12T22:26:00Z</dcterms:created>
  <dcterms:modified xsi:type="dcterms:W3CDTF">2013-05-12T23:44:00Z</dcterms:modified>
</cp:coreProperties>
</file>