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80B" w:rsidRPr="00096223" w:rsidRDefault="003D480B" w:rsidP="003D480B">
      <w:pPr>
        <w:jc w:val="center"/>
        <w:rPr>
          <w:rFonts w:cs="Times New Roman"/>
          <w:sz w:val="24"/>
          <w:szCs w:val="24"/>
        </w:rPr>
      </w:pPr>
      <w:r w:rsidRPr="00096223">
        <w:rPr>
          <w:rFonts w:cs="Times New Roman"/>
          <w:sz w:val="24"/>
          <w:szCs w:val="24"/>
        </w:rPr>
        <w:t>Pacto Antenupcial</w:t>
      </w:r>
    </w:p>
    <w:p w:rsidR="004039F4" w:rsidRPr="00096223" w:rsidRDefault="00E20B5B" w:rsidP="0098198C">
      <w:pPr>
        <w:jc w:val="both"/>
        <w:rPr>
          <w:rFonts w:cs="Times New Roman"/>
          <w:sz w:val="24"/>
          <w:szCs w:val="24"/>
        </w:rPr>
      </w:pPr>
      <w:r w:rsidRPr="00096223">
        <w:rPr>
          <w:rFonts w:cs="Times New Roman"/>
          <w:sz w:val="24"/>
          <w:szCs w:val="24"/>
        </w:rPr>
        <w:t>O</w:t>
      </w:r>
      <w:r w:rsidR="00096223">
        <w:rPr>
          <w:rFonts w:cs="Times New Roman"/>
          <w:sz w:val="24"/>
          <w:szCs w:val="24"/>
        </w:rPr>
        <w:t xml:space="preserve"> p</w:t>
      </w:r>
      <w:r w:rsidR="003F3CF0" w:rsidRPr="00096223">
        <w:rPr>
          <w:rFonts w:cs="Times New Roman"/>
          <w:sz w:val="24"/>
          <w:szCs w:val="24"/>
        </w:rPr>
        <w:t>acto ant</w:t>
      </w:r>
      <w:r w:rsidR="00096223">
        <w:rPr>
          <w:rFonts w:cs="Times New Roman"/>
          <w:sz w:val="24"/>
          <w:szCs w:val="24"/>
        </w:rPr>
        <w:t>e</w:t>
      </w:r>
      <w:r w:rsidR="003F3CF0" w:rsidRPr="00096223">
        <w:rPr>
          <w:rFonts w:cs="Times New Roman"/>
          <w:sz w:val="24"/>
          <w:szCs w:val="24"/>
        </w:rPr>
        <w:t xml:space="preserve">nupcial está previsto no </w:t>
      </w:r>
      <w:r w:rsidRPr="00096223">
        <w:rPr>
          <w:rFonts w:cs="Times New Roman"/>
          <w:sz w:val="24"/>
          <w:szCs w:val="24"/>
        </w:rPr>
        <w:t>artigo 1</w:t>
      </w:r>
      <w:r w:rsidR="003F3CF0" w:rsidRPr="00096223">
        <w:rPr>
          <w:rFonts w:cs="Times New Roman"/>
          <w:sz w:val="24"/>
          <w:szCs w:val="24"/>
        </w:rPr>
        <w:t>653 do Código Civil</w:t>
      </w:r>
      <w:r w:rsidR="00BD0BA2" w:rsidRPr="00096223">
        <w:rPr>
          <w:rFonts w:cs="Times New Roman"/>
          <w:sz w:val="24"/>
          <w:szCs w:val="24"/>
        </w:rPr>
        <w:t>. Ao</w:t>
      </w:r>
      <w:r w:rsidR="0098198C" w:rsidRPr="00096223">
        <w:rPr>
          <w:rFonts w:cs="Times New Roman"/>
          <w:sz w:val="24"/>
          <w:szCs w:val="24"/>
        </w:rPr>
        <w:t xml:space="preserve"> contrário do que</w:t>
      </w:r>
      <w:r w:rsidR="003B15EB" w:rsidRPr="00096223">
        <w:rPr>
          <w:rFonts w:cs="Times New Roman"/>
          <w:sz w:val="24"/>
          <w:szCs w:val="24"/>
        </w:rPr>
        <w:t xml:space="preserve"> muitos</w:t>
      </w:r>
      <w:r w:rsidR="00BD0BA2" w:rsidRPr="00096223">
        <w:rPr>
          <w:rFonts w:cs="Times New Roman"/>
          <w:sz w:val="24"/>
          <w:szCs w:val="24"/>
        </w:rPr>
        <w:t xml:space="preserve"> </w:t>
      </w:r>
      <w:r w:rsidR="002969BC" w:rsidRPr="00096223">
        <w:rPr>
          <w:rFonts w:cs="Times New Roman"/>
          <w:sz w:val="24"/>
          <w:szCs w:val="24"/>
        </w:rPr>
        <w:t>pensam</w:t>
      </w:r>
      <w:r w:rsidR="003B15EB" w:rsidRPr="00096223">
        <w:rPr>
          <w:rFonts w:cs="Times New Roman"/>
          <w:sz w:val="24"/>
          <w:szCs w:val="24"/>
        </w:rPr>
        <w:t>,</w:t>
      </w:r>
      <w:r w:rsidR="002969BC" w:rsidRPr="00096223">
        <w:rPr>
          <w:rFonts w:cs="Times New Roman"/>
          <w:sz w:val="24"/>
          <w:szCs w:val="24"/>
        </w:rPr>
        <w:t xml:space="preserve"> este é um contrato solene e </w:t>
      </w:r>
      <w:r w:rsidR="0098198C" w:rsidRPr="00096223">
        <w:rPr>
          <w:rFonts w:cs="Times New Roman"/>
          <w:sz w:val="24"/>
          <w:szCs w:val="24"/>
        </w:rPr>
        <w:t xml:space="preserve">um </w:t>
      </w:r>
      <w:r w:rsidR="002969BC" w:rsidRPr="00096223">
        <w:rPr>
          <w:rFonts w:cs="Times New Roman"/>
          <w:sz w:val="24"/>
          <w:szCs w:val="24"/>
        </w:rPr>
        <w:t>negócio jurídico</w:t>
      </w:r>
      <w:r w:rsidR="0098198C" w:rsidRPr="00096223">
        <w:rPr>
          <w:rFonts w:cs="Times New Roman"/>
          <w:sz w:val="24"/>
          <w:szCs w:val="24"/>
        </w:rPr>
        <w:t xml:space="preserve"> com condição suspensiva</w:t>
      </w:r>
      <w:r w:rsidR="002969BC" w:rsidRPr="00096223">
        <w:rPr>
          <w:rFonts w:cs="Times New Roman"/>
          <w:sz w:val="24"/>
          <w:szCs w:val="24"/>
        </w:rPr>
        <w:t xml:space="preserve"> mui</w:t>
      </w:r>
      <w:r w:rsidR="003B15EB" w:rsidRPr="00096223">
        <w:rPr>
          <w:rFonts w:cs="Times New Roman"/>
          <w:sz w:val="24"/>
          <w:szCs w:val="24"/>
        </w:rPr>
        <w:t>to usual na justiça brasileira, diz-se solene</w:t>
      </w:r>
      <w:r w:rsidR="004039F4" w:rsidRPr="00096223">
        <w:rPr>
          <w:rFonts w:cs="Times New Roman"/>
          <w:sz w:val="24"/>
          <w:szCs w:val="24"/>
        </w:rPr>
        <w:t>,</w:t>
      </w:r>
      <w:r w:rsidR="003B15EB" w:rsidRPr="00096223">
        <w:rPr>
          <w:rFonts w:cs="Times New Roman"/>
          <w:sz w:val="24"/>
          <w:szCs w:val="24"/>
        </w:rPr>
        <w:t xml:space="preserve"> porque somente será </w:t>
      </w:r>
      <w:r w:rsidR="004039F4" w:rsidRPr="00096223">
        <w:rPr>
          <w:rFonts w:cs="Times New Roman"/>
          <w:sz w:val="24"/>
          <w:szCs w:val="24"/>
        </w:rPr>
        <w:t>realizado por escritura pública</w:t>
      </w:r>
      <w:r w:rsidR="00096223">
        <w:rPr>
          <w:rFonts w:cs="Times New Roman"/>
          <w:sz w:val="24"/>
          <w:szCs w:val="24"/>
        </w:rPr>
        <w:t>,</w:t>
      </w:r>
      <w:r w:rsidR="003B15EB" w:rsidRPr="00096223">
        <w:rPr>
          <w:rFonts w:cs="Times New Roman"/>
          <w:sz w:val="24"/>
          <w:szCs w:val="24"/>
        </w:rPr>
        <w:t xml:space="preserve"> estando</w:t>
      </w:r>
      <w:r w:rsidR="004039F4" w:rsidRPr="00096223">
        <w:rPr>
          <w:rFonts w:cs="Times New Roman"/>
          <w:sz w:val="24"/>
          <w:szCs w:val="24"/>
        </w:rPr>
        <w:t xml:space="preserve"> este </w:t>
      </w:r>
      <w:r w:rsidR="003B15EB" w:rsidRPr="00096223">
        <w:rPr>
          <w:rFonts w:cs="Times New Roman"/>
          <w:sz w:val="24"/>
          <w:szCs w:val="24"/>
        </w:rPr>
        <w:t xml:space="preserve">passível </w:t>
      </w:r>
      <w:r w:rsidR="00AD0736" w:rsidRPr="00096223">
        <w:rPr>
          <w:rFonts w:cs="Times New Roman"/>
          <w:sz w:val="24"/>
          <w:szCs w:val="24"/>
        </w:rPr>
        <w:t>de nulidade caso assim não seja feito.</w:t>
      </w:r>
      <w:r w:rsidR="003B15EB" w:rsidRPr="00096223">
        <w:rPr>
          <w:rFonts w:cs="Times New Roman"/>
          <w:sz w:val="24"/>
          <w:szCs w:val="24"/>
        </w:rPr>
        <w:t xml:space="preserve"> </w:t>
      </w:r>
    </w:p>
    <w:p w:rsidR="0098198C" w:rsidRPr="00096223" w:rsidRDefault="0098198C" w:rsidP="0098198C">
      <w:pPr>
        <w:jc w:val="both"/>
        <w:rPr>
          <w:rFonts w:cs="Times New Roman"/>
          <w:sz w:val="24"/>
          <w:szCs w:val="24"/>
        </w:rPr>
      </w:pPr>
      <w:r w:rsidRPr="00096223">
        <w:rPr>
          <w:rFonts w:cs="Times New Roman"/>
          <w:sz w:val="24"/>
          <w:szCs w:val="24"/>
        </w:rPr>
        <w:t xml:space="preserve">A eficácia do ato está ligada </w:t>
      </w:r>
      <w:r w:rsidR="00096223">
        <w:rPr>
          <w:rFonts w:cs="Times New Roman"/>
          <w:sz w:val="24"/>
          <w:szCs w:val="24"/>
        </w:rPr>
        <w:t>à</w:t>
      </w:r>
      <w:r w:rsidRPr="00096223">
        <w:rPr>
          <w:rFonts w:cs="Times New Roman"/>
          <w:sz w:val="24"/>
          <w:szCs w:val="24"/>
        </w:rPr>
        <w:t xml:space="preserve"> condição</w:t>
      </w:r>
      <w:r w:rsidR="00E42E10" w:rsidRPr="00096223">
        <w:rPr>
          <w:rFonts w:cs="Times New Roman"/>
          <w:sz w:val="24"/>
          <w:szCs w:val="24"/>
        </w:rPr>
        <w:t xml:space="preserve"> suspensiva </w:t>
      </w:r>
      <w:r w:rsidRPr="00096223">
        <w:rPr>
          <w:rFonts w:cs="Times New Roman"/>
          <w:sz w:val="24"/>
          <w:szCs w:val="24"/>
        </w:rPr>
        <w:t xml:space="preserve">do contrato, </w:t>
      </w:r>
      <w:r w:rsidR="009B67A3" w:rsidRPr="00096223">
        <w:rPr>
          <w:rFonts w:cs="Times New Roman"/>
          <w:sz w:val="24"/>
          <w:szCs w:val="24"/>
        </w:rPr>
        <w:t>pois</w:t>
      </w:r>
      <w:r w:rsidR="004039F4" w:rsidRPr="00096223">
        <w:rPr>
          <w:rFonts w:cs="Times New Roman"/>
          <w:sz w:val="24"/>
          <w:szCs w:val="24"/>
        </w:rPr>
        <w:t xml:space="preserve"> somente com</w:t>
      </w:r>
      <w:r w:rsidR="0051029C" w:rsidRPr="00096223">
        <w:rPr>
          <w:rFonts w:cs="Times New Roman"/>
          <w:sz w:val="24"/>
          <w:szCs w:val="24"/>
        </w:rPr>
        <w:t xml:space="preserve"> a </w:t>
      </w:r>
      <w:r w:rsidR="004039F4" w:rsidRPr="00096223">
        <w:rPr>
          <w:rFonts w:cs="Times New Roman"/>
          <w:sz w:val="24"/>
          <w:szCs w:val="24"/>
        </w:rPr>
        <w:t>ce</w:t>
      </w:r>
      <w:r w:rsidR="0051029C" w:rsidRPr="00096223">
        <w:rPr>
          <w:rFonts w:cs="Times New Roman"/>
          <w:sz w:val="24"/>
          <w:szCs w:val="24"/>
        </w:rPr>
        <w:t>lebração do casamento</w:t>
      </w:r>
      <w:r w:rsidR="009B67A3" w:rsidRPr="00096223">
        <w:rPr>
          <w:rFonts w:cs="Times New Roman"/>
          <w:sz w:val="24"/>
          <w:szCs w:val="24"/>
        </w:rPr>
        <w:t xml:space="preserve"> é que </w:t>
      </w:r>
      <w:r w:rsidR="00096223">
        <w:rPr>
          <w:rFonts w:cs="Times New Roman"/>
          <w:sz w:val="24"/>
          <w:szCs w:val="24"/>
        </w:rPr>
        <w:t>o p</w:t>
      </w:r>
      <w:r w:rsidR="0051029C" w:rsidRPr="00096223">
        <w:rPr>
          <w:rFonts w:cs="Times New Roman"/>
          <w:sz w:val="24"/>
          <w:szCs w:val="24"/>
        </w:rPr>
        <w:t xml:space="preserve">acto antenupcial entrará </w:t>
      </w:r>
      <w:r w:rsidR="009B67A3" w:rsidRPr="00096223">
        <w:rPr>
          <w:rFonts w:cs="Times New Roman"/>
          <w:sz w:val="24"/>
          <w:szCs w:val="24"/>
        </w:rPr>
        <w:t>em vigor</w:t>
      </w:r>
      <w:r w:rsidR="00E142A4" w:rsidRPr="00096223">
        <w:rPr>
          <w:rFonts w:cs="Times New Roman"/>
          <w:sz w:val="24"/>
          <w:szCs w:val="24"/>
        </w:rPr>
        <w:t>. Antes da celebração do casamento</w:t>
      </w:r>
      <w:r w:rsidR="00096223">
        <w:rPr>
          <w:rFonts w:cs="Times New Roman"/>
          <w:sz w:val="24"/>
          <w:szCs w:val="24"/>
        </w:rPr>
        <w:t>,</w:t>
      </w:r>
      <w:r w:rsidR="00E142A4" w:rsidRPr="00096223">
        <w:rPr>
          <w:rFonts w:cs="Times New Roman"/>
          <w:sz w:val="24"/>
          <w:szCs w:val="24"/>
        </w:rPr>
        <w:t xml:space="preserve"> o ato existe e é válido, mas lhe falta a eficácia que somente será suprida com a realização do matrimônio.</w:t>
      </w:r>
    </w:p>
    <w:p w:rsidR="0098198C" w:rsidRPr="00096223" w:rsidRDefault="0098198C" w:rsidP="003D480B">
      <w:pPr>
        <w:jc w:val="both"/>
        <w:rPr>
          <w:rFonts w:cs="Times New Roman"/>
          <w:sz w:val="24"/>
          <w:szCs w:val="24"/>
        </w:rPr>
      </w:pPr>
      <w:r w:rsidRPr="00096223">
        <w:rPr>
          <w:rFonts w:cs="Times New Roman"/>
          <w:sz w:val="24"/>
          <w:szCs w:val="24"/>
        </w:rPr>
        <w:t xml:space="preserve">É através deste ato que as partes dispõem sobre o regime de bens que </w:t>
      </w:r>
      <w:r w:rsidR="009B67A3" w:rsidRPr="00096223">
        <w:rPr>
          <w:rFonts w:cs="Times New Roman"/>
          <w:sz w:val="24"/>
          <w:szCs w:val="24"/>
        </w:rPr>
        <w:t xml:space="preserve">será </w:t>
      </w:r>
      <w:r w:rsidR="003D480B" w:rsidRPr="00096223">
        <w:rPr>
          <w:rFonts w:cs="Times New Roman"/>
          <w:sz w:val="24"/>
          <w:szCs w:val="24"/>
        </w:rPr>
        <w:t xml:space="preserve">adotado pelo casal, sendo que, dos quatro tipos apresentado pelo código civil, que são eles: o regime de comunhão parcial, o regime de comunhão universal, o regime de participação final nos aquestos e o regime da separação de bens, apenas não </w:t>
      </w:r>
      <w:proofErr w:type="gramStart"/>
      <w:r w:rsidR="003D480B" w:rsidRPr="00096223">
        <w:rPr>
          <w:rFonts w:cs="Times New Roman"/>
          <w:sz w:val="24"/>
          <w:szCs w:val="24"/>
        </w:rPr>
        <w:t>será necessário</w:t>
      </w:r>
      <w:proofErr w:type="gramEnd"/>
      <w:r w:rsidR="003D480B" w:rsidRPr="00096223">
        <w:rPr>
          <w:rFonts w:cs="Times New Roman"/>
          <w:sz w:val="24"/>
          <w:szCs w:val="24"/>
        </w:rPr>
        <w:t xml:space="preserve"> </w:t>
      </w:r>
      <w:r w:rsidR="00096223">
        <w:rPr>
          <w:rFonts w:cs="Times New Roman"/>
          <w:sz w:val="24"/>
          <w:szCs w:val="24"/>
        </w:rPr>
        <w:t>que se firme o pacto ante</w:t>
      </w:r>
      <w:r w:rsidR="003D480B" w:rsidRPr="00096223">
        <w:rPr>
          <w:rFonts w:cs="Times New Roman"/>
          <w:sz w:val="24"/>
          <w:szCs w:val="24"/>
        </w:rPr>
        <w:t xml:space="preserve">nupcial caso os noivos optem pelo regime legal, ou seja, o de comunhão </w:t>
      </w:r>
      <w:r w:rsidR="009A373F" w:rsidRPr="00096223">
        <w:rPr>
          <w:rFonts w:cs="Times New Roman"/>
          <w:sz w:val="24"/>
          <w:szCs w:val="24"/>
        </w:rPr>
        <w:t>parcial</w:t>
      </w:r>
      <w:r w:rsidR="003D480B" w:rsidRPr="00096223">
        <w:rPr>
          <w:rFonts w:cs="Times New Roman"/>
          <w:sz w:val="24"/>
          <w:szCs w:val="24"/>
        </w:rPr>
        <w:t xml:space="preserve"> de bens. Firmando eles entendimento pelos outros regimes, obrigatoriamen</w:t>
      </w:r>
      <w:r w:rsidR="00096223">
        <w:rPr>
          <w:rFonts w:cs="Times New Roman"/>
          <w:sz w:val="24"/>
          <w:szCs w:val="24"/>
        </w:rPr>
        <w:t>te deverá haver um contrato ante</w:t>
      </w:r>
      <w:r w:rsidR="003D480B" w:rsidRPr="00096223">
        <w:rPr>
          <w:rFonts w:cs="Times New Roman"/>
          <w:sz w:val="24"/>
          <w:szCs w:val="24"/>
        </w:rPr>
        <w:t>nupcial.</w:t>
      </w:r>
    </w:p>
    <w:p w:rsidR="00AF21E0" w:rsidRPr="00096223" w:rsidRDefault="00AF21E0" w:rsidP="00AF21E0">
      <w:pPr>
        <w:jc w:val="both"/>
        <w:rPr>
          <w:rFonts w:cs="Times New Roman"/>
          <w:sz w:val="24"/>
          <w:szCs w:val="24"/>
        </w:rPr>
      </w:pPr>
      <w:r w:rsidRPr="00096223">
        <w:rPr>
          <w:rFonts w:cs="Times New Roman"/>
          <w:sz w:val="24"/>
          <w:szCs w:val="24"/>
        </w:rPr>
        <w:t xml:space="preserve">Os nubentes podem </w:t>
      </w:r>
      <w:r w:rsidR="00AD0736" w:rsidRPr="00096223">
        <w:rPr>
          <w:rFonts w:cs="Times New Roman"/>
          <w:sz w:val="24"/>
          <w:szCs w:val="24"/>
        </w:rPr>
        <w:t xml:space="preserve">optar </w:t>
      </w:r>
      <w:r w:rsidRPr="00096223">
        <w:rPr>
          <w:rFonts w:cs="Times New Roman"/>
          <w:sz w:val="24"/>
          <w:szCs w:val="24"/>
        </w:rPr>
        <w:t>pelos regimes de bens regulados pelo Código Civil, como podem estabel</w:t>
      </w:r>
      <w:r w:rsidR="007A774B" w:rsidRPr="00096223">
        <w:rPr>
          <w:rFonts w:cs="Times New Roman"/>
          <w:sz w:val="24"/>
          <w:szCs w:val="24"/>
        </w:rPr>
        <w:t>ecer</w:t>
      </w:r>
      <w:r w:rsidRPr="00096223">
        <w:rPr>
          <w:rFonts w:cs="Times New Roman"/>
          <w:sz w:val="24"/>
          <w:szCs w:val="24"/>
        </w:rPr>
        <w:t xml:space="preserve"> um regime próprio, desde que não violem disposição absoluta de lei. </w:t>
      </w:r>
      <w:r w:rsidR="007A774B" w:rsidRPr="00096223">
        <w:rPr>
          <w:rFonts w:cs="Times New Roman"/>
          <w:sz w:val="24"/>
          <w:szCs w:val="24"/>
        </w:rPr>
        <w:t xml:space="preserve">Sobre esse regime particular, assim </w:t>
      </w:r>
      <w:r w:rsidR="007D61F1" w:rsidRPr="00096223">
        <w:rPr>
          <w:rFonts w:cs="Times New Roman"/>
          <w:sz w:val="24"/>
          <w:szCs w:val="24"/>
        </w:rPr>
        <w:t>expressa</w:t>
      </w:r>
      <w:r w:rsidRPr="00096223">
        <w:rPr>
          <w:rFonts w:cs="Times New Roman"/>
          <w:sz w:val="24"/>
          <w:szCs w:val="24"/>
        </w:rPr>
        <w:t xml:space="preserve"> Maria Berenice Dias: </w:t>
      </w:r>
    </w:p>
    <w:p w:rsidR="003D480B" w:rsidRPr="00096223" w:rsidRDefault="00AF21E0" w:rsidP="00096223">
      <w:pPr>
        <w:ind w:left="993"/>
        <w:jc w:val="both"/>
        <w:rPr>
          <w:rFonts w:cs="Times New Roman"/>
          <w:sz w:val="24"/>
          <w:szCs w:val="24"/>
        </w:rPr>
      </w:pPr>
      <w:r w:rsidRPr="00096223">
        <w:rPr>
          <w:rFonts w:cs="Times New Roman"/>
          <w:sz w:val="24"/>
          <w:szCs w:val="24"/>
        </w:rPr>
        <w:t xml:space="preserve">“Livres são os nubentes, podendo estabelecer um regime peculiar. Livremente, por pacto antenupcial, promovem a </w:t>
      </w:r>
      <w:proofErr w:type="gramStart"/>
      <w:r w:rsidRPr="00096223">
        <w:rPr>
          <w:rFonts w:cs="Times New Roman"/>
          <w:sz w:val="24"/>
          <w:szCs w:val="24"/>
        </w:rPr>
        <w:t>auto</w:t>
      </w:r>
      <w:r w:rsidR="00096223">
        <w:rPr>
          <w:rFonts w:cs="Times New Roman"/>
          <w:sz w:val="24"/>
          <w:szCs w:val="24"/>
        </w:rPr>
        <w:t>-</w:t>
      </w:r>
      <w:r w:rsidRPr="00096223">
        <w:rPr>
          <w:rFonts w:cs="Times New Roman"/>
          <w:sz w:val="24"/>
          <w:szCs w:val="24"/>
        </w:rPr>
        <w:t>regulamentação</w:t>
      </w:r>
      <w:proofErr w:type="gramEnd"/>
      <w:r w:rsidRPr="00096223">
        <w:rPr>
          <w:rFonts w:cs="Times New Roman"/>
          <w:sz w:val="24"/>
          <w:szCs w:val="24"/>
        </w:rPr>
        <w:t xml:space="preserve"> com relação aos bens particulares e ao que for adquirido durante o casamento. Pode ser adotado um regime e, com referência a determinados bens, ser eleito outro. Assim, é possível ser escolhido o regime da separação total, estipulando-se, somente com relação a um bem presente ou futuro, o regime da comunhão. Do mesmo modo, nada impede que seja escolhido um regime para vigorar durante algum tempo, alterando-se para outro a partir de data certa ou evento incerto, como, por exemplo, o nascimento de filhos” (DIAS, 2007, p. 203)</w:t>
      </w:r>
    </w:p>
    <w:p w:rsidR="00AD0736" w:rsidRPr="00096223" w:rsidRDefault="00AD0736" w:rsidP="00AD0736">
      <w:pPr>
        <w:jc w:val="both"/>
        <w:rPr>
          <w:rFonts w:cs="Times New Roman"/>
          <w:sz w:val="24"/>
          <w:szCs w:val="24"/>
        </w:rPr>
      </w:pPr>
      <w:r w:rsidRPr="00096223">
        <w:rPr>
          <w:rFonts w:cs="Times New Roman"/>
          <w:sz w:val="24"/>
          <w:szCs w:val="24"/>
        </w:rPr>
        <w:t xml:space="preserve">Dessa forma, o pacto antenupcial compactuado entre os nubentes </w:t>
      </w:r>
      <w:r w:rsidR="00A6649C" w:rsidRPr="00096223">
        <w:rPr>
          <w:rFonts w:cs="Times New Roman"/>
          <w:sz w:val="24"/>
          <w:szCs w:val="24"/>
        </w:rPr>
        <w:t>é um</w:t>
      </w:r>
      <w:r w:rsidRPr="00096223">
        <w:rPr>
          <w:rFonts w:cs="Times New Roman"/>
          <w:sz w:val="24"/>
          <w:szCs w:val="24"/>
        </w:rPr>
        <w:t xml:space="preserve"> documento de total importância</w:t>
      </w:r>
      <w:r w:rsidR="00A6649C" w:rsidRPr="00096223">
        <w:rPr>
          <w:rFonts w:cs="Times New Roman"/>
          <w:sz w:val="24"/>
          <w:szCs w:val="24"/>
        </w:rPr>
        <w:t>,</w:t>
      </w:r>
      <w:r w:rsidRPr="00096223">
        <w:rPr>
          <w:rFonts w:cs="Times New Roman"/>
          <w:sz w:val="24"/>
          <w:szCs w:val="24"/>
        </w:rPr>
        <w:t xml:space="preserve"> visto ser o instrumento hábil para con</w:t>
      </w:r>
      <w:r w:rsidR="00A6649C" w:rsidRPr="00096223">
        <w:rPr>
          <w:rFonts w:cs="Times New Roman"/>
          <w:sz w:val="24"/>
          <w:szCs w:val="24"/>
        </w:rPr>
        <w:t>solida</w:t>
      </w:r>
      <w:r w:rsidRPr="00096223">
        <w:rPr>
          <w:rFonts w:cs="Times New Roman"/>
          <w:sz w:val="24"/>
          <w:szCs w:val="24"/>
        </w:rPr>
        <w:t>r o regime de bens adotado pelos cônjuges quando diverso do legal.</w:t>
      </w:r>
    </w:p>
    <w:p w:rsidR="00AD0736" w:rsidRPr="00096223" w:rsidRDefault="00907B3F" w:rsidP="00AF21E0">
      <w:pPr>
        <w:jc w:val="both"/>
        <w:rPr>
          <w:rFonts w:cs="Times New Roman"/>
          <w:sz w:val="24"/>
          <w:szCs w:val="24"/>
        </w:rPr>
      </w:pPr>
      <w:r w:rsidRPr="00096223">
        <w:rPr>
          <w:rFonts w:cs="Times New Roman"/>
          <w:sz w:val="24"/>
          <w:szCs w:val="24"/>
        </w:rPr>
        <w:t>Bibliografia</w:t>
      </w:r>
    </w:p>
    <w:p w:rsidR="0098198C" w:rsidRDefault="00907B3F" w:rsidP="00907B3F">
      <w:pPr>
        <w:jc w:val="both"/>
        <w:rPr>
          <w:rFonts w:cs="Times New Roman"/>
          <w:sz w:val="24"/>
          <w:szCs w:val="24"/>
        </w:rPr>
      </w:pPr>
      <w:r w:rsidRPr="00096223">
        <w:rPr>
          <w:rFonts w:cs="Times New Roman"/>
          <w:sz w:val="24"/>
          <w:szCs w:val="24"/>
        </w:rPr>
        <w:t xml:space="preserve">LOUREIRO, Luiz Guilherme. Curso Completa de Direito Civil. 2ª Edição São Paulo: </w:t>
      </w:r>
      <w:proofErr w:type="gramStart"/>
      <w:r w:rsidRPr="00096223">
        <w:rPr>
          <w:rFonts w:cs="Times New Roman"/>
          <w:sz w:val="24"/>
          <w:szCs w:val="24"/>
        </w:rPr>
        <w:t>Editora Método</w:t>
      </w:r>
      <w:proofErr w:type="gramEnd"/>
      <w:r w:rsidRPr="00096223">
        <w:rPr>
          <w:rFonts w:cs="Times New Roman"/>
          <w:sz w:val="24"/>
          <w:szCs w:val="24"/>
        </w:rPr>
        <w:t>, 2009.</w:t>
      </w:r>
    </w:p>
    <w:p w:rsidR="008D3255" w:rsidRPr="008D3255" w:rsidRDefault="008D3255" w:rsidP="008D3255">
      <w:pPr>
        <w:jc w:val="both"/>
        <w:rPr>
          <w:rFonts w:cs="Times New Roman"/>
          <w:sz w:val="24"/>
          <w:szCs w:val="24"/>
        </w:rPr>
      </w:pPr>
      <w:r w:rsidRPr="008D3255">
        <w:rPr>
          <w:rFonts w:cs="Times New Roman"/>
          <w:sz w:val="24"/>
          <w:szCs w:val="24"/>
        </w:rPr>
        <w:lastRenderedPageBreak/>
        <w:t xml:space="preserve">Escrito </w:t>
      </w:r>
      <w:proofErr w:type="gramStart"/>
      <w:r w:rsidRPr="008D3255">
        <w:rPr>
          <w:rFonts w:cs="Times New Roman"/>
          <w:sz w:val="24"/>
          <w:szCs w:val="24"/>
        </w:rPr>
        <w:t>pelo aluna</w:t>
      </w:r>
      <w:proofErr w:type="gramEnd"/>
      <w:r w:rsidRPr="008D3255">
        <w:rPr>
          <w:rFonts w:cs="Times New Roman"/>
          <w:sz w:val="24"/>
          <w:szCs w:val="24"/>
        </w:rPr>
        <w:t xml:space="preserve"> Mara </w:t>
      </w:r>
      <w:proofErr w:type="spellStart"/>
      <w:r w:rsidRPr="008D3255">
        <w:rPr>
          <w:rFonts w:cs="Times New Roman"/>
          <w:sz w:val="24"/>
          <w:szCs w:val="24"/>
        </w:rPr>
        <w:t>Pardini</w:t>
      </w:r>
      <w:proofErr w:type="spellEnd"/>
    </w:p>
    <w:p w:rsidR="008D3255" w:rsidRPr="00096223" w:rsidRDefault="008D3255" w:rsidP="008D3255">
      <w:pPr>
        <w:jc w:val="both"/>
        <w:rPr>
          <w:rFonts w:cs="Times New Roman"/>
          <w:sz w:val="24"/>
          <w:szCs w:val="24"/>
        </w:rPr>
      </w:pPr>
      <w:r w:rsidRPr="008D3255">
        <w:rPr>
          <w:rFonts w:cs="Times New Roman"/>
          <w:sz w:val="24"/>
          <w:szCs w:val="24"/>
        </w:rPr>
        <w:t>Revisado pelo professor Marcos Roberto Costa.</w:t>
      </w:r>
      <w:bookmarkStart w:id="0" w:name="_GoBack"/>
      <w:bookmarkEnd w:id="0"/>
    </w:p>
    <w:sectPr w:rsidR="008D3255" w:rsidRPr="000962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4C4" w:rsidRDefault="008304C4" w:rsidP="0098198C">
      <w:pPr>
        <w:spacing w:after="0" w:line="240" w:lineRule="auto"/>
      </w:pPr>
      <w:r>
        <w:separator/>
      </w:r>
    </w:p>
  </w:endnote>
  <w:endnote w:type="continuationSeparator" w:id="0">
    <w:p w:rsidR="008304C4" w:rsidRDefault="008304C4" w:rsidP="0098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4C4" w:rsidRDefault="008304C4" w:rsidP="0098198C">
      <w:pPr>
        <w:spacing w:after="0" w:line="240" w:lineRule="auto"/>
      </w:pPr>
      <w:r>
        <w:separator/>
      </w:r>
    </w:p>
  </w:footnote>
  <w:footnote w:type="continuationSeparator" w:id="0">
    <w:p w:rsidR="008304C4" w:rsidRDefault="008304C4" w:rsidP="009819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5B"/>
    <w:rsid w:val="00096223"/>
    <w:rsid w:val="00121BFB"/>
    <w:rsid w:val="001D3567"/>
    <w:rsid w:val="002522F4"/>
    <w:rsid w:val="002969BC"/>
    <w:rsid w:val="003B15EB"/>
    <w:rsid w:val="003D480B"/>
    <w:rsid w:val="003F3CF0"/>
    <w:rsid w:val="004039F4"/>
    <w:rsid w:val="004E1F27"/>
    <w:rsid w:val="0051029C"/>
    <w:rsid w:val="00673C87"/>
    <w:rsid w:val="00781459"/>
    <w:rsid w:val="00792115"/>
    <w:rsid w:val="007A774B"/>
    <w:rsid w:val="007D61F1"/>
    <w:rsid w:val="008304C4"/>
    <w:rsid w:val="008D3255"/>
    <w:rsid w:val="00907B3F"/>
    <w:rsid w:val="00975876"/>
    <w:rsid w:val="0098198C"/>
    <w:rsid w:val="009A373F"/>
    <w:rsid w:val="009B67A3"/>
    <w:rsid w:val="00A6649C"/>
    <w:rsid w:val="00AB376E"/>
    <w:rsid w:val="00AD0736"/>
    <w:rsid w:val="00AF21E0"/>
    <w:rsid w:val="00BD0BA2"/>
    <w:rsid w:val="00C4526B"/>
    <w:rsid w:val="00CD69D5"/>
    <w:rsid w:val="00E142A4"/>
    <w:rsid w:val="00E20B5B"/>
    <w:rsid w:val="00E4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1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98C"/>
  </w:style>
  <w:style w:type="paragraph" w:styleId="Rodap">
    <w:name w:val="footer"/>
    <w:basedOn w:val="Normal"/>
    <w:link w:val="RodapChar"/>
    <w:uiPriority w:val="99"/>
    <w:unhideWhenUsed/>
    <w:rsid w:val="00981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1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198C"/>
  </w:style>
  <w:style w:type="paragraph" w:styleId="Rodap">
    <w:name w:val="footer"/>
    <w:basedOn w:val="Normal"/>
    <w:link w:val="RodapChar"/>
    <w:uiPriority w:val="99"/>
    <w:unhideWhenUsed/>
    <w:rsid w:val="009819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1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390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</dc:creator>
  <cp:keywords/>
  <dc:description/>
  <cp:lastModifiedBy>Mara</cp:lastModifiedBy>
  <cp:revision>11</cp:revision>
  <dcterms:created xsi:type="dcterms:W3CDTF">2013-05-16T04:51:00Z</dcterms:created>
  <dcterms:modified xsi:type="dcterms:W3CDTF">2013-05-21T03:28:00Z</dcterms:modified>
</cp:coreProperties>
</file>