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CE" w:rsidRDefault="00863318" w:rsidP="004E3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nova orientação adotada pelo STJ na imissão provisória na posse</w:t>
      </w:r>
    </w:p>
    <w:p w:rsidR="004E3BE0" w:rsidRPr="004E3BE0" w:rsidRDefault="004E3BE0" w:rsidP="004E3BE0">
      <w:pPr>
        <w:spacing w:after="0" w:line="240" w:lineRule="auto"/>
        <w:ind w:left="2126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Guilherme Meireles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Patuzzi</w:t>
      </w:r>
      <w:proofErr w:type="spellEnd"/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:rsidR="004E3BE0" w:rsidRDefault="004E3BE0" w:rsidP="004E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E0" w:rsidRDefault="004E3BE0" w:rsidP="004E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E0" w:rsidRDefault="004E3BE0" w:rsidP="004E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E0" w:rsidRDefault="004E3BE0" w:rsidP="004E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E0" w:rsidRPr="00F23996" w:rsidRDefault="004E3BE0" w:rsidP="004E3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99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E3BE0" w:rsidRDefault="004E3BE0" w:rsidP="004E3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B2F" w:rsidRDefault="004E3BE0" w:rsidP="0035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</w:t>
      </w:r>
      <w:r w:rsidR="00863318">
        <w:rPr>
          <w:rFonts w:ascii="Times New Roman" w:hAnsi="Times New Roman" w:cs="Times New Roman"/>
          <w:sz w:val="24"/>
          <w:szCs w:val="24"/>
        </w:rPr>
        <w:t>tivo desse estudo é verificar a nova orientação adotada pelo Superior Tribunal de Justiç</w:t>
      </w:r>
      <w:r w:rsidR="003550CF">
        <w:rPr>
          <w:rFonts w:ascii="Times New Roman" w:hAnsi="Times New Roman" w:cs="Times New Roman"/>
          <w:sz w:val="24"/>
          <w:szCs w:val="24"/>
        </w:rPr>
        <w:t>a, que autoriza</w:t>
      </w:r>
      <w:r w:rsidR="00863318">
        <w:rPr>
          <w:rFonts w:ascii="Times New Roman" w:hAnsi="Times New Roman" w:cs="Times New Roman"/>
          <w:sz w:val="24"/>
          <w:szCs w:val="24"/>
        </w:rPr>
        <w:t xml:space="preserve"> a imissão provisória na posse, sem avaliação prévia ou pagamento integral, bem como a dispensa a citação do réu.</w:t>
      </w:r>
      <w:r w:rsidR="00934B2F">
        <w:rPr>
          <w:rFonts w:ascii="Times New Roman" w:hAnsi="Times New Roman" w:cs="Times New Roman"/>
          <w:sz w:val="24"/>
          <w:szCs w:val="24"/>
        </w:rPr>
        <w:t xml:space="preserve"> Com</w:t>
      </w:r>
      <w:r w:rsidR="00863318">
        <w:rPr>
          <w:rFonts w:ascii="Times New Roman" w:hAnsi="Times New Roman" w:cs="Times New Roman"/>
          <w:sz w:val="24"/>
          <w:szCs w:val="24"/>
        </w:rPr>
        <w:t xml:space="preserve"> </w:t>
      </w:r>
      <w:r w:rsidR="00934B2F">
        <w:rPr>
          <w:rFonts w:ascii="Times New Roman" w:hAnsi="Times New Roman" w:cs="Times New Roman"/>
          <w:sz w:val="24"/>
          <w:szCs w:val="24"/>
        </w:rPr>
        <w:t>esta pesquisa exploratória e bibliográfica, cujos dados foram coletados de jurisprudências, legislação e obras, é possível concluir que é pacífica a jurisprudência em afirmar que a imissão provisória na posse não ofende a legislação, bem como não viola o princípio da prévia e justa indenização.</w:t>
      </w:r>
    </w:p>
    <w:p w:rsidR="00934B2F" w:rsidRDefault="00934B2F" w:rsidP="0035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CAE" w:rsidRDefault="00032CAE" w:rsidP="0035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 Chave: Desapropriação. </w:t>
      </w:r>
      <w:r w:rsidR="00ED4262">
        <w:rPr>
          <w:rFonts w:ascii="Times New Roman" w:hAnsi="Times New Roman" w:cs="Times New Roman"/>
          <w:sz w:val="24"/>
          <w:szCs w:val="24"/>
        </w:rPr>
        <w:t xml:space="preserve">Fundamentos. </w:t>
      </w:r>
      <w:r w:rsidR="00F23996">
        <w:rPr>
          <w:rFonts w:ascii="Times New Roman" w:hAnsi="Times New Roman" w:cs="Times New Roman"/>
          <w:sz w:val="24"/>
          <w:szCs w:val="24"/>
        </w:rPr>
        <w:t>Posse</w:t>
      </w:r>
    </w:p>
    <w:p w:rsidR="00ED4262" w:rsidRDefault="00ED4262" w:rsidP="0035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262" w:rsidRDefault="00ED4262" w:rsidP="0035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43" w:rsidRDefault="00965E43" w:rsidP="0035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43" w:rsidRDefault="00965E43" w:rsidP="00A84CB8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Conceito de desapropriação</w:t>
      </w:r>
    </w:p>
    <w:p w:rsidR="00965E43" w:rsidRDefault="00965E43" w:rsidP="0096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E43" w:rsidRPr="00965E43" w:rsidRDefault="00965E43" w:rsidP="0096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E43" w:rsidRDefault="00965E43" w:rsidP="005C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mais drástica das formas de poder de </w:t>
      </w:r>
      <w:r w:rsidR="007409BE">
        <w:rPr>
          <w:rFonts w:ascii="Times New Roman" w:hAnsi="Times New Roman" w:cs="Times New Roman"/>
          <w:sz w:val="24"/>
          <w:szCs w:val="24"/>
        </w:rPr>
        <w:t>império, isto</w:t>
      </w:r>
      <w:bookmarkStart w:id="0" w:name="_GoBack"/>
      <w:bookmarkEnd w:id="0"/>
      <w:r w:rsidR="007409BE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>, da soberania popular do Estado no exercício de seu domínio eminente sobre todos os bens existentes no território nacional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a desapropriação, conforme salienta </w:t>
      </w:r>
      <w:r w:rsidR="00433F1C">
        <w:rPr>
          <w:rFonts w:ascii="Times New Roman" w:hAnsi="Times New Roman" w:cs="Times New Roman"/>
          <w:sz w:val="24"/>
          <w:szCs w:val="24"/>
        </w:rPr>
        <w:t xml:space="preserve">o ilustre professor Marçal </w:t>
      </w:r>
      <w:proofErr w:type="spellStart"/>
      <w:r w:rsidR="00433F1C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="00433F1C">
        <w:rPr>
          <w:rFonts w:ascii="Times New Roman" w:hAnsi="Times New Roman" w:cs="Times New Roman"/>
          <w:sz w:val="24"/>
          <w:szCs w:val="24"/>
        </w:rPr>
        <w:t xml:space="preserve"> Filho</w:t>
      </w:r>
      <w:r w:rsidR="002B25DA">
        <w:rPr>
          <w:rFonts w:ascii="Times New Roman" w:hAnsi="Times New Roman" w:cs="Times New Roman"/>
          <w:sz w:val="24"/>
          <w:szCs w:val="24"/>
        </w:rPr>
        <w:t>, é a deliberação do Estado à supressão da propriedade privada, sem que a tanto se possa opor o titular do domínio</w:t>
      </w:r>
      <w:r w:rsidR="002B25D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2B25DA">
        <w:rPr>
          <w:rFonts w:ascii="Times New Roman" w:hAnsi="Times New Roman" w:cs="Times New Roman"/>
          <w:sz w:val="24"/>
          <w:szCs w:val="24"/>
        </w:rPr>
        <w:t>, ou seja, é o domínio de que dispõe o Estado sobre todos os bens existentes em seu território.</w:t>
      </w:r>
    </w:p>
    <w:p w:rsidR="002B25DA" w:rsidRDefault="00B90039" w:rsidP="005C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Hely Lopes Meirelles afirma que a desapropriação é a transferência compulsória da propriedade particular para o Poder Público ou seus delegados, por utilidade e necessidade pública ou, ainda, por interesse social, mediante prévia e justa indenização em dinheiro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(CF, art. 5º, XXIV). Nesse contexto, poderá haver discordância no tocante ao valor da indenização, o particular pode discordar com essa determinação unilateral e poderá recorrer ao Poder Judiciário, o qual determinará o valor justo.</w:t>
      </w:r>
      <w:r w:rsidR="007F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56" w:rsidRDefault="007F5756" w:rsidP="005C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Nessa contextura, o Estado poderá requerer a transferência da posse do bem objeto da expropriação, já no início da lide, </w:t>
      </w:r>
      <w:r w:rsidR="00E336CC">
        <w:rPr>
          <w:rFonts w:ascii="Times New Roman" w:hAnsi="Times New Roman" w:cs="Times New Roman"/>
          <w:sz w:val="24"/>
          <w:szCs w:val="24"/>
        </w:rPr>
        <w:t>concedida pelo juiz, se o Poder Público declarar urgência e depositar em juízo, em favor do proprietário, importância fixada segundo critério previsto em lei</w:t>
      </w:r>
      <w:r w:rsidR="00E336C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E336CC">
        <w:rPr>
          <w:rFonts w:ascii="Times New Roman" w:hAnsi="Times New Roman" w:cs="Times New Roman"/>
          <w:sz w:val="24"/>
          <w:szCs w:val="24"/>
        </w:rPr>
        <w:t>.</w:t>
      </w:r>
    </w:p>
    <w:p w:rsidR="00B90039" w:rsidRDefault="007F5756" w:rsidP="005C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25DA" w:rsidRPr="00965E43" w:rsidRDefault="002B25DA" w:rsidP="00965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E43" w:rsidRDefault="00E336CC" w:rsidP="00A84CB8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Imissão provisória na posse</w:t>
      </w:r>
    </w:p>
    <w:p w:rsidR="00E336CC" w:rsidRDefault="00E336CC" w:rsidP="00E336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CC" w:rsidRDefault="00E336CC" w:rsidP="005C669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CC" w:rsidRDefault="00C74AB3" w:rsidP="005C6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essa transferência da posse do imóvel, é a chamada imissão provisória na posse, que limita o expropriado do uso e gozo do bem, não havendo que se falar em violação ao princípio da prévia e justa indenização, já que o expropriante só obterá a propriedade do bem após o pagamento da justa indenização fixada pelo juízo, quando apurado o real valor do bem desapropriado. </w:t>
      </w:r>
    </w:p>
    <w:p w:rsidR="00C74AB3" w:rsidRDefault="005C669A" w:rsidP="005C6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Rigorosamente, até se poderia cogitar da inconstitucionalidade da figura da imissão provisória na posse, afinal, a Constituição estabelece que a transferência do domínio depende de pagamento de indenização prévia e justa, em dinheiro. No entanto, conforme supracitado, já que o expropriado estará limitado ao uso e gozo do bem, que será compensável pelo levantamento equivalente a 80% </w:t>
      </w:r>
      <w:r w:rsidR="00DE56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oitenta por cento) do valor depositado e pela incidência dos juros compensatórios sobre eventual saldo remanescente, não há que se falar na violação ao princípio da prévia e justa indenização, tendo em vista que o expropriante apresentará estudos e pareceres, fundados em trabalhos periciais confiáveis, indicando que o valor ofertado se aproxima da indenização devida.</w:t>
      </w:r>
    </w:p>
    <w:p w:rsidR="003A675D" w:rsidRDefault="003A675D" w:rsidP="005C6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devido à urgência e o interesse social, a nova orientação adotada pelo Superior Tribunal de Justiça, autoriza a imissão provisória na posse sem avaliação prévia ou pagamento integral, bem como dispensa a citação do réu, conforme os precedentes abaixo:</w:t>
      </w:r>
    </w:p>
    <w:p w:rsidR="003A675D" w:rsidRDefault="003A675D" w:rsidP="005C66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75D" w:rsidRDefault="003A675D" w:rsidP="003A675D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3A675D">
        <w:rPr>
          <w:rFonts w:ascii="Times New Roman" w:hAnsi="Times New Roman" w:cs="Times New Roman"/>
          <w:sz w:val="20"/>
          <w:szCs w:val="20"/>
        </w:rPr>
        <w:t xml:space="preserve">ADMINISTRATIVO. DESAPROPRIAÇÃO. IMISSÃO PROVISÓRIA NA POSSE. AVALIAÇÃO PROVISÓRIA. DESNECESSIDADE. DECRETO-LEI N. 3.365/41, ART. 15, § 1º. PRECEDENTES. A jurisprudência mais recente desta Corte aponta no sentido de que a interpretação do § 1º do art. 15 do Decreto-Lei n. 3.365/41 é a de que, dada a urgência da desapropriação, a imissão provisória na posse do imóvel dispensa a citação do réu, bem como a </w:t>
      </w:r>
      <w:r w:rsidRPr="003A675D">
        <w:rPr>
          <w:rFonts w:ascii="Times New Roman" w:hAnsi="Times New Roman" w:cs="Times New Roman"/>
          <w:sz w:val="20"/>
          <w:szCs w:val="20"/>
        </w:rPr>
        <w:lastRenderedPageBreak/>
        <w:t xml:space="preserve">avaliação judicial prévia e o pagamento integral. Agravo regimental </w:t>
      </w:r>
      <w:proofErr w:type="gramStart"/>
      <w:r w:rsidRPr="003A675D">
        <w:rPr>
          <w:rFonts w:ascii="Times New Roman" w:hAnsi="Times New Roman" w:cs="Times New Roman"/>
          <w:sz w:val="20"/>
          <w:szCs w:val="20"/>
        </w:rPr>
        <w:t>improvido.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 Ag 1371208/MG, Rel. Ministro HUMBERTO MARTINS, SEGUNDA TURMA, julgado em 22/03/2011, </w:t>
      </w:r>
      <w:proofErr w:type="spellStart"/>
      <w:r>
        <w:rPr>
          <w:rFonts w:ascii="Times New Roman" w:hAnsi="Times New Roman" w:cs="Times New Roman"/>
          <w:sz w:val="20"/>
          <w:szCs w:val="20"/>
        </w:rPr>
        <w:t>DJe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04/04/2011)</w:t>
      </w:r>
    </w:p>
    <w:p w:rsidR="003A675D" w:rsidRDefault="003A675D" w:rsidP="003A675D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3A675D" w:rsidRDefault="003A675D" w:rsidP="003A675D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3A675D" w:rsidRDefault="003A675D" w:rsidP="003A675D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3A675D" w:rsidRPr="003A675D" w:rsidRDefault="003A675D" w:rsidP="003A675D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  <w:r w:rsidRPr="003A675D">
        <w:rPr>
          <w:rFonts w:ascii="Times New Roman" w:hAnsi="Times New Roman" w:cs="Times New Roman"/>
          <w:sz w:val="20"/>
          <w:szCs w:val="20"/>
        </w:rPr>
        <w:t xml:space="preserve">ADMINISTRATIVO E PROCESSUAL. DESAPROPRIAÇÃO. IMISSÃO PROVISÓRIA NA POSSE. URGÊNCIA. AVALIAÇÃO PROVISÓRIA. DESNECESSIDADE. DECRETO-LEI Nº 3.365/41, ART. 15, § 1º. 1. As razões do recurso especial, no que tange à violação ao art. 15, § 1º, "c", do DL 3.365/41, revelam-se procedentes, porquanto é assente no âmbito desta Egrégia Corte que a imissão provisória na posse do imóvel objeto de desapropriação, caracterizada pela urgência, prescinde de citação do réu, tampouco de avaliação prévia ou de pagamento integral. 2. Recurso especial </w:t>
      </w:r>
      <w:proofErr w:type="gramStart"/>
      <w:r w:rsidRPr="003A675D">
        <w:rPr>
          <w:rFonts w:ascii="Times New Roman" w:hAnsi="Times New Roman" w:cs="Times New Roman"/>
          <w:sz w:val="20"/>
          <w:szCs w:val="20"/>
        </w:rPr>
        <w:t>provido.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1185073/SP, Rel. Ministro MAURO CAMPBELL MARQUES, SEGUNDA TURMA, julgado em 21/10/2010, </w:t>
      </w:r>
      <w:proofErr w:type="spellStart"/>
      <w:r>
        <w:rPr>
          <w:rFonts w:ascii="Times New Roman" w:hAnsi="Times New Roman" w:cs="Times New Roman"/>
          <w:sz w:val="20"/>
          <w:szCs w:val="20"/>
        </w:rPr>
        <w:t>DJe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05/11/2010)</w:t>
      </w:r>
    </w:p>
    <w:p w:rsidR="00E336CC" w:rsidRDefault="00E336CC" w:rsidP="00E336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CC" w:rsidRDefault="00E336CC" w:rsidP="00E336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CC" w:rsidRDefault="003A675D" w:rsidP="00E336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36CC" w:rsidRDefault="00E336CC" w:rsidP="00E336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CC" w:rsidRPr="00E336CC" w:rsidRDefault="00E336CC" w:rsidP="00E336C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43" w:rsidRPr="00965E43" w:rsidRDefault="00965E43" w:rsidP="00965E43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0CF" w:rsidRPr="004E3BE0" w:rsidRDefault="003550CF" w:rsidP="0035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BE0" w:rsidRDefault="00F23996" w:rsidP="00A84CB8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F23996" w:rsidRPr="00DE564D" w:rsidRDefault="00F23996" w:rsidP="00DE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996" w:rsidRPr="00DE564D" w:rsidRDefault="00F23996" w:rsidP="00DE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996" w:rsidRDefault="00F23996" w:rsidP="00DE564D">
      <w:pPr>
        <w:pStyle w:val="PargrafodaLista"/>
        <w:spacing w:after="0" w:line="360" w:lineRule="auto"/>
        <w:ind w:firstLine="697"/>
        <w:jc w:val="both"/>
        <w:rPr>
          <w:rStyle w:val="st1"/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à propriedade é assegurado na Declaração Universal dos Direitos Humanos no seu art. 17 </w:t>
      </w:r>
      <w:r>
        <w:rPr>
          <w:rStyle w:val="st1"/>
          <w:rFonts w:ascii="Arial" w:hAnsi="Arial" w:cs="Arial"/>
          <w:color w:val="222222"/>
        </w:rPr>
        <w:t>“</w:t>
      </w:r>
      <w:r w:rsidRPr="00F23996">
        <w:rPr>
          <w:rFonts w:ascii="Times New Roman" w:hAnsi="Times New Roman" w:cs="Times New Roman"/>
          <w:sz w:val="24"/>
          <w:szCs w:val="24"/>
        </w:rPr>
        <w:t>Todo o homem tem direito à propriedade, só ou em sociedade com outros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E564D">
        <w:rPr>
          <w:rStyle w:val="st1"/>
          <w:rFonts w:ascii="Arial" w:hAnsi="Arial" w:cs="Arial"/>
          <w:color w:val="222222"/>
        </w:rPr>
        <w:t xml:space="preserve">“ </w:t>
      </w:r>
      <w:r>
        <w:rPr>
          <w:rStyle w:val="Refdenotaderodap"/>
          <w:rFonts w:ascii="Arial" w:hAnsi="Arial" w:cs="Arial"/>
          <w:color w:val="222222"/>
        </w:rPr>
        <w:footnoteReference w:id="6"/>
      </w:r>
      <w:r>
        <w:rPr>
          <w:rStyle w:val="st1"/>
          <w:rFonts w:ascii="Arial" w:hAnsi="Arial" w:cs="Arial"/>
          <w:color w:val="222222"/>
        </w:rPr>
        <w:t>,</w:t>
      </w:r>
      <w:proofErr w:type="gramEnd"/>
      <w:r>
        <w:rPr>
          <w:rStyle w:val="st1"/>
          <w:rFonts w:ascii="Arial" w:hAnsi="Arial" w:cs="Arial"/>
          <w:color w:val="222222"/>
        </w:rPr>
        <w:t xml:space="preserve"> </w:t>
      </w:r>
      <w:r>
        <w:rPr>
          <w:rStyle w:val="st1"/>
          <w:rFonts w:ascii="Times New Roman" w:hAnsi="Times New Roman" w:cs="Times New Roman"/>
          <w:color w:val="222222"/>
          <w:sz w:val="24"/>
          <w:szCs w:val="24"/>
        </w:rPr>
        <w:t xml:space="preserve">no entanto, </w:t>
      </w:r>
      <w:r w:rsidR="00DE564D">
        <w:rPr>
          <w:rStyle w:val="st1"/>
          <w:rFonts w:ascii="Times New Roman" w:hAnsi="Times New Roman" w:cs="Times New Roman"/>
          <w:color w:val="222222"/>
          <w:sz w:val="24"/>
          <w:szCs w:val="24"/>
        </w:rPr>
        <w:t>é inegável que o Estado poderá desapropriar propriedade particular por interesse social ou por urgência.</w:t>
      </w:r>
    </w:p>
    <w:p w:rsidR="00DE564D" w:rsidRPr="00DE564D" w:rsidRDefault="00DE5AD8" w:rsidP="00DE564D">
      <w:pPr>
        <w:pStyle w:val="PargrafodaLista"/>
        <w:spacing w:line="360" w:lineRule="auto"/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 c</w:t>
      </w:r>
      <w:r w:rsidR="00DE564D">
        <w:rPr>
          <w:rFonts w:ascii="Times New Roman" w:hAnsi="Times New Roman" w:cs="Times New Roman"/>
          <w:sz w:val="24"/>
          <w:szCs w:val="24"/>
        </w:rPr>
        <w:t xml:space="preserve">laro, </w:t>
      </w:r>
      <w:r w:rsidR="00DE564D" w:rsidRPr="00DE564D">
        <w:rPr>
          <w:rFonts w:ascii="Times New Roman" w:hAnsi="Times New Roman" w:cs="Times New Roman"/>
          <w:sz w:val="24"/>
          <w:szCs w:val="24"/>
        </w:rPr>
        <w:t>que é pacífica a jurisprudência em afirmar que a imissão provisória na posse não ofende a legislação, bem como não viola o princípi</w:t>
      </w:r>
      <w:r w:rsidR="00DE564D">
        <w:rPr>
          <w:rFonts w:ascii="Times New Roman" w:hAnsi="Times New Roman" w:cs="Times New Roman"/>
          <w:sz w:val="24"/>
          <w:szCs w:val="24"/>
        </w:rPr>
        <w:t xml:space="preserve">o da prévia e justa indenização, apontando no sentido da interpretação do </w:t>
      </w:r>
      <w:r w:rsidR="00DE564D" w:rsidRPr="00DE564D">
        <w:rPr>
          <w:rFonts w:ascii="Times New Roman" w:hAnsi="Times New Roman" w:cs="Times New Roman"/>
          <w:color w:val="000000"/>
          <w:sz w:val="24"/>
          <w:szCs w:val="24"/>
        </w:rPr>
        <w:t>§ 1º</w:t>
      </w:r>
      <w:r w:rsidR="00DE564D">
        <w:rPr>
          <w:rFonts w:ascii="Times New Roman" w:hAnsi="Times New Roman" w:cs="Times New Roman"/>
          <w:color w:val="000000"/>
          <w:sz w:val="24"/>
          <w:szCs w:val="24"/>
        </w:rPr>
        <w:t xml:space="preserve"> do art. 15 do Decreto-Lei n. 3.365/41, que dada a urgência da desapropriação, a imissão provisória na posso do imóvel dispensa citação do réu, bem coo a avaliação judicial prévia e o pagamento integral.</w:t>
      </w:r>
    </w:p>
    <w:p w:rsidR="00C31956" w:rsidRDefault="00C31956" w:rsidP="004723CE">
      <w:pPr>
        <w:pStyle w:val="PargrafodaLista"/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C31956" w:rsidRDefault="00C31956" w:rsidP="004723CE">
      <w:pPr>
        <w:pStyle w:val="PargrafodaLista"/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4723CE" w:rsidRDefault="004723CE" w:rsidP="004723CE">
      <w:pPr>
        <w:pStyle w:val="PargrafodaLista"/>
        <w:spacing w:after="0" w:line="360" w:lineRule="auto"/>
        <w:ind w:firstLine="6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956" w:rsidRDefault="00C31956" w:rsidP="00C31956">
      <w:pPr>
        <w:pStyle w:val="PargrafodaLista"/>
        <w:spacing w:after="0" w:line="360" w:lineRule="auto"/>
        <w:ind w:left="0" w:firstLine="6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956" w:rsidRDefault="00C31956" w:rsidP="00C31956">
      <w:pPr>
        <w:ind w:firstLine="697"/>
      </w:pPr>
    </w:p>
    <w:p w:rsidR="00C31956" w:rsidRDefault="00C31956" w:rsidP="00C31956">
      <w:pPr>
        <w:pStyle w:val="PargrafodaLista"/>
        <w:spacing w:after="0" w:line="360" w:lineRule="auto"/>
        <w:ind w:left="0" w:firstLine="6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956" w:rsidRDefault="00C31956" w:rsidP="00C31956">
      <w:pPr>
        <w:pStyle w:val="PargrafodaLista"/>
        <w:spacing w:after="0" w:line="360" w:lineRule="auto"/>
        <w:ind w:left="0" w:firstLine="6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:rsidR="00C31956" w:rsidRDefault="00C31956" w:rsidP="00C31956">
      <w:pPr>
        <w:ind w:firstLine="697"/>
      </w:pPr>
    </w:p>
    <w:p w:rsidR="00C31956" w:rsidRDefault="00C31956" w:rsidP="00C31956">
      <w:pPr>
        <w:ind w:firstLine="697"/>
      </w:pPr>
      <w:r>
        <w:t xml:space="preserve">BRASIL. CONSTITUIÇÃO (1988). </w:t>
      </w:r>
      <w:r w:rsidRPr="00E8452F">
        <w:rPr>
          <w:b/>
        </w:rPr>
        <w:t>Constituição da República Federativa do Brasil</w:t>
      </w:r>
      <w:r>
        <w:t>. Brasília, DF: Senado Federal, 1988.</w:t>
      </w:r>
    </w:p>
    <w:p w:rsidR="00C31956" w:rsidRDefault="00C31956" w:rsidP="00C31956">
      <w:pPr>
        <w:pStyle w:val="PargrafodaLista"/>
        <w:spacing w:after="0" w:line="360" w:lineRule="auto"/>
        <w:ind w:left="0" w:firstLine="697"/>
        <w:jc w:val="both"/>
      </w:pPr>
      <w:r>
        <w:t>Filho</w:t>
      </w:r>
      <w:r w:rsidRPr="00965E43">
        <w:t xml:space="preserve">, </w:t>
      </w:r>
      <w:r>
        <w:t xml:space="preserve">Marçal </w:t>
      </w:r>
      <w:proofErr w:type="spellStart"/>
      <w:r>
        <w:t>Justen</w:t>
      </w:r>
      <w:proofErr w:type="spellEnd"/>
      <w:r w:rsidRPr="00965E43">
        <w:t xml:space="preserve">. </w:t>
      </w:r>
      <w:r>
        <w:t>Curso de Direito Administrativo</w:t>
      </w:r>
      <w:r w:rsidRPr="00965E43">
        <w:t>. 3ª ed. São Paulo</w:t>
      </w:r>
      <w:r>
        <w:t>: Saraiva, 2008.</w:t>
      </w:r>
    </w:p>
    <w:p w:rsidR="00C31956" w:rsidRDefault="00C31956" w:rsidP="00C31956">
      <w:pPr>
        <w:pStyle w:val="PargrafodaLista"/>
        <w:spacing w:after="0" w:line="360" w:lineRule="auto"/>
        <w:ind w:left="0" w:firstLine="697"/>
        <w:jc w:val="both"/>
      </w:pPr>
      <w:r w:rsidRPr="00965E43">
        <w:t>Meirelles, Hely Lopes. Direito Administrativo Brasileiro. 3</w:t>
      </w:r>
      <w:r>
        <w:t>0</w:t>
      </w:r>
      <w:r w:rsidRPr="00965E43">
        <w:t xml:space="preserve">ª ed. São Paulo, SP: Malheiros Editores </w:t>
      </w:r>
      <w:proofErr w:type="spellStart"/>
      <w:r w:rsidRPr="00965E43">
        <w:t>Ltda</w:t>
      </w:r>
      <w:proofErr w:type="spellEnd"/>
      <w:r w:rsidRPr="00965E43">
        <w:t>, 200</w:t>
      </w:r>
      <w:r>
        <w:t>5.</w:t>
      </w:r>
    </w:p>
    <w:p w:rsidR="00C31956" w:rsidRDefault="00C31956" w:rsidP="00C31956">
      <w:pPr>
        <w:pStyle w:val="PargrafodaLista"/>
        <w:spacing w:after="0" w:line="360" w:lineRule="auto"/>
        <w:ind w:left="0" w:firstLine="697"/>
        <w:jc w:val="both"/>
      </w:pPr>
      <w:r w:rsidRPr="00E90DD8">
        <w:t xml:space="preserve">MELLO, Celso Antônio Bandeira de. </w:t>
      </w:r>
      <w:r>
        <w:t>Curso de Direito Administrativo</w:t>
      </w:r>
      <w:r w:rsidRPr="00E90DD8">
        <w:t xml:space="preserve">. </w:t>
      </w:r>
      <w:r>
        <w:t xml:space="preserve">14ª ed. São Paulo: Malheiros Editores </w:t>
      </w:r>
      <w:proofErr w:type="spellStart"/>
      <w:r>
        <w:t>Ltda</w:t>
      </w:r>
      <w:proofErr w:type="spellEnd"/>
      <w:r>
        <w:t>, 2002.</w:t>
      </w:r>
    </w:p>
    <w:p w:rsidR="00C31956" w:rsidRPr="004723CE" w:rsidRDefault="00C31956" w:rsidP="00C31956">
      <w:pPr>
        <w:pStyle w:val="PargrafodaLista"/>
        <w:spacing w:after="0" w:line="360" w:lineRule="auto"/>
        <w:ind w:left="0" w:firstLine="6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3CE" w:rsidRPr="00F23996" w:rsidRDefault="004723CE" w:rsidP="00DE564D">
      <w:pPr>
        <w:pStyle w:val="PargrafodaLista"/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sectPr w:rsidR="004723CE" w:rsidRPr="00F23996" w:rsidSect="00E47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94" w:rsidRDefault="00410994" w:rsidP="004E3BE0">
      <w:pPr>
        <w:spacing w:after="0" w:line="240" w:lineRule="auto"/>
      </w:pPr>
      <w:r>
        <w:separator/>
      </w:r>
    </w:p>
  </w:endnote>
  <w:endnote w:type="continuationSeparator" w:id="0">
    <w:p w:rsidR="00410994" w:rsidRDefault="00410994" w:rsidP="004E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94" w:rsidRDefault="00410994" w:rsidP="004E3BE0">
      <w:pPr>
        <w:spacing w:after="0" w:line="240" w:lineRule="auto"/>
      </w:pPr>
      <w:r>
        <w:separator/>
      </w:r>
    </w:p>
  </w:footnote>
  <w:footnote w:type="continuationSeparator" w:id="0">
    <w:p w:rsidR="00410994" w:rsidRDefault="00410994" w:rsidP="004E3BE0">
      <w:pPr>
        <w:spacing w:after="0" w:line="240" w:lineRule="auto"/>
      </w:pPr>
      <w:r>
        <w:continuationSeparator/>
      </w:r>
    </w:p>
  </w:footnote>
  <w:footnote w:id="1">
    <w:p w:rsidR="004E3BE0" w:rsidRPr="004E3BE0" w:rsidRDefault="004E3BE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 </w:t>
      </w:r>
      <w:r>
        <w:rPr>
          <w:rFonts w:ascii="Times New Roman" w:hAnsi="Times New Roman" w:cs="Times New Roman"/>
        </w:rPr>
        <w:t>Graduando do Curso de Direito da Pontifícia Universidade Católica do Rio Grande do Sul</w:t>
      </w:r>
    </w:p>
  </w:footnote>
  <w:footnote w:id="2">
    <w:p w:rsidR="00965E43" w:rsidRDefault="00965E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B25DA">
        <w:t xml:space="preserve"> </w:t>
      </w:r>
      <w:r w:rsidRPr="00965E43">
        <w:t>Meirelles, Hely Lopes. Direito Administrativo Brasileiro. 3</w:t>
      </w:r>
      <w:r>
        <w:t>0</w:t>
      </w:r>
      <w:r w:rsidRPr="00965E43">
        <w:t xml:space="preserve">ª ed. São Paulo, SP: Malheiros Editores </w:t>
      </w:r>
      <w:proofErr w:type="spellStart"/>
      <w:r w:rsidRPr="00965E43">
        <w:t>Ltda</w:t>
      </w:r>
      <w:proofErr w:type="spellEnd"/>
      <w:r w:rsidRPr="00965E43">
        <w:t>, 200</w:t>
      </w:r>
      <w:r>
        <w:t>5</w:t>
      </w:r>
      <w:r w:rsidRPr="00965E43">
        <w:t>. p.</w:t>
      </w:r>
      <w:r>
        <w:t>581</w:t>
      </w:r>
      <w:r w:rsidRPr="00965E43">
        <w:t>.</w:t>
      </w:r>
    </w:p>
  </w:footnote>
  <w:footnote w:id="3">
    <w:p w:rsidR="002B25DA" w:rsidRDefault="002B25DA">
      <w:pPr>
        <w:pStyle w:val="Textodenotaderodap"/>
      </w:pPr>
      <w:r>
        <w:rPr>
          <w:rStyle w:val="Refdenotaderodap"/>
        </w:rPr>
        <w:footnoteRef/>
      </w:r>
      <w:r>
        <w:t xml:space="preserve">  Filho</w:t>
      </w:r>
      <w:r w:rsidRPr="00965E43">
        <w:t xml:space="preserve">, </w:t>
      </w:r>
      <w:r>
        <w:t xml:space="preserve">Marçal </w:t>
      </w:r>
      <w:proofErr w:type="spellStart"/>
      <w:r>
        <w:t>Justen</w:t>
      </w:r>
      <w:proofErr w:type="spellEnd"/>
      <w:r w:rsidRPr="00965E43">
        <w:t xml:space="preserve">. </w:t>
      </w:r>
      <w:r>
        <w:t>Curso de Direito Administrativo</w:t>
      </w:r>
      <w:r w:rsidRPr="00965E43">
        <w:t xml:space="preserve">. 3ª ed. São </w:t>
      </w:r>
      <w:r w:rsidR="00E336CC" w:rsidRPr="00965E43">
        <w:t>Paulo</w:t>
      </w:r>
      <w:r w:rsidR="00E336CC">
        <w:t>:</w:t>
      </w:r>
      <w:r>
        <w:t xml:space="preserve"> Saraiva, 2008. p.504.</w:t>
      </w:r>
    </w:p>
  </w:footnote>
  <w:footnote w:id="4">
    <w:p w:rsidR="00B90039" w:rsidRDefault="00B90039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r w:rsidRPr="00965E43">
        <w:t>Meirelles, Hely Lopes. Direito Administrativo Brasileiro. 3</w:t>
      </w:r>
      <w:r>
        <w:t>0</w:t>
      </w:r>
      <w:r w:rsidRPr="00965E43">
        <w:t xml:space="preserve">ª ed. São Paulo, SP: Malheiros Editores </w:t>
      </w:r>
      <w:proofErr w:type="spellStart"/>
      <w:r w:rsidRPr="00965E43">
        <w:t>Ltda</w:t>
      </w:r>
      <w:proofErr w:type="spellEnd"/>
      <w:r w:rsidRPr="00965E43">
        <w:t>, 200</w:t>
      </w:r>
      <w:r>
        <w:t>5</w:t>
      </w:r>
      <w:r w:rsidRPr="00965E43">
        <w:t>. p.</w:t>
      </w:r>
      <w:r>
        <w:t>581.</w:t>
      </w:r>
    </w:p>
  </w:footnote>
  <w:footnote w:id="5">
    <w:p w:rsidR="00E336CC" w:rsidRDefault="00E336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90DD8">
        <w:t xml:space="preserve">MELLO, Celso Antônio Bandeira de. </w:t>
      </w:r>
      <w:r>
        <w:t>Curso de Direito Administrativo</w:t>
      </w:r>
      <w:r w:rsidRPr="00E90DD8">
        <w:t xml:space="preserve">. </w:t>
      </w:r>
      <w:r>
        <w:t xml:space="preserve">14ª ed. São Paulo: Malheiros Editores </w:t>
      </w:r>
      <w:proofErr w:type="spellStart"/>
      <w:r>
        <w:t>Ltda</w:t>
      </w:r>
      <w:proofErr w:type="spellEnd"/>
      <w:r>
        <w:t>, 2002. p. 738.</w:t>
      </w:r>
    </w:p>
  </w:footnote>
  <w:footnote w:id="6">
    <w:p w:rsidR="00F23996" w:rsidRDefault="00F23996">
      <w:pPr>
        <w:pStyle w:val="Textodenotaderodap"/>
      </w:pPr>
      <w:r>
        <w:rPr>
          <w:rStyle w:val="Refdenotaderodap"/>
        </w:rPr>
        <w:footnoteRef/>
      </w:r>
      <w:r>
        <w:t xml:space="preserve"> Declaração Universal dos Direito Humanos.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5401"/>
    <w:multiLevelType w:val="hybridMultilevel"/>
    <w:tmpl w:val="2466A0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BE0"/>
    <w:rsid w:val="00032CAE"/>
    <w:rsid w:val="002B25DA"/>
    <w:rsid w:val="003550CF"/>
    <w:rsid w:val="003A675D"/>
    <w:rsid w:val="003E2899"/>
    <w:rsid w:val="00410994"/>
    <w:rsid w:val="00433F1C"/>
    <w:rsid w:val="004723CE"/>
    <w:rsid w:val="004E3BE0"/>
    <w:rsid w:val="005C4E2F"/>
    <w:rsid w:val="005C669A"/>
    <w:rsid w:val="007409BE"/>
    <w:rsid w:val="007F5756"/>
    <w:rsid w:val="00863318"/>
    <w:rsid w:val="00934B2F"/>
    <w:rsid w:val="00965E43"/>
    <w:rsid w:val="00A84CB8"/>
    <w:rsid w:val="00B90039"/>
    <w:rsid w:val="00BE45AD"/>
    <w:rsid w:val="00C31956"/>
    <w:rsid w:val="00C74AB3"/>
    <w:rsid w:val="00DE46CA"/>
    <w:rsid w:val="00DE564D"/>
    <w:rsid w:val="00DE5AD8"/>
    <w:rsid w:val="00E336CC"/>
    <w:rsid w:val="00E473CE"/>
    <w:rsid w:val="00ED4262"/>
    <w:rsid w:val="00F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F37DA-829A-419D-ABA7-7A8126C3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B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B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B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65E43"/>
    <w:pPr>
      <w:ind w:left="720"/>
      <w:contextualSpacing/>
    </w:pPr>
  </w:style>
  <w:style w:type="character" w:customStyle="1" w:styleId="st1">
    <w:name w:val="st1"/>
    <w:basedOn w:val="Fontepargpadro"/>
    <w:rsid w:val="00F2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094">
              <w:marLeft w:val="75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3529">
                      <w:marLeft w:val="21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38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201">
              <w:marLeft w:val="75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6496">
                      <w:marLeft w:val="21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296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913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PUCRS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</dc:creator>
  <cp:keywords/>
  <dc:description/>
  <cp:lastModifiedBy>Gui .</cp:lastModifiedBy>
  <cp:revision>7</cp:revision>
  <dcterms:created xsi:type="dcterms:W3CDTF">2013-03-11T20:50:00Z</dcterms:created>
  <dcterms:modified xsi:type="dcterms:W3CDTF">2013-03-12T03:09:00Z</dcterms:modified>
</cp:coreProperties>
</file>