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EC" w:rsidRDefault="005B1AEC" w:rsidP="00036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AEC">
        <w:rPr>
          <w:rFonts w:ascii="Times New Roman" w:hAnsi="Times New Roman" w:cs="Times New Roman"/>
          <w:b/>
          <w:sz w:val="28"/>
          <w:szCs w:val="28"/>
        </w:rPr>
        <w:t>LIMITAÇÕES CONSTITUCIONAIS AO PODER DE TRIBUTAR</w:t>
      </w:r>
      <w:r w:rsidRPr="005B1AEC">
        <w:rPr>
          <w:rFonts w:ascii="Times New Roman" w:hAnsi="Times New Roman" w:cs="Times New Roman"/>
          <w:sz w:val="28"/>
          <w:szCs w:val="28"/>
        </w:rPr>
        <w:t>: princípio da irretroatividade</w:t>
      </w:r>
      <w:r>
        <w:rPr>
          <w:rStyle w:val="Refdenotaderodap"/>
          <w:rFonts w:ascii="Times New Roman" w:hAnsi="Times New Roman" w:cs="Times New Roman"/>
          <w:sz w:val="28"/>
          <w:szCs w:val="28"/>
        </w:rPr>
        <w:footnoteReference w:id="2"/>
      </w:r>
    </w:p>
    <w:p w:rsidR="005B1AEC" w:rsidRDefault="005B1AEC" w:rsidP="005B1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AEC" w:rsidRPr="00DF45C6" w:rsidRDefault="005B1AEC" w:rsidP="005B1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7F5">
        <w:rPr>
          <w:rFonts w:ascii="Times New Roman" w:hAnsi="Times New Roman" w:cs="Times New Roman"/>
          <w:i/>
          <w:sz w:val="24"/>
          <w:szCs w:val="24"/>
        </w:rPr>
        <w:t>Ana Célia Caldas Aragão</w:t>
      </w:r>
      <w:r w:rsidR="00C413C3">
        <w:rPr>
          <w:rFonts w:ascii="Times New Roman" w:hAnsi="Times New Roman" w:cs="Times New Roman"/>
          <w:sz w:val="24"/>
          <w:szCs w:val="24"/>
        </w:rPr>
        <w:t>*</w:t>
      </w:r>
    </w:p>
    <w:p w:rsidR="005B1AEC" w:rsidRDefault="005B1AEC" w:rsidP="005B1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7F5">
        <w:rPr>
          <w:rFonts w:ascii="Times New Roman" w:hAnsi="Times New Roman" w:cs="Times New Roman"/>
          <w:i/>
          <w:sz w:val="24"/>
          <w:szCs w:val="24"/>
        </w:rPr>
        <w:t>Eduardo Fellipe Silva Ribeiro</w:t>
      </w:r>
      <w:r w:rsidR="00C413C3">
        <w:rPr>
          <w:rFonts w:ascii="Times New Roman" w:hAnsi="Times New Roman" w:cs="Times New Roman"/>
          <w:sz w:val="24"/>
          <w:szCs w:val="24"/>
        </w:rPr>
        <w:t>*</w:t>
      </w:r>
    </w:p>
    <w:p w:rsidR="00C413C3" w:rsidRPr="00DF45C6" w:rsidRDefault="00C413C3" w:rsidP="005B1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7F5">
        <w:rPr>
          <w:rFonts w:ascii="Times New Roman" w:hAnsi="Times New Roman" w:cs="Times New Roman"/>
          <w:i/>
          <w:sz w:val="24"/>
          <w:szCs w:val="24"/>
        </w:rPr>
        <w:t>Fabiano Ferreira Lopes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5B1AEC" w:rsidRPr="00DF45C6" w:rsidRDefault="005B1AEC" w:rsidP="005B1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EC" w:rsidRPr="00DF45C6" w:rsidRDefault="005B1AEC" w:rsidP="005B1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EC" w:rsidRPr="00DF45C6" w:rsidRDefault="005B1AEC" w:rsidP="00946BC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DF45C6">
        <w:rPr>
          <w:rFonts w:ascii="Times New Roman" w:hAnsi="Times New Roman" w:cs="Times New Roman"/>
          <w:b/>
          <w:sz w:val="24"/>
          <w:szCs w:val="24"/>
        </w:rPr>
        <w:t>Sumário</w:t>
      </w:r>
      <w:r w:rsidRPr="00DF45C6">
        <w:rPr>
          <w:rFonts w:ascii="Times New Roman" w:hAnsi="Times New Roman" w:cs="Times New Roman"/>
          <w:sz w:val="24"/>
          <w:szCs w:val="24"/>
        </w:rPr>
        <w:t>: Introdução; 1</w:t>
      </w:r>
      <w:r w:rsidR="00FA67F5">
        <w:rPr>
          <w:rFonts w:ascii="Times New Roman" w:hAnsi="Times New Roman" w:cs="Times New Roman"/>
          <w:sz w:val="24"/>
          <w:szCs w:val="24"/>
        </w:rPr>
        <w:t xml:space="preserve"> Limites</w:t>
      </w:r>
      <w:r w:rsidRPr="00DF45C6">
        <w:rPr>
          <w:rFonts w:ascii="Times New Roman" w:hAnsi="Times New Roman" w:cs="Times New Roman"/>
          <w:sz w:val="24"/>
          <w:szCs w:val="24"/>
        </w:rPr>
        <w:t xml:space="preserve"> constitucionais ao poder de tributar; 2 P</w:t>
      </w:r>
      <w:r w:rsidR="001714A0">
        <w:rPr>
          <w:rFonts w:ascii="Times New Roman" w:hAnsi="Times New Roman" w:cs="Times New Roman"/>
          <w:sz w:val="24"/>
          <w:szCs w:val="24"/>
        </w:rPr>
        <w:t xml:space="preserve">rincípio da irretroatividade; 2.1 </w:t>
      </w:r>
      <w:r w:rsidRPr="00DF45C6">
        <w:rPr>
          <w:rFonts w:ascii="Times New Roman" w:hAnsi="Times New Roman" w:cs="Times New Roman"/>
          <w:sz w:val="24"/>
          <w:szCs w:val="24"/>
        </w:rPr>
        <w:t xml:space="preserve">Exceções </w:t>
      </w:r>
      <w:r w:rsidR="00946BC4">
        <w:rPr>
          <w:rFonts w:ascii="Times New Roman" w:hAnsi="Times New Roman" w:cs="Times New Roman"/>
          <w:sz w:val="24"/>
          <w:szCs w:val="24"/>
        </w:rPr>
        <w:t>ao princípio</w:t>
      </w:r>
      <w:r w:rsidR="00F13375">
        <w:rPr>
          <w:rFonts w:ascii="Times New Roman" w:hAnsi="Times New Roman" w:cs="Times New Roman"/>
          <w:sz w:val="24"/>
          <w:szCs w:val="24"/>
        </w:rPr>
        <w:t xml:space="preserve"> da irretroatividade</w:t>
      </w:r>
      <w:r w:rsidRPr="00DF45C6">
        <w:rPr>
          <w:rFonts w:ascii="Times New Roman" w:hAnsi="Times New Roman" w:cs="Times New Roman"/>
          <w:sz w:val="24"/>
          <w:szCs w:val="24"/>
        </w:rPr>
        <w:t>;</w:t>
      </w:r>
      <w:r w:rsidR="001714A0">
        <w:rPr>
          <w:rFonts w:ascii="Times New Roman" w:hAnsi="Times New Roman" w:cs="Times New Roman"/>
          <w:sz w:val="24"/>
          <w:szCs w:val="24"/>
        </w:rPr>
        <w:t xml:space="preserve"> 3. Entendimento do TJ/MA quanto ao tema; </w:t>
      </w:r>
      <w:r w:rsidRPr="00DF45C6">
        <w:rPr>
          <w:rFonts w:ascii="Times New Roman" w:hAnsi="Times New Roman" w:cs="Times New Roman"/>
          <w:sz w:val="24"/>
          <w:szCs w:val="24"/>
        </w:rPr>
        <w:t>Conclusão; Referências.</w:t>
      </w:r>
    </w:p>
    <w:p w:rsidR="00F13375" w:rsidRDefault="00F13375" w:rsidP="005B1AEC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13375" w:rsidRPr="00DF45C6" w:rsidRDefault="00F13375" w:rsidP="005B1AEC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67E88" w:rsidRDefault="005B1AEC" w:rsidP="00F1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C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13375" w:rsidRDefault="00F13375" w:rsidP="00F1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F45" w:rsidRPr="00036C3E" w:rsidRDefault="00067E88" w:rsidP="00036C3E">
      <w:pPr>
        <w:spacing w:line="36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3818FF">
        <w:rPr>
          <w:rFonts w:ascii="Times New Roman" w:hAnsi="Times New Roman" w:cs="Times New Roman"/>
          <w:sz w:val="24"/>
          <w:szCs w:val="24"/>
        </w:rPr>
        <w:t>O presente estudo analisa</w:t>
      </w:r>
      <w:r>
        <w:rPr>
          <w:rFonts w:ascii="Times New Roman" w:hAnsi="Times New Roman" w:cs="Times New Roman"/>
          <w:sz w:val="24"/>
          <w:szCs w:val="24"/>
        </w:rPr>
        <w:t xml:space="preserve"> as limitações constitucionais ao poder de tributar dando maior atenção aos princípios constitucionais tributário</w:t>
      </w:r>
      <w:r w:rsidR="00F13375">
        <w:rPr>
          <w:rFonts w:ascii="Times New Roman" w:hAnsi="Times New Roman" w:cs="Times New Roman"/>
          <w:sz w:val="24"/>
          <w:szCs w:val="24"/>
        </w:rPr>
        <w:t xml:space="preserve">s e </w:t>
      </w:r>
      <w:r>
        <w:rPr>
          <w:rFonts w:ascii="Times New Roman" w:hAnsi="Times New Roman" w:cs="Times New Roman"/>
          <w:sz w:val="24"/>
          <w:szCs w:val="24"/>
        </w:rPr>
        <w:t>principalmente ao princípio da irretroatividade. Parte da análise a respeito dos conceitos de Estado e Poder de tributar, explicando inclusive a atividade financeira do Estado que tem como característica essencial o poder-dever</w:t>
      </w:r>
      <w:r w:rsidR="00036C3E">
        <w:rPr>
          <w:rFonts w:ascii="Times New Roman" w:hAnsi="Times New Roman" w:cs="Times New Roman"/>
          <w:sz w:val="24"/>
          <w:szCs w:val="24"/>
        </w:rPr>
        <w:t xml:space="preserve">. Aborda acerca do princípio da irretroatividade demonstrando seus dispositivos constitucionais, bem como suas exceções. Objetiva ainda demonstrar através de jurisprudências, o entendimento do Tribunal de Justiça do Maranhão quanto ao tema.  </w:t>
      </w:r>
    </w:p>
    <w:p w:rsidR="00946BC4" w:rsidRPr="00DF45C6" w:rsidRDefault="005B1AEC" w:rsidP="005B1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C6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DF45C6">
        <w:rPr>
          <w:rFonts w:ascii="Times New Roman" w:hAnsi="Times New Roman" w:cs="Times New Roman"/>
          <w:sz w:val="24"/>
          <w:szCs w:val="24"/>
        </w:rPr>
        <w:t>: Limitações</w:t>
      </w:r>
      <w:r w:rsidR="00864304">
        <w:rPr>
          <w:rFonts w:ascii="Times New Roman" w:hAnsi="Times New Roman" w:cs="Times New Roman"/>
          <w:sz w:val="24"/>
          <w:szCs w:val="24"/>
        </w:rPr>
        <w:t>; Princípio</w:t>
      </w:r>
      <w:r w:rsidR="00C5603F">
        <w:rPr>
          <w:rFonts w:ascii="Times New Roman" w:hAnsi="Times New Roman" w:cs="Times New Roman"/>
          <w:sz w:val="24"/>
          <w:szCs w:val="24"/>
        </w:rPr>
        <w:t>; Irretroatividade;</w:t>
      </w:r>
      <w:bookmarkStart w:id="0" w:name="_GoBack"/>
      <w:bookmarkEnd w:id="0"/>
      <w:r w:rsidR="00946BC4">
        <w:rPr>
          <w:rFonts w:ascii="Times New Roman" w:hAnsi="Times New Roman" w:cs="Times New Roman"/>
          <w:sz w:val="24"/>
          <w:szCs w:val="24"/>
        </w:rPr>
        <w:t xml:space="preserve"> Jurisprudência</w:t>
      </w:r>
      <w:r w:rsidR="00FA67F5">
        <w:rPr>
          <w:rFonts w:ascii="Times New Roman" w:hAnsi="Times New Roman" w:cs="Times New Roman"/>
          <w:sz w:val="24"/>
          <w:szCs w:val="24"/>
        </w:rPr>
        <w:t>.</w:t>
      </w:r>
    </w:p>
    <w:p w:rsidR="008C28C8" w:rsidRPr="00DF45C6" w:rsidRDefault="008C28C8" w:rsidP="005B1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284" w:rsidRDefault="005B1AEC" w:rsidP="00B50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5C6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B50014" w:rsidRPr="00B50014" w:rsidRDefault="00B50014" w:rsidP="00B50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6D1" w:rsidRDefault="00067444" w:rsidP="00436D5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Inicia-se com </w:t>
      </w:r>
      <w:r w:rsidR="00436D5E">
        <w:rPr>
          <w:rFonts w:ascii="Times New Roman" w:hAnsi="Times New Roman" w:cs="Times New Roman"/>
          <w:sz w:val="24"/>
          <w:szCs w:val="24"/>
        </w:rPr>
        <w:t xml:space="preserve">a análise </w:t>
      </w:r>
      <w:r w:rsidR="00F436D1">
        <w:rPr>
          <w:rFonts w:ascii="Times New Roman" w:hAnsi="Times New Roman" w:cs="Times New Roman"/>
          <w:sz w:val="24"/>
          <w:szCs w:val="24"/>
        </w:rPr>
        <w:t>acerca das limitações constitucionais ao poder de tributar, já que tal poder não é absoluto, devendo ser limitado pelo texto constitucional. A Constituição Federal determina, pois, limites a soberania estatal estabelecendo algumas molduras ao poder de tributar como as normas jurídicas de competência tributária, os princípios constitucionais tributários, as normas de imunidade tributária e as de proibição de privilégios e de discriminações fiscais.</w:t>
      </w:r>
      <w:r w:rsidR="00436D5E">
        <w:rPr>
          <w:rFonts w:ascii="Times New Roman" w:hAnsi="Times New Roman" w:cs="Times New Roman"/>
          <w:sz w:val="24"/>
          <w:szCs w:val="24"/>
        </w:rPr>
        <w:t xml:space="preserve">  Entretanto, d</w:t>
      </w:r>
      <w:r w:rsidR="00F436D1">
        <w:rPr>
          <w:rFonts w:ascii="Times New Roman" w:hAnsi="Times New Roman" w:cs="Times New Roman"/>
          <w:sz w:val="24"/>
          <w:szCs w:val="24"/>
        </w:rPr>
        <w:t>entre essas limitações</w:t>
      </w:r>
      <w:r w:rsidR="00436D5E">
        <w:rPr>
          <w:rFonts w:ascii="Times New Roman" w:hAnsi="Times New Roman" w:cs="Times New Roman"/>
          <w:sz w:val="24"/>
          <w:szCs w:val="24"/>
        </w:rPr>
        <w:t xml:space="preserve"> </w:t>
      </w:r>
      <w:r w:rsidR="00F436D1">
        <w:rPr>
          <w:rFonts w:ascii="Times New Roman" w:hAnsi="Times New Roman" w:cs="Times New Roman"/>
          <w:sz w:val="24"/>
          <w:szCs w:val="24"/>
        </w:rPr>
        <w:t>será</w:t>
      </w:r>
      <w:r w:rsidR="00F436D1" w:rsidRPr="00C413C3">
        <w:rPr>
          <w:rFonts w:ascii="Times New Roman" w:hAnsi="Times New Roman" w:cs="Times New Roman"/>
          <w:sz w:val="24"/>
          <w:szCs w:val="24"/>
        </w:rPr>
        <w:t xml:space="preserve"> tratado com</w:t>
      </w:r>
      <w:r w:rsidR="00F43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maior</w:t>
      </w:r>
      <w:r w:rsidR="00F436D1">
        <w:rPr>
          <w:rFonts w:ascii="Times New Roman" w:hAnsi="Times New Roman" w:cs="Times New Roman"/>
          <w:sz w:val="24"/>
          <w:szCs w:val="24"/>
        </w:rPr>
        <w:t xml:space="preserve"> ênfase o princípio da irretroatividade abordando-se inclusive a respeito de suas exceções.</w:t>
      </w:r>
    </w:p>
    <w:p w:rsidR="00436D5E" w:rsidRDefault="00C402E0" w:rsidP="001109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36D5E">
        <w:rPr>
          <w:rFonts w:ascii="Times New Roman" w:hAnsi="Times New Roman" w:cs="Times New Roman"/>
          <w:sz w:val="24"/>
          <w:szCs w:val="24"/>
        </w:rPr>
        <w:t>primeiro tópico</w:t>
      </w:r>
      <w:r w:rsidR="00937284">
        <w:rPr>
          <w:rFonts w:ascii="Times New Roman" w:hAnsi="Times New Roman" w:cs="Times New Roman"/>
          <w:sz w:val="24"/>
          <w:szCs w:val="24"/>
        </w:rPr>
        <w:t xml:space="preserve"> irá</w:t>
      </w:r>
      <w:r w:rsidR="00436D5E">
        <w:rPr>
          <w:rFonts w:ascii="Times New Roman" w:hAnsi="Times New Roman" w:cs="Times New Roman"/>
          <w:sz w:val="24"/>
          <w:szCs w:val="24"/>
        </w:rPr>
        <w:t xml:space="preserve"> aborda</w:t>
      </w:r>
      <w:r>
        <w:rPr>
          <w:rFonts w:ascii="Times New Roman" w:hAnsi="Times New Roman" w:cs="Times New Roman"/>
          <w:sz w:val="24"/>
          <w:szCs w:val="24"/>
        </w:rPr>
        <w:t>r</w:t>
      </w:r>
      <w:r w:rsidR="00F436D1">
        <w:rPr>
          <w:rFonts w:ascii="Times New Roman" w:hAnsi="Times New Roman" w:cs="Times New Roman"/>
          <w:sz w:val="24"/>
          <w:szCs w:val="24"/>
        </w:rPr>
        <w:t xml:space="preserve"> a respeito dos limites constitucionais ao poder d</w:t>
      </w:r>
      <w:r w:rsidR="00436D5E">
        <w:rPr>
          <w:rFonts w:ascii="Times New Roman" w:hAnsi="Times New Roman" w:cs="Times New Roman"/>
          <w:sz w:val="24"/>
          <w:szCs w:val="24"/>
        </w:rPr>
        <w:t>e tributar</w:t>
      </w:r>
      <w:r>
        <w:rPr>
          <w:rFonts w:ascii="Times New Roman" w:hAnsi="Times New Roman" w:cs="Times New Roman"/>
          <w:sz w:val="24"/>
          <w:szCs w:val="24"/>
        </w:rPr>
        <w:t>. Primeiramente serão esclarecidos os conc</w:t>
      </w:r>
      <w:r w:rsidR="00110938">
        <w:rPr>
          <w:rFonts w:ascii="Times New Roman" w:hAnsi="Times New Roman" w:cs="Times New Roman"/>
          <w:sz w:val="24"/>
          <w:szCs w:val="24"/>
        </w:rPr>
        <w:t xml:space="preserve">eitos de Estado e Poder para que depois seja </w:t>
      </w:r>
      <w:r w:rsidR="00110938">
        <w:rPr>
          <w:rFonts w:ascii="Times New Roman" w:hAnsi="Times New Roman" w:cs="Times New Roman"/>
          <w:sz w:val="24"/>
          <w:szCs w:val="24"/>
        </w:rPr>
        <w:lastRenderedPageBreak/>
        <w:t xml:space="preserve">analisado o que seria o </w:t>
      </w:r>
      <w:r w:rsidR="00F436D1">
        <w:rPr>
          <w:rFonts w:ascii="Times New Roman" w:hAnsi="Times New Roman" w:cs="Times New Roman"/>
          <w:sz w:val="24"/>
          <w:szCs w:val="24"/>
        </w:rPr>
        <w:t>poder de tributar</w:t>
      </w:r>
      <w:r w:rsidR="00110938">
        <w:rPr>
          <w:rFonts w:ascii="Times New Roman" w:hAnsi="Times New Roman" w:cs="Times New Roman"/>
          <w:sz w:val="24"/>
          <w:szCs w:val="24"/>
        </w:rPr>
        <w:t xml:space="preserve"> do Estado</w:t>
      </w:r>
      <w:r w:rsidR="00F436D1">
        <w:rPr>
          <w:rFonts w:ascii="Times New Roman" w:hAnsi="Times New Roman" w:cs="Times New Roman"/>
          <w:sz w:val="24"/>
          <w:szCs w:val="24"/>
        </w:rPr>
        <w:t xml:space="preserve"> e o porquê dele sofrer essas limitações</w:t>
      </w:r>
      <w:r w:rsidR="00110938">
        <w:rPr>
          <w:rFonts w:ascii="Times New Roman" w:hAnsi="Times New Roman" w:cs="Times New Roman"/>
          <w:sz w:val="24"/>
          <w:szCs w:val="24"/>
        </w:rPr>
        <w:t>. Depois serão apresentadas de forma breve</w:t>
      </w:r>
      <w:r w:rsidR="00F436D1">
        <w:rPr>
          <w:rFonts w:ascii="Times New Roman" w:hAnsi="Times New Roman" w:cs="Times New Roman"/>
          <w:sz w:val="24"/>
          <w:szCs w:val="24"/>
        </w:rPr>
        <w:t xml:space="preserve"> algumas das limit</w:t>
      </w:r>
      <w:r w:rsidR="00110938">
        <w:rPr>
          <w:rFonts w:ascii="Times New Roman" w:hAnsi="Times New Roman" w:cs="Times New Roman"/>
          <w:sz w:val="24"/>
          <w:szCs w:val="24"/>
        </w:rPr>
        <w:t>ações impostas pela Carta Magna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0938">
        <w:rPr>
          <w:rFonts w:ascii="Times New Roman" w:hAnsi="Times New Roman" w:cs="Times New Roman"/>
          <w:sz w:val="24"/>
          <w:szCs w:val="24"/>
        </w:rPr>
        <w:t xml:space="preserve"> como por exemplo, as imunidades tributárias, as proibições de privilégio, as proibições de discriminação fiscal e os princípios constitucionais tributários.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6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0938" w:rsidRDefault="00110938" w:rsidP="00F436D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436D1">
        <w:rPr>
          <w:rFonts w:ascii="Times New Roman" w:hAnsi="Times New Roman" w:cs="Times New Roman"/>
          <w:sz w:val="24"/>
          <w:szCs w:val="24"/>
        </w:rPr>
        <w:t xml:space="preserve"> segundo tópico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284">
        <w:rPr>
          <w:rFonts w:ascii="Times New Roman" w:hAnsi="Times New Roman" w:cs="Times New Roman"/>
          <w:sz w:val="24"/>
          <w:szCs w:val="24"/>
        </w:rPr>
        <w:t>vai</w:t>
      </w:r>
      <w:r>
        <w:rPr>
          <w:rFonts w:ascii="Times New Roman" w:hAnsi="Times New Roman" w:cs="Times New Roman"/>
          <w:sz w:val="24"/>
          <w:szCs w:val="24"/>
        </w:rPr>
        <w:t xml:space="preserve"> tratar do tema central deste artigo que é princípio da irretroatividade</w:t>
      </w:r>
      <w:r w:rsidR="009372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estabelecendo </w:t>
      </w:r>
      <w:r w:rsidR="00F436D1">
        <w:rPr>
          <w:rFonts w:ascii="Times New Roman" w:hAnsi="Times New Roman" w:cs="Times New Roman"/>
          <w:sz w:val="24"/>
          <w:szCs w:val="24"/>
        </w:rPr>
        <w:t>seu assento constitucional</w:t>
      </w:r>
      <w:r>
        <w:rPr>
          <w:rFonts w:ascii="Times New Roman" w:hAnsi="Times New Roman" w:cs="Times New Roman"/>
          <w:sz w:val="24"/>
          <w:szCs w:val="24"/>
        </w:rPr>
        <w:t>, sua finalidade</w:t>
      </w:r>
      <w:r w:rsidR="00F436D1">
        <w:rPr>
          <w:rFonts w:ascii="Times New Roman" w:hAnsi="Times New Roman" w:cs="Times New Roman"/>
          <w:sz w:val="24"/>
          <w:szCs w:val="24"/>
        </w:rPr>
        <w:t xml:space="preserve"> e ainda outros princípios que estão a ele interligados como os princípios da legalidade, da segurança jurídica e da anterioridade.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284">
        <w:rPr>
          <w:rFonts w:ascii="Times New Roman" w:hAnsi="Times New Roman" w:cs="Times New Roman"/>
          <w:sz w:val="24"/>
          <w:szCs w:val="24"/>
        </w:rPr>
        <w:t xml:space="preserve">Em um subtópico serão estabelecidas as exceções a este princípio, ou seja, as hipóteses em que excepcionalmente a lei tributária irá retroagir, apontando as divergências existentes na doutrina quanto ao tema.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014" w:rsidRDefault="00937284" w:rsidP="00B500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o terceiro e último tópico </w:t>
      </w:r>
      <w:r w:rsidR="00B50014">
        <w:rPr>
          <w:rFonts w:ascii="Times New Roman" w:hAnsi="Times New Roman" w:cs="Times New Roman"/>
          <w:sz w:val="24"/>
          <w:szCs w:val="24"/>
        </w:rPr>
        <w:t>demonstrará o entendimento do Tribunal de Justiça do Maranhão quanto ao tema. Serão esclarecidas a fontes utilizadas para realizar a pesquisa, estabelecendo as expressões utilizadas, bem como o lapso temporal da pesquisa. Depois será feita uma análise minuciosa de cada jurisprudência encontrada a fim de tentar esclarecer se a mesmas estão divergentes, convergentes ou concordam entre si.</w:t>
      </w:r>
    </w:p>
    <w:p w:rsidR="00036C3E" w:rsidRPr="00F436D1" w:rsidRDefault="00B50014" w:rsidP="00B500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72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7F66" w:rsidRDefault="009C6A16" w:rsidP="009C6A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A16">
        <w:rPr>
          <w:rFonts w:ascii="Times New Roman" w:hAnsi="Times New Roman" w:cs="Times New Roman"/>
          <w:b/>
          <w:sz w:val="24"/>
          <w:szCs w:val="24"/>
        </w:rPr>
        <w:t>1 LIMITES CONSTITUCIONAIS AO PODER DE TRIBUTAR</w:t>
      </w:r>
    </w:p>
    <w:p w:rsidR="00864304" w:rsidRDefault="00567F66" w:rsidP="008643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67F66">
        <w:rPr>
          <w:rFonts w:ascii="Times New Roman" w:hAnsi="Times New Roman" w:cs="Times New Roman"/>
          <w:sz w:val="24"/>
          <w:szCs w:val="24"/>
        </w:rPr>
        <w:t>Antes de analisar as limitações constitucionais, faz-se necessário esclarecer os conceitos de Estado e Poder (poder de tributar).</w:t>
      </w:r>
      <w:r>
        <w:rPr>
          <w:rFonts w:ascii="Times New Roman" w:hAnsi="Times New Roman" w:cs="Times New Roman"/>
          <w:sz w:val="24"/>
          <w:szCs w:val="24"/>
        </w:rPr>
        <w:t xml:space="preserve"> O Estado nada mais é do que uma força coercitiva reguladora. É um empreendimento sem fins lucrativos que tem um poder de coerção para gerenciar o bem comum</w:t>
      </w:r>
      <w:r w:rsidR="001C3747">
        <w:rPr>
          <w:rFonts w:ascii="Times New Roman" w:hAnsi="Times New Roman" w:cs="Times New Roman"/>
          <w:sz w:val="24"/>
          <w:szCs w:val="24"/>
        </w:rPr>
        <w:t xml:space="preserve"> (necessidades </w:t>
      </w:r>
      <w:r w:rsidR="00B570AB">
        <w:rPr>
          <w:rFonts w:ascii="Times New Roman" w:hAnsi="Times New Roman" w:cs="Times New Roman"/>
          <w:sz w:val="24"/>
          <w:szCs w:val="24"/>
        </w:rPr>
        <w:t>públicas</w:t>
      </w:r>
      <w:r w:rsidR="001C3747">
        <w:rPr>
          <w:rFonts w:ascii="Times New Roman" w:hAnsi="Times New Roman" w:cs="Times New Roman"/>
          <w:sz w:val="24"/>
          <w:szCs w:val="24"/>
        </w:rPr>
        <w:t xml:space="preserve">), sendo composto de território, povo e governo soberano. </w:t>
      </w:r>
    </w:p>
    <w:p w:rsidR="00864304" w:rsidRDefault="00864304" w:rsidP="008643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do </w:t>
      </w:r>
      <w:r w:rsidR="001C3747">
        <w:rPr>
          <w:rFonts w:ascii="Times New Roman" w:hAnsi="Times New Roman" w:cs="Times New Roman"/>
          <w:sz w:val="24"/>
          <w:szCs w:val="24"/>
        </w:rPr>
        <w:t xml:space="preserve">poder de coerção do Estado encontra-se o poder de tributar que é “um poder de direito, lastreado no consentimento dos cidadãos destinatários da invasão patrimonial, tendente à percepção do tributo” (SABBAG, 2012, p. 57-58). </w:t>
      </w:r>
      <w:r w:rsidR="00B570AB">
        <w:rPr>
          <w:rFonts w:ascii="Times New Roman" w:hAnsi="Times New Roman" w:cs="Times New Roman"/>
          <w:sz w:val="24"/>
          <w:szCs w:val="24"/>
        </w:rPr>
        <w:t>Para prover as necessidades públicas o Estado através de sua atividade financeira tem o poder de realizar essa exação patrimonial e ao mesmo tempo tem o dever de satisfazer essas necessidades (poder-dever).</w:t>
      </w:r>
      <w:r w:rsidR="00AC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94E" w:rsidRDefault="00AC47FE" w:rsidP="008643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Ricardo Lobo Torres (2006, p. 63-64), “a soberania financeira, que é do povo, transfere-se limitadamente ao Estado pelo contrato constitucional, permitindo-lhe tributar e gastar”. </w:t>
      </w:r>
      <w:r w:rsidR="00B2594E">
        <w:rPr>
          <w:rFonts w:ascii="Times New Roman" w:hAnsi="Times New Roman" w:cs="Times New Roman"/>
          <w:sz w:val="24"/>
          <w:szCs w:val="24"/>
        </w:rPr>
        <w:t>Não obstante,</w:t>
      </w:r>
      <w:r w:rsidR="00B570AB">
        <w:rPr>
          <w:rFonts w:ascii="Times New Roman" w:hAnsi="Times New Roman" w:cs="Times New Roman"/>
          <w:sz w:val="24"/>
          <w:szCs w:val="24"/>
        </w:rPr>
        <w:t xml:space="preserve"> no Estado democrático de direito em que vivemos não existem</w:t>
      </w:r>
      <w:r>
        <w:rPr>
          <w:rFonts w:ascii="Times New Roman" w:hAnsi="Times New Roman" w:cs="Times New Roman"/>
          <w:sz w:val="24"/>
          <w:szCs w:val="24"/>
        </w:rPr>
        <w:t xml:space="preserve"> direitos nem poderes que sejam exercidos sem restrições, sendo assim, o poder de tributar do Estado não é absoluto. </w:t>
      </w:r>
    </w:p>
    <w:p w:rsidR="00864304" w:rsidRDefault="00B2594E" w:rsidP="00B570A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Tal poder é limitado pela Constituição Federal</w:t>
      </w:r>
      <w:r w:rsidR="00C3282D">
        <w:rPr>
          <w:rFonts w:ascii="Times New Roman" w:hAnsi="Times New Roman" w:cs="Times New Roman"/>
          <w:sz w:val="24"/>
          <w:szCs w:val="24"/>
        </w:rPr>
        <w:t xml:space="preserve"> ao longo de seus dispositivos, mas principalmente na Seção intitulada “Limitações ao Poder de Tributar”, que está no capítulo relativo ao Sistema Tributário Nacional. É limitado também por outras normas constitucionais ou infraconstitucionais como, por exemplo, as leis complementares, as resoluções do Senado e os convênios, que acabam por complementar os limites</w:t>
      </w:r>
      <w:r w:rsidR="00C6505D">
        <w:rPr>
          <w:rFonts w:ascii="Times New Roman" w:hAnsi="Times New Roman" w:cs="Times New Roman"/>
          <w:sz w:val="24"/>
          <w:szCs w:val="24"/>
        </w:rPr>
        <w:t xml:space="preserve"> ao exercício</w:t>
      </w:r>
      <w:r w:rsidR="00C3282D">
        <w:rPr>
          <w:rFonts w:ascii="Times New Roman" w:hAnsi="Times New Roman" w:cs="Times New Roman"/>
          <w:sz w:val="24"/>
          <w:szCs w:val="24"/>
        </w:rPr>
        <w:t xml:space="preserve"> deste poder</w:t>
      </w:r>
      <w:r w:rsidR="00C6505D">
        <w:rPr>
          <w:rFonts w:ascii="Times New Roman" w:hAnsi="Times New Roman" w:cs="Times New Roman"/>
          <w:sz w:val="24"/>
          <w:szCs w:val="24"/>
        </w:rPr>
        <w:t xml:space="preserve"> (AMARO, 2006, p. 106). </w:t>
      </w:r>
    </w:p>
    <w:p w:rsidR="00864304" w:rsidRDefault="00C6505D" w:rsidP="008643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nos dizeres de Eduardo Sabbag (2012, p. 59-60) “a Constituição Federal define o </w:t>
      </w:r>
      <w:r w:rsidRPr="00C6505D">
        <w:rPr>
          <w:rFonts w:ascii="Times New Roman" w:hAnsi="Times New Roman" w:cs="Times New Roman"/>
          <w:i/>
          <w:sz w:val="24"/>
          <w:szCs w:val="24"/>
        </w:rPr>
        <w:t>modus operandi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exercício desse poder, que deverá se dar de forma justa</w:t>
      </w:r>
      <w:r w:rsidR="00167EA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equilibrada, sem provocar danos à liberdade e à propriedade dos contribuintes</w:t>
      </w:r>
      <w:r w:rsidR="00167EA1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557">
        <w:rPr>
          <w:rFonts w:ascii="Times New Roman" w:hAnsi="Times New Roman" w:cs="Times New Roman"/>
          <w:sz w:val="24"/>
          <w:szCs w:val="24"/>
        </w:rPr>
        <w:t>Essas limitações ao poder de tributar estão dispostas nos artigos 150 a 152 da Constituição Federal e compreendem as imunidades</w:t>
      </w:r>
      <w:r w:rsidR="00C64B57">
        <w:rPr>
          <w:rFonts w:ascii="Times New Roman" w:hAnsi="Times New Roman" w:cs="Times New Roman"/>
          <w:sz w:val="24"/>
          <w:szCs w:val="24"/>
        </w:rPr>
        <w:t xml:space="preserve"> tributárias</w:t>
      </w:r>
      <w:r w:rsidR="00C46557">
        <w:rPr>
          <w:rFonts w:ascii="Times New Roman" w:hAnsi="Times New Roman" w:cs="Times New Roman"/>
          <w:sz w:val="24"/>
          <w:szCs w:val="24"/>
        </w:rPr>
        <w:t>, as</w:t>
      </w:r>
      <w:r w:rsidR="00C64B57">
        <w:rPr>
          <w:rFonts w:ascii="Times New Roman" w:hAnsi="Times New Roman" w:cs="Times New Roman"/>
          <w:sz w:val="24"/>
          <w:szCs w:val="24"/>
        </w:rPr>
        <w:t xml:space="preserve"> proibições de privilégio</w:t>
      </w:r>
      <w:r w:rsidR="00C46557">
        <w:rPr>
          <w:rFonts w:ascii="Times New Roman" w:hAnsi="Times New Roman" w:cs="Times New Roman"/>
          <w:sz w:val="24"/>
          <w:szCs w:val="24"/>
        </w:rPr>
        <w:t>, as proibições de discriminação fiscal e os princípios constitucionais tributários (TORRES, 2006, p. 64).</w:t>
      </w:r>
      <w:r w:rsidR="00427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0E2" w:rsidRPr="00864304" w:rsidRDefault="004270E2" w:rsidP="00864304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Silvio Aparecido Crepaldi</w:t>
      </w:r>
      <w:r w:rsidR="00C64B57">
        <w:rPr>
          <w:rFonts w:ascii="Times New Roman" w:hAnsi="Times New Roman" w:cs="Times New Roman"/>
          <w:sz w:val="24"/>
          <w:szCs w:val="24"/>
        </w:rPr>
        <w:t xml:space="preserve">, essas limitações </w:t>
      </w:r>
    </w:p>
    <w:p w:rsidR="00C64B57" w:rsidRDefault="00C64B57" w:rsidP="004270E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270E2" w:rsidRDefault="00C64B57" w:rsidP="004270E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devem ser observada</w:t>
      </w:r>
      <w:r w:rsidR="004270E2" w:rsidRPr="004270E2">
        <w:rPr>
          <w:rFonts w:ascii="Times New Roman" w:hAnsi="Times New Roman" w:cs="Times New Roman"/>
          <w:sz w:val="20"/>
          <w:szCs w:val="20"/>
        </w:rPr>
        <w:t>s sob dois aspectos: o primeiro diz respeito aos princípios, os quais regulam,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70E2" w:rsidRPr="004270E2">
        <w:rPr>
          <w:rFonts w:ascii="Times New Roman" w:hAnsi="Times New Roman" w:cs="Times New Roman"/>
          <w:sz w:val="20"/>
          <w:szCs w:val="20"/>
        </w:rPr>
        <w:t>norteiam a competência dos entes políticos; o segundo, às imunidades, regras que proíbem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70E2" w:rsidRPr="004270E2">
        <w:rPr>
          <w:rFonts w:ascii="Times New Roman" w:hAnsi="Times New Roman" w:cs="Times New Roman"/>
          <w:sz w:val="20"/>
          <w:szCs w:val="20"/>
        </w:rPr>
        <w:t>tributação sobre certos bens, pessoas ou fatos a fim de proteger determinados conteúdos axiológicos na Constituição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64B57" w:rsidRDefault="00C64B57" w:rsidP="004270E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64B57" w:rsidRDefault="00C64B57" w:rsidP="004270E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0271F" w:rsidRPr="00FC6DDB" w:rsidRDefault="00C64B57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4B57">
        <w:rPr>
          <w:rFonts w:ascii="Times New Roman" w:hAnsi="Times New Roman" w:cs="Times New Roman"/>
          <w:sz w:val="24"/>
          <w:szCs w:val="24"/>
        </w:rPr>
        <w:t xml:space="preserve">Os princípios são tidos </w:t>
      </w:r>
      <w:r w:rsidR="00634632">
        <w:rPr>
          <w:rFonts w:ascii="Times New Roman" w:hAnsi="Times New Roman" w:cs="Times New Roman"/>
          <w:sz w:val="24"/>
          <w:szCs w:val="24"/>
        </w:rPr>
        <w:t>“</w:t>
      </w:r>
      <w:r w:rsidRPr="00C64B57">
        <w:rPr>
          <w:rFonts w:ascii="Times New Roman" w:hAnsi="Times New Roman" w:cs="Times New Roman"/>
          <w:sz w:val="24"/>
          <w:szCs w:val="24"/>
        </w:rPr>
        <w:t>como verdadeiras garantias constitucionais do contribuinte contra a força tributária do Esta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64B57">
        <w:rPr>
          <w:rFonts w:ascii="Times New Roman" w:hAnsi="Times New Roman" w:cs="Times New Roman"/>
          <w:sz w:val="24"/>
          <w:szCs w:val="24"/>
        </w:rPr>
        <w:t>o</w:t>
      </w:r>
      <w:r w:rsidR="00634632">
        <w:rPr>
          <w:rFonts w:ascii="Times New Roman" w:hAnsi="Times New Roman" w:cs="Times New Roman"/>
          <w:sz w:val="24"/>
          <w:szCs w:val="24"/>
        </w:rPr>
        <w:t xml:space="preserve">, assumindo postura de nítidas limitações constitucionais ao poder de tributar” (SABBAG, 2012, p. 60) e por isso são tratados como cláusulas pétreas. Assim, </w:t>
      </w:r>
      <w:r w:rsidR="00975370">
        <w:rPr>
          <w:rFonts w:ascii="Times New Roman" w:hAnsi="Times New Roman" w:cs="Times New Roman"/>
          <w:sz w:val="24"/>
          <w:szCs w:val="24"/>
        </w:rPr>
        <w:t xml:space="preserve">dentre </w:t>
      </w:r>
      <w:r w:rsidR="00634632">
        <w:rPr>
          <w:rFonts w:ascii="Times New Roman" w:hAnsi="Times New Roman" w:cs="Times New Roman"/>
          <w:sz w:val="24"/>
          <w:szCs w:val="24"/>
        </w:rPr>
        <w:t>as</w:t>
      </w:r>
      <w:r w:rsidR="008A50A3">
        <w:rPr>
          <w:rFonts w:ascii="Times New Roman" w:hAnsi="Times New Roman" w:cs="Times New Roman"/>
          <w:sz w:val="24"/>
          <w:szCs w:val="24"/>
        </w:rPr>
        <w:t xml:space="preserve"> limitações</w:t>
      </w:r>
      <w:r w:rsidR="00634632">
        <w:rPr>
          <w:rFonts w:ascii="Times New Roman" w:hAnsi="Times New Roman" w:cs="Times New Roman"/>
          <w:sz w:val="24"/>
          <w:szCs w:val="24"/>
        </w:rPr>
        <w:t xml:space="preserve"> dispostas acima</w:t>
      </w:r>
      <w:r w:rsidR="008A50A3">
        <w:rPr>
          <w:rFonts w:ascii="Times New Roman" w:hAnsi="Times New Roman" w:cs="Times New Roman"/>
          <w:sz w:val="24"/>
          <w:szCs w:val="24"/>
        </w:rPr>
        <w:t xml:space="preserve"> serão explanad</w:t>
      </w:r>
      <w:r w:rsidR="00634632">
        <w:rPr>
          <w:rFonts w:ascii="Times New Roman" w:hAnsi="Times New Roman" w:cs="Times New Roman"/>
          <w:sz w:val="24"/>
          <w:szCs w:val="24"/>
        </w:rPr>
        <w:t>a</w:t>
      </w:r>
      <w:r w:rsidR="008A50A3">
        <w:rPr>
          <w:rFonts w:ascii="Times New Roman" w:hAnsi="Times New Roman" w:cs="Times New Roman"/>
          <w:sz w:val="24"/>
          <w:szCs w:val="24"/>
        </w:rPr>
        <w:t xml:space="preserve">s apenas </w:t>
      </w:r>
      <w:r w:rsidR="00975370">
        <w:rPr>
          <w:rFonts w:ascii="Times New Roman" w:hAnsi="Times New Roman" w:cs="Times New Roman"/>
          <w:sz w:val="24"/>
          <w:szCs w:val="24"/>
        </w:rPr>
        <w:t>os princípios constitu</w:t>
      </w:r>
      <w:r w:rsidR="008A50A3">
        <w:rPr>
          <w:rFonts w:ascii="Times New Roman" w:hAnsi="Times New Roman" w:cs="Times New Roman"/>
          <w:sz w:val="24"/>
          <w:szCs w:val="24"/>
        </w:rPr>
        <w:t>cionais tributários, principalmente no que diz respeito ao princípio da irretroatividade que é o tema deste trabalho e que será explicado de forma minuciosa nos tópicos seguintes.</w:t>
      </w:r>
      <w:r w:rsidR="00975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319" w:rsidRDefault="00510319" w:rsidP="00510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BE2" w:rsidRDefault="00FC6DDB" w:rsidP="00C109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DDB">
        <w:rPr>
          <w:rFonts w:ascii="Times New Roman" w:hAnsi="Times New Roman" w:cs="Times New Roman"/>
          <w:b/>
          <w:sz w:val="24"/>
          <w:szCs w:val="24"/>
        </w:rPr>
        <w:t>2 PRINCÍPIO DA IRRETROATIVIDAD</w:t>
      </w:r>
      <w:r w:rsidR="00864304">
        <w:rPr>
          <w:rFonts w:ascii="Times New Roman" w:hAnsi="Times New Roman" w:cs="Times New Roman"/>
          <w:b/>
          <w:sz w:val="24"/>
          <w:szCs w:val="24"/>
        </w:rPr>
        <w:t>E</w:t>
      </w:r>
    </w:p>
    <w:p w:rsidR="00510319" w:rsidRDefault="00A0271F" w:rsidP="005103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D151E">
        <w:rPr>
          <w:rFonts w:ascii="Times New Roman" w:hAnsi="Times New Roman" w:cs="Times New Roman"/>
          <w:sz w:val="24"/>
          <w:szCs w:val="24"/>
        </w:rPr>
        <w:t>A Carta Magna prevê o princípio da irretroatividade tributária em seu artigo 150, III, a, que dispõe que é vedado à União, aos Estados, ao Distrito Federal e aos Municípios a cobrança de tributos “em relação a fatos geradores ocorridos antes do início da vigência da lei que os houver instituído ou aumentado”.</w:t>
      </w:r>
      <w:r>
        <w:rPr>
          <w:rFonts w:ascii="Times New Roman" w:hAnsi="Times New Roman" w:cs="Times New Roman"/>
          <w:sz w:val="24"/>
          <w:szCs w:val="24"/>
        </w:rPr>
        <w:t xml:space="preserve"> E ainda, em seu art. 5º, XXXVI, fala que “a lei não prejudicará o direito adquirido, o ato jurídico e a coisa julgada”. </w:t>
      </w:r>
    </w:p>
    <w:p w:rsidR="00A0271F" w:rsidRDefault="00A0271F" w:rsidP="005103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este artigo, a lei não poderá retroagir em face do direito adquirido, do </w:t>
      </w:r>
      <w:r w:rsidR="00510319">
        <w:rPr>
          <w:rFonts w:ascii="Times New Roman" w:hAnsi="Times New Roman" w:cs="Times New Roman"/>
          <w:sz w:val="24"/>
          <w:szCs w:val="24"/>
        </w:rPr>
        <w:t>ato jurídico e da coisa julgada. P</w:t>
      </w:r>
      <w:r>
        <w:rPr>
          <w:rFonts w:ascii="Times New Roman" w:hAnsi="Times New Roman" w:cs="Times New Roman"/>
          <w:sz w:val="24"/>
          <w:szCs w:val="24"/>
        </w:rPr>
        <w:t>or outro lado, o art.150, III,</w:t>
      </w:r>
      <w:r w:rsidR="0051031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do mesmo Diploma, “impede que a lei que cria ou aumenta tributos alcance fatos ocorridos antes do início de sua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vigência” (CARRAZZA, 2007, p. 343). </w:t>
      </w:r>
      <w:r w:rsidRPr="004428B8">
        <w:rPr>
          <w:rFonts w:ascii="Times New Roman" w:hAnsi="Times New Roman" w:cs="Times New Roman"/>
          <w:sz w:val="24"/>
          <w:szCs w:val="24"/>
        </w:rPr>
        <w:t>Dessa forma, o princípio da irretroatividade tem como finalidade preservar a segurança jurídica e garan</w:t>
      </w:r>
      <w:r w:rsidR="00510319">
        <w:rPr>
          <w:rFonts w:ascii="Times New Roman" w:hAnsi="Times New Roman" w:cs="Times New Roman"/>
          <w:sz w:val="24"/>
          <w:szCs w:val="24"/>
        </w:rPr>
        <w:t>tir que o contribuinte não se surpreenda</w:t>
      </w:r>
      <w:r w:rsidRPr="004428B8">
        <w:rPr>
          <w:rFonts w:ascii="Times New Roman" w:hAnsi="Times New Roman" w:cs="Times New Roman"/>
          <w:sz w:val="24"/>
          <w:szCs w:val="24"/>
        </w:rPr>
        <w:t xml:space="preserve"> com o aumento da tributação em</w:t>
      </w:r>
      <w:r w:rsidR="00510319">
        <w:rPr>
          <w:rFonts w:ascii="Times New Roman" w:hAnsi="Times New Roman" w:cs="Times New Roman"/>
          <w:sz w:val="24"/>
          <w:szCs w:val="24"/>
        </w:rPr>
        <w:t xml:space="preserve"> relação a </w:t>
      </w:r>
      <w:r w:rsidRPr="004428B8">
        <w:rPr>
          <w:rFonts w:ascii="Times New Roman" w:hAnsi="Times New Roman" w:cs="Times New Roman"/>
          <w:sz w:val="24"/>
          <w:szCs w:val="24"/>
        </w:rPr>
        <w:t>fatos ocorridos no passado (MACHADO, 2006, p.293).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71F" w:rsidRDefault="00A0271F" w:rsidP="005103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5BFD">
        <w:rPr>
          <w:rFonts w:ascii="Times New Roman" w:hAnsi="Times New Roman" w:cs="Times New Roman"/>
          <w:sz w:val="24"/>
          <w:szCs w:val="24"/>
        </w:rPr>
        <w:t>No que diz respeito a irretroatividade tributária, a Constituição entende pela vedação da aplicação da lei nova,</w:t>
      </w:r>
      <w:r>
        <w:rPr>
          <w:rFonts w:ascii="Times New Roman" w:hAnsi="Times New Roman" w:cs="Times New Roman"/>
          <w:sz w:val="24"/>
          <w:szCs w:val="24"/>
        </w:rPr>
        <w:t xml:space="preserve"> “que criou ou aumentou o tributo, a fato pretérito, que, portanto, continua sendo não gerador de tributo, ou permanece como gerador de menor tributo, segundo a lei da época de sua ocorrência” (AMARO, 2006, p.118).</w:t>
      </w:r>
      <w:r w:rsidR="00510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10319">
        <w:rPr>
          <w:rFonts w:ascii="Times New Roman" w:hAnsi="Times New Roman" w:cs="Times New Roman"/>
          <w:sz w:val="24"/>
          <w:szCs w:val="24"/>
        </w:rPr>
        <w:t>essa</w:t>
      </w:r>
      <w:r>
        <w:rPr>
          <w:rFonts w:ascii="Times New Roman" w:hAnsi="Times New Roman" w:cs="Times New Roman"/>
          <w:sz w:val="24"/>
          <w:szCs w:val="24"/>
        </w:rPr>
        <w:t xml:space="preserve"> seara de criação ou aumento do tributo, a lei não poderá retroagir para o passado, pois sua aplicação vai se reservar tão somente aos fatos futuros, ao momento da vigência da lei tributária (AMARO, 2006, p.119).</w:t>
      </w:r>
    </w:p>
    <w:p w:rsidR="00A0271F" w:rsidRDefault="00510319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0271F">
        <w:rPr>
          <w:rFonts w:ascii="Times New Roman" w:hAnsi="Times New Roman" w:cs="Times New Roman"/>
          <w:sz w:val="24"/>
          <w:szCs w:val="24"/>
        </w:rPr>
        <w:t xml:space="preserve"> lei tributária deve ser tida como irretroativa e de acordo com Roque Antonio Carrazza (2007, p.345), </w:t>
      </w:r>
    </w:p>
    <w:p w:rsidR="00A0271F" w:rsidRDefault="00A0271F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0271F" w:rsidRPr="007D4AE4" w:rsidRDefault="00A0271F" w:rsidP="00A027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D4AE4">
        <w:rPr>
          <w:rFonts w:ascii="Times New Roman" w:hAnsi="Times New Roman" w:cs="Times New Roman"/>
          <w:sz w:val="20"/>
          <w:szCs w:val="20"/>
        </w:rPr>
        <w:t xml:space="preserve">a regra geral, pois é no sentido de que as leis tributárias, como, de resto, todas as leis, devem sempre dispor para o futuro. Não lhes é dado abarcar o passado, ou seja, alcançar acontecimentos pretéritos. Tal garantia confere estabilidade e segurança às relações jurídicas entre o Fisco e o contribuinte.  </w:t>
      </w:r>
    </w:p>
    <w:p w:rsidR="00510319" w:rsidRDefault="00510319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0271F" w:rsidRDefault="00A0271F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28B8">
        <w:rPr>
          <w:rFonts w:ascii="Times New Roman" w:hAnsi="Times New Roman" w:cs="Times New Roman"/>
          <w:sz w:val="24"/>
          <w:szCs w:val="24"/>
        </w:rPr>
        <w:t>Em razão do princípio da irretroatividade, as leis tributárias devem sempre alcançar acontecimentos</w:t>
      </w:r>
      <w:r w:rsidR="00510319">
        <w:rPr>
          <w:rFonts w:ascii="Times New Roman" w:hAnsi="Times New Roman" w:cs="Times New Roman"/>
          <w:sz w:val="24"/>
          <w:szCs w:val="24"/>
        </w:rPr>
        <w:t xml:space="preserve"> futuros, não se voltando</w:t>
      </w:r>
      <w:r>
        <w:rPr>
          <w:rFonts w:ascii="Times New Roman" w:hAnsi="Times New Roman" w:cs="Times New Roman"/>
          <w:sz w:val="24"/>
          <w:szCs w:val="24"/>
        </w:rPr>
        <w:t xml:space="preserve"> para o passado.   Incluem-se nesta regra as leis que trazem em seu contexto algum tipo de agravamento em face da situação dos contribuintes, que igualmente nunca poderão retroagir (CARRAZZA, 2007, p.</w:t>
      </w:r>
      <w:r w:rsidR="00510319">
        <w:rPr>
          <w:rFonts w:ascii="Times New Roman" w:hAnsi="Times New Roman" w:cs="Times New Roman"/>
          <w:sz w:val="24"/>
          <w:szCs w:val="24"/>
        </w:rPr>
        <w:t>345), s</w:t>
      </w:r>
      <w:r>
        <w:rPr>
          <w:rFonts w:ascii="Times New Roman" w:hAnsi="Times New Roman" w:cs="Times New Roman"/>
          <w:sz w:val="24"/>
          <w:szCs w:val="24"/>
        </w:rPr>
        <w:t>endo que qualquer lei que trouxer esse tipo de agravamento deverá ser inconstitucional. Será inconstitucional também a lei qu</w:t>
      </w:r>
      <w:r w:rsidR="00510319">
        <w:rPr>
          <w:rFonts w:ascii="Times New Roman" w:hAnsi="Times New Roman" w:cs="Times New Roman"/>
          <w:sz w:val="24"/>
          <w:szCs w:val="24"/>
        </w:rPr>
        <w:t>e ir de contramão com o</w:t>
      </w:r>
      <w:r>
        <w:rPr>
          <w:rFonts w:ascii="Times New Roman" w:hAnsi="Times New Roman" w:cs="Times New Roman"/>
          <w:sz w:val="24"/>
          <w:szCs w:val="24"/>
        </w:rPr>
        <w:t xml:space="preserve"> princípio da irretroatividade da lei criadora ou majorada do tributo. </w:t>
      </w:r>
    </w:p>
    <w:p w:rsidR="00A0271F" w:rsidRPr="003C0F41" w:rsidRDefault="00A0271F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C0F41">
        <w:rPr>
          <w:rFonts w:ascii="Times New Roman" w:hAnsi="Times New Roman" w:cs="Times New Roman"/>
          <w:sz w:val="24"/>
          <w:szCs w:val="24"/>
        </w:rPr>
        <w:t>O princípio da irretroatividade está interligado com os princípios da segurança jurídica, da anterioridade e da legalidade. O princípio da segurança jurídica em razão de ser um dos pilares do direito</w:t>
      </w:r>
      <w:r w:rsidR="00A85A29" w:rsidRPr="003C0F41">
        <w:rPr>
          <w:rFonts w:ascii="Times New Roman" w:hAnsi="Times New Roman" w:cs="Times New Roman"/>
          <w:sz w:val="24"/>
          <w:szCs w:val="24"/>
        </w:rPr>
        <w:t xml:space="preserve"> exige</w:t>
      </w:r>
      <w:r w:rsidRPr="003C0F41">
        <w:rPr>
          <w:rFonts w:ascii="Times New Roman" w:hAnsi="Times New Roman" w:cs="Times New Roman"/>
          <w:sz w:val="24"/>
          <w:szCs w:val="24"/>
        </w:rPr>
        <w:t xml:space="preserve"> que as leis tributárias estejam incorporadas com o conteúdo da irretroatividade (CARRAZZA, 2007, p.343). </w:t>
      </w:r>
      <w:r w:rsidR="00A85A29">
        <w:rPr>
          <w:rFonts w:ascii="Times New Roman" w:hAnsi="Times New Roman" w:cs="Times New Roman"/>
          <w:sz w:val="24"/>
          <w:szCs w:val="24"/>
        </w:rPr>
        <w:t xml:space="preserve"> </w:t>
      </w:r>
      <w:r w:rsidRPr="003C0F41">
        <w:rPr>
          <w:rFonts w:ascii="Times New Roman" w:hAnsi="Times New Roman" w:cs="Times New Roman"/>
          <w:sz w:val="24"/>
          <w:szCs w:val="24"/>
        </w:rPr>
        <w:t>“</w:t>
      </w:r>
      <w:r w:rsidR="00A85A29">
        <w:rPr>
          <w:rFonts w:ascii="Times New Roman" w:hAnsi="Times New Roman" w:cs="Times New Roman"/>
          <w:sz w:val="24"/>
          <w:szCs w:val="24"/>
        </w:rPr>
        <w:t>A</w:t>
      </w:r>
      <w:r w:rsidRPr="003C0F41">
        <w:rPr>
          <w:rFonts w:ascii="Times New Roman" w:hAnsi="Times New Roman" w:cs="Times New Roman"/>
          <w:sz w:val="24"/>
          <w:szCs w:val="24"/>
        </w:rPr>
        <w:t xml:space="preserve"> irretroatividade conecta-se à própria ideia do Direito, trazendo o timbre de segurança jurídica e a estabilidade dos direitos subjetivos ao espectro da relação impositivo-tributária”</w:t>
      </w:r>
      <w:r w:rsidR="00A85A29" w:rsidRPr="003C0F41">
        <w:rPr>
          <w:rFonts w:ascii="Times New Roman" w:hAnsi="Times New Roman" w:cs="Times New Roman"/>
          <w:sz w:val="24"/>
          <w:szCs w:val="24"/>
        </w:rPr>
        <w:t xml:space="preserve"> (</w:t>
      </w:r>
      <w:r w:rsidR="00A85A29">
        <w:rPr>
          <w:rFonts w:ascii="Times New Roman" w:hAnsi="Times New Roman" w:cs="Times New Roman"/>
          <w:sz w:val="24"/>
          <w:szCs w:val="24"/>
        </w:rPr>
        <w:t xml:space="preserve">SABBAG, 2012, p.192), </w:t>
      </w:r>
      <w:r w:rsidRPr="003C0F41">
        <w:rPr>
          <w:rFonts w:ascii="Times New Roman" w:hAnsi="Times New Roman" w:cs="Times New Roman"/>
          <w:sz w:val="24"/>
          <w:szCs w:val="24"/>
        </w:rPr>
        <w:t>quando</w:t>
      </w:r>
      <w:r w:rsidR="00A85A29">
        <w:rPr>
          <w:rFonts w:ascii="Times New Roman" w:hAnsi="Times New Roman" w:cs="Times New Roman"/>
          <w:sz w:val="24"/>
          <w:szCs w:val="24"/>
        </w:rPr>
        <w:t xml:space="preserve"> prevê</w:t>
      </w:r>
      <w:r w:rsidRPr="003C0F41">
        <w:rPr>
          <w:rFonts w:ascii="Times New Roman" w:hAnsi="Times New Roman" w:cs="Times New Roman"/>
          <w:sz w:val="24"/>
          <w:szCs w:val="24"/>
        </w:rPr>
        <w:t xml:space="preserve"> a vedação ao tributo.   </w:t>
      </w:r>
    </w:p>
    <w:p w:rsidR="00A0271F" w:rsidRPr="003C0F41" w:rsidRDefault="00A0271F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C0F41">
        <w:rPr>
          <w:rFonts w:ascii="Times New Roman" w:hAnsi="Times New Roman" w:cs="Times New Roman"/>
          <w:sz w:val="24"/>
          <w:szCs w:val="24"/>
        </w:rPr>
        <w:t>Já o princípio da anterioridade vai analisar a e</w:t>
      </w:r>
      <w:r w:rsidR="00A85A29">
        <w:rPr>
          <w:rFonts w:ascii="Times New Roman" w:hAnsi="Times New Roman" w:cs="Times New Roman"/>
          <w:sz w:val="24"/>
          <w:szCs w:val="24"/>
        </w:rPr>
        <w:t>ficácia da lei tributária, sendo que, os tributos que trazem</w:t>
      </w:r>
      <w:r w:rsidRPr="003C0F41">
        <w:rPr>
          <w:rFonts w:ascii="Times New Roman" w:hAnsi="Times New Roman" w:cs="Times New Roman"/>
          <w:sz w:val="24"/>
          <w:szCs w:val="24"/>
        </w:rPr>
        <w:t xml:space="preserve"> com</w:t>
      </w:r>
      <w:r w:rsidR="00A85A29">
        <w:rPr>
          <w:rFonts w:ascii="Times New Roman" w:hAnsi="Times New Roman" w:cs="Times New Roman"/>
          <w:sz w:val="24"/>
          <w:szCs w:val="24"/>
        </w:rPr>
        <w:t>o regra a</w:t>
      </w:r>
      <w:r w:rsidRPr="003C0F41">
        <w:rPr>
          <w:rFonts w:ascii="Times New Roman" w:hAnsi="Times New Roman" w:cs="Times New Roman"/>
          <w:sz w:val="24"/>
          <w:szCs w:val="24"/>
        </w:rPr>
        <w:t xml:space="preserve"> anterioridade se submetem ao princípio da </w:t>
      </w:r>
      <w:r w:rsidRPr="003C0F41">
        <w:rPr>
          <w:rFonts w:ascii="Times New Roman" w:hAnsi="Times New Roman" w:cs="Times New Roman"/>
          <w:sz w:val="24"/>
          <w:szCs w:val="24"/>
        </w:rPr>
        <w:lastRenderedPageBreak/>
        <w:t>irretroatividade (AMARO, 2006, p.127). Por fim, o princípio da legalidade</w:t>
      </w:r>
      <w:r w:rsidR="00A85A29">
        <w:rPr>
          <w:rFonts w:ascii="Times New Roman" w:hAnsi="Times New Roman" w:cs="Times New Roman"/>
          <w:sz w:val="24"/>
          <w:szCs w:val="24"/>
        </w:rPr>
        <w:t xml:space="preserve"> exterioriza</w:t>
      </w:r>
      <w:r w:rsidRPr="003C0F41">
        <w:rPr>
          <w:rFonts w:ascii="Times New Roman" w:hAnsi="Times New Roman" w:cs="Times New Roman"/>
          <w:sz w:val="24"/>
          <w:szCs w:val="24"/>
        </w:rPr>
        <w:t xml:space="preserve"> a vedação à retroatividade, pois no nosso país não pode haver tributo sem prévia descrição legal (CAR</w:t>
      </w:r>
      <w:r w:rsidR="00A85A29">
        <w:rPr>
          <w:rFonts w:ascii="Times New Roman" w:hAnsi="Times New Roman" w:cs="Times New Roman"/>
          <w:sz w:val="24"/>
          <w:szCs w:val="24"/>
        </w:rPr>
        <w:t>RAZZA, 2007, p.344). Assim</w:t>
      </w:r>
      <w:r w:rsidRPr="003C0F41">
        <w:rPr>
          <w:rFonts w:ascii="Times New Roman" w:hAnsi="Times New Roman" w:cs="Times New Roman"/>
          <w:sz w:val="24"/>
          <w:szCs w:val="24"/>
        </w:rPr>
        <w:t>, esses três prin</w:t>
      </w:r>
      <w:r w:rsidR="000F3C3E">
        <w:rPr>
          <w:rFonts w:ascii="Times New Roman" w:hAnsi="Times New Roman" w:cs="Times New Roman"/>
          <w:sz w:val="24"/>
          <w:szCs w:val="24"/>
        </w:rPr>
        <w:t xml:space="preserve">cípios mencionados complementam </w:t>
      </w:r>
      <w:r w:rsidRPr="003C0F41">
        <w:rPr>
          <w:rFonts w:ascii="Times New Roman" w:hAnsi="Times New Roman" w:cs="Times New Roman"/>
          <w:sz w:val="24"/>
          <w:szCs w:val="24"/>
        </w:rPr>
        <w:t xml:space="preserve">a regra da irretroatividade tributária. </w:t>
      </w:r>
    </w:p>
    <w:p w:rsidR="00A0271F" w:rsidRDefault="00A0271F" w:rsidP="000F3C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271F" w:rsidRDefault="00A0271F" w:rsidP="00A027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Exceções ao princípio da irretroatividade</w:t>
      </w:r>
    </w:p>
    <w:p w:rsidR="00A0271F" w:rsidRDefault="00A0271F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</w:t>
      </w:r>
      <w:r w:rsidR="000F3C3E">
        <w:rPr>
          <w:rFonts w:ascii="Times New Roman" w:hAnsi="Times New Roman" w:cs="Times New Roman"/>
          <w:sz w:val="24"/>
          <w:szCs w:val="24"/>
        </w:rPr>
        <w:t>incipio da irretroatividade estabelece</w:t>
      </w:r>
      <w:r>
        <w:rPr>
          <w:rFonts w:ascii="Times New Roman" w:hAnsi="Times New Roman" w:cs="Times New Roman"/>
          <w:sz w:val="24"/>
          <w:szCs w:val="24"/>
        </w:rPr>
        <w:t xml:space="preserve"> que a lei não poderá retroagir para o p</w:t>
      </w:r>
      <w:r w:rsidR="000F3C3E">
        <w:rPr>
          <w:rFonts w:ascii="Times New Roman" w:hAnsi="Times New Roman" w:cs="Times New Roman"/>
          <w:sz w:val="24"/>
          <w:szCs w:val="24"/>
        </w:rPr>
        <w:t xml:space="preserve">assado, somente para os atos futuros. </w:t>
      </w:r>
      <w:r w:rsidR="009B78BD">
        <w:rPr>
          <w:rFonts w:ascii="Times New Roman" w:hAnsi="Times New Roman" w:cs="Times New Roman"/>
          <w:sz w:val="24"/>
          <w:szCs w:val="24"/>
        </w:rPr>
        <w:t>Entretanto, existem</w:t>
      </w:r>
      <w:r w:rsidR="000F3C3E">
        <w:rPr>
          <w:rFonts w:ascii="Times New Roman" w:hAnsi="Times New Roman" w:cs="Times New Roman"/>
          <w:sz w:val="24"/>
          <w:szCs w:val="24"/>
        </w:rPr>
        <w:t xml:space="preserve"> algumas exceções a essa regra, são ela</w:t>
      </w:r>
      <w:r>
        <w:rPr>
          <w:rFonts w:ascii="Times New Roman" w:hAnsi="Times New Roman" w:cs="Times New Roman"/>
          <w:sz w:val="24"/>
          <w:szCs w:val="24"/>
        </w:rPr>
        <w:t xml:space="preserve">s: a lei interpretativa, a lei benigna e a situação de inconstitucionalidade. </w:t>
      </w:r>
      <w:r w:rsidR="009B78BD">
        <w:rPr>
          <w:rFonts w:ascii="Times New Roman" w:hAnsi="Times New Roman" w:cs="Times New Roman"/>
          <w:sz w:val="24"/>
          <w:szCs w:val="24"/>
        </w:rPr>
        <w:t>Com isso</w:t>
      </w:r>
      <w:r w:rsidRPr="005B75AD">
        <w:rPr>
          <w:rFonts w:ascii="Times New Roman" w:hAnsi="Times New Roman" w:cs="Times New Roman"/>
          <w:sz w:val="24"/>
          <w:szCs w:val="24"/>
        </w:rPr>
        <w:t xml:space="preserve"> “o sistema jurídico</w:t>
      </w:r>
      <w:r w:rsidR="009B78BD">
        <w:rPr>
          <w:rFonts w:ascii="Times New Roman" w:hAnsi="Times New Roman" w:cs="Times New Roman"/>
          <w:sz w:val="24"/>
          <w:szCs w:val="24"/>
        </w:rPr>
        <w:t>-</w:t>
      </w:r>
      <w:r w:rsidRPr="005B75AD">
        <w:rPr>
          <w:rFonts w:ascii="Times New Roman" w:hAnsi="Times New Roman" w:cs="Times New Roman"/>
          <w:sz w:val="24"/>
          <w:szCs w:val="24"/>
        </w:rPr>
        <w:t xml:space="preserve">constitucional brasileiro não assentou, como postulado absoluto, incondicional e inderrogável, o princípio </w:t>
      </w:r>
      <w:r w:rsidR="009B78BD">
        <w:rPr>
          <w:rFonts w:ascii="Times New Roman" w:hAnsi="Times New Roman" w:cs="Times New Roman"/>
          <w:sz w:val="24"/>
          <w:szCs w:val="24"/>
        </w:rPr>
        <w:t>da irretroatividade tributária”</w:t>
      </w:r>
      <w:r w:rsidR="009B78BD" w:rsidRPr="005B75AD">
        <w:rPr>
          <w:rFonts w:ascii="Times New Roman" w:hAnsi="Times New Roman" w:cs="Times New Roman"/>
          <w:sz w:val="24"/>
          <w:szCs w:val="24"/>
        </w:rPr>
        <w:t xml:space="preserve"> (</w:t>
      </w:r>
      <w:r w:rsidR="009B78BD">
        <w:rPr>
          <w:rFonts w:ascii="Times New Roman" w:hAnsi="Times New Roman" w:cs="Times New Roman"/>
          <w:sz w:val="24"/>
          <w:szCs w:val="24"/>
        </w:rPr>
        <w:t xml:space="preserve">SABBAG, </w:t>
      </w:r>
      <w:r w:rsidR="009B78BD" w:rsidRPr="005B75AD">
        <w:rPr>
          <w:rFonts w:ascii="Times New Roman" w:hAnsi="Times New Roman" w:cs="Times New Roman"/>
          <w:sz w:val="24"/>
          <w:szCs w:val="24"/>
        </w:rPr>
        <w:t>2012, p.193)</w:t>
      </w:r>
      <w:r w:rsidR="009B78BD">
        <w:rPr>
          <w:rFonts w:ascii="Times New Roman" w:hAnsi="Times New Roman" w:cs="Times New Roman"/>
          <w:sz w:val="24"/>
          <w:szCs w:val="24"/>
        </w:rPr>
        <w:t>.</w:t>
      </w:r>
    </w:p>
    <w:p w:rsidR="00A0271F" w:rsidRDefault="00A0271F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 pesquisa realizada, existe</w:t>
      </w:r>
      <w:r w:rsidR="009B78B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algumas divergências sobre esse tema. O dout</w:t>
      </w:r>
      <w:r w:rsidR="009B78BD">
        <w:rPr>
          <w:rFonts w:ascii="Times New Roman" w:hAnsi="Times New Roman" w:cs="Times New Roman"/>
          <w:sz w:val="24"/>
          <w:szCs w:val="24"/>
        </w:rPr>
        <w:t>rinador Ricardo Lobo Torres relata</w:t>
      </w:r>
      <w:r>
        <w:rPr>
          <w:rFonts w:ascii="Times New Roman" w:hAnsi="Times New Roman" w:cs="Times New Roman"/>
          <w:sz w:val="24"/>
          <w:szCs w:val="24"/>
        </w:rPr>
        <w:t xml:space="preserve"> que existe</w:t>
      </w:r>
      <w:r w:rsidR="009B78B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essas três </w:t>
      </w:r>
      <w:r w:rsidR="009B78BD">
        <w:rPr>
          <w:rFonts w:ascii="Times New Roman" w:hAnsi="Times New Roman" w:cs="Times New Roman"/>
          <w:sz w:val="24"/>
          <w:szCs w:val="24"/>
        </w:rPr>
        <w:t>exceções, já Eduardo Sabbag conclui</w:t>
      </w:r>
      <w:r>
        <w:rPr>
          <w:rFonts w:ascii="Times New Roman" w:hAnsi="Times New Roman" w:cs="Times New Roman"/>
          <w:sz w:val="24"/>
          <w:szCs w:val="24"/>
        </w:rPr>
        <w:t xml:space="preserve"> que não existe exceção ao princípio da irretroatividade. Roque Antonio Carrazza, entende a exceção somente em razão da situação de inconstitucionalidade. E por último, Luciano Amaro, compreende a aplicação retroativa da lei tributária em face da lei interpretativa e da lei benigna.   </w:t>
      </w:r>
    </w:p>
    <w:p w:rsidR="00A0271F" w:rsidRDefault="00A0271F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interpretativa retroage, seguindo o art.106, I, do CTN, pois tem eficácia meramente declaratória (TORRES, 2006, p.137). Tal lei somente vai fixar o sentido d</w:t>
      </w:r>
      <w:r w:rsidR="009B78BD">
        <w:rPr>
          <w:rFonts w:ascii="Times New Roman" w:hAnsi="Times New Roman" w:cs="Times New Roman"/>
          <w:sz w:val="24"/>
          <w:szCs w:val="24"/>
        </w:rPr>
        <w:t>a norma financeira já existente, não criando nenhum direito novo ou</w:t>
      </w:r>
      <w:r>
        <w:rPr>
          <w:rFonts w:ascii="Times New Roman" w:hAnsi="Times New Roman" w:cs="Times New Roman"/>
          <w:sz w:val="24"/>
          <w:szCs w:val="24"/>
        </w:rPr>
        <w:t xml:space="preserve"> tributo. Contudo, Roque Antonio Carrazza e Eduardo Sabbag, entendem que nos princípios não devem ser ap</w:t>
      </w:r>
      <w:r w:rsidR="009B78BD">
        <w:rPr>
          <w:rFonts w:ascii="Times New Roman" w:hAnsi="Times New Roman" w:cs="Times New Roman"/>
          <w:sz w:val="24"/>
          <w:szCs w:val="24"/>
        </w:rPr>
        <w:t>licadas as leis interpretativas, já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8BD">
        <w:rPr>
          <w:rFonts w:ascii="Times New Roman" w:hAnsi="Times New Roman" w:cs="Times New Roman"/>
          <w:sz w:val="24"/>
          <w:szCs w:val="24"/>
        </w:rPr>
        <w:t xml:space="preserve">uma lei não pode interpretar </w:t>
      </w:r>
      <w:r>
        <w:rPr>
          <w:rFonts w:ascii="Times New Roman" w:hAnsi="Times New Roman" w:cs="Times New Roman"/>
          <w:sz w:val="24"/>
          <w:szCs w:val="24"/>
        </w:rPr>
        <w:t>outra lei, pois essa função de interpretar as leis é cometida ao Poder Judiciário (CARRAZZA, 2007, p.346-347).</w:t>
      </w:r>
    </w:p>
    <w:p w:rsidR="00A0271F" w:rsidRDefault="00A0271F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Ricardo Lobo Torres (2006, p.138), a norma penal tributária </w:t>
      </w:r>
      <w:r w:rsidR="009B78BD">
        <w:rPr>
          <w:rFonts w:ascii="Times New Roman" w:hAnsi="Times New Roman" w:cs="Times New Roman"/>
          <w:sz w:val="24"/>
          <w:szCs w:val="24"/>
        </w:rPr>
        <w:t>de natureza benigna vai retroagir</w:t>
      </w:r>
      <w:r>
        <w:rPr>
          <w:rFonts w:ascii="Times New Roman" w:hAnsi="Times New Roman" w:cs="Times New Roman"/>
          <w:sz w:val="24"/>
          <w:szCs w:val="24"/>
        </w:rPr>
        <w:t xml:space="preserve"> de acordo com o art.</w:t>
      </w:r>
      <w:r w:rsidR="009B7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106, II, do CTN. Em tal artigo (nas alíneas a e c) haverá a retroatividade da lei benigna, pois a lei nova não mais pune um determinado ato, que deixou de ser uma infração ou a penalidade ficou menos severa</w:t>
      </w:r>
      <w:r w:rsidR="009B78BD">
        <w:rPr>
          <w:rFonts w:ascii="Times New Roman" w:hAnsi="Times New Roman" w:cs="Times New Roman"/>
          <w:sz w:val="24"/>
          <w:szCs w:val="24"/>
        </w:rPr>
        <w:t>. Assim, a lei</w:t>
      </w:r>
      <w:r>
        <w:rPr>
          <w:rFonts w:ascii="Times New Roman" w:hAnsi="Times New Roman" w:cs="Times New Roman"/>
          <w:sz w:val="24"/>
          <w:szCs w:val="24"/>
        </w:rPr>
        <w:t xml:space="preserve"> irá retroagir em benefício ao acusado, eliminando a pena (AMARO, 2006, p.203).</w:t>
      </w:r>
      <w:r w:rsidR="004917BB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essa hipótese de exceção a lei nova não poderá agravar a punição, somente vai retroagir para melhorar a situação do acusado.</w:t>
      </w:r>
    </w:p>
    <w:p w:rsidR="00A0271F" w:rsidRDefault="00A0271F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Roque Antonio Carrazza (2007, p.347-348), aceita a retroatividade da lei tributária para corrigir uma situação de inconstitucionalidade. Tal autor ac</w:t>
      </w:r>
      <w:r w:rsidR="004917BB">
        <w:rPr>
          <w:rFonts w:ascii="Times New Roman" w:hAnsi="Times New Roman" w:cs="Times New Roman"/>
          <w:sz w:val="24"/>
          <w:szCs w:val="24"/>
        </w:rPr>
        <w:t>redita nessa retroatividade</w:t>
      </w:r>
      <w:r>
        <w:rPr>
          <w:rFonts w:ascii="Times New Roman" w:hAnsi="Times New Roman" w:cs="Times New Roman"/>
          <w:sz w:val="24"/>
          <w:szCs w:val="24"/>
        </w:rPr>
        <w:t xml:space="preserve"> somente no caso de realizada a correção, está não prejudique a situação do </w:t>
      </w:r>
      <w:r>
        <w:rPr>
          <w:rFonts w:ascii="Times New Roman" w:hAnsi="Times New Roman" w:cs="Times New Roman"/>
          <w:sz w:val="24"/>
          <w:szCs w:val="24"/>
        </w:rPr>
        <w:lastRenderedPageBreak/>
        <w:t>contribuinte,</w:t>
      </w:r>
      <w:r w:rsidR="004917BB">
        <w:rPr>
          <w:rFonts w:ascii="Times New Roman" w:hAnsi="Times New Roman" w:cs="Times New Roman"/>
          <w:sz w:val="24"/>
          <w:szCs w:val="24"/>
        </w:rPr>
        <w:t xml:space="preserve"> e tampouco feri</w:t>
      </w:r>
      <w:r>
        <w:rPr>
          <w:rFonts w:ascii="Times New Roman" w:hAnsi="Times New Roman" w:cs="Times New Roman"/>
          <w:sz w:val="24"/>
          <w:szCs w:val="24"/>
        </w:rPr>
        <w:t xml:space="preserve"> o seu direito adquirido, o ato jurídico perfeito ou a coisa julgada.</w:t>
      </w:r>
      <w:r w:rsidR="004917BB">
        <w:rPr>
          <w:rFonts w:ascii="Times New Roman" w:hAnsi="Times New Roman" w:cs="Times New Roman"/>
          <w:sz w:val="24"/>
          <w:szCs w:val="24"/>
        </w:rPr>
        <w:t xml:space="preserve"> Com isso</w:t>
      </w:r>
      <w:r>
        <w:rPr>
          <w:rFonts w:ascii="Times New Roman" w:hAnsi="Times New Roman" w:cs="Times New Roman"/>
          <w:sz w:val="24"/>
          <w:szCs w:val="24"/>
        </w:rPr>
        <w:t>, a lei anterior não é considerada como uma genuína lei.</w:t>
      </w:r>
    </w:p>
    <w:p w:rsidR="004917BB" w:rsidRDefault="004917BB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um entendimento totalmente contrário aos outros autores, Eduardo Sabbag estabelece </w:t>
      </w:r>
      <w:r w:rsidR="00A0271F">
        <w:rPr>
          <w:rFonts w:ascii="Times New Roman" w:hAnsi="Times New Roman" w:cs="Times New Roman"/>
          <w:sz w:val="24"/>
          <w:szCs w:val="24"/>
        </w:rPr>
        <w:t xml:space="preserve">que o princípio da irretroatividade não é absoluto, mas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0271F">
        <w:rPr>
          <w:rFonts w:ascii="Times New Roman" w:hAnsi="Times New Roman" w:cs="Times New Roman"/>
          <w:sz w:val="24"/>
          <w:szCs w:val="24"/>
        </w:rPr>
        <w:t>o mesmo</w:t>
      </w:r>
      <w:r>
        <w:rPr>
          <w:rFonts w:ascii="Times New Roman" w:hAnsi="Times New Roman" w:cs="Times New Roman"/>
          <w:sz w:val="24"/>
          <w:szCs w:val="24"/>
        </w:rPr>
        <w:t xml:space="preserve"> tempo</w:t>
      </w:r>
      <w:r w:rsidR="00A0271F">
        <w:rPr>
          <w:rFonts w:ascii="Times New Roman" w:hAnsi="Times New Roman" w:cs="Times New Roman"/>
          <w:sz w:val="24"/>
          <w:szCs w:val="24"/>
        </w:rPr>
        <w:t xml:space="preserve"> conclui que não existem exceções ao princípio da irretroatividade tributária e ainda que as hipóteses do art.106, I e II, do CTN mais corroboraram a  regra da irretroatividade do que dela se afasta, como exceções (SABBAG, 2012, p.194). </w:t>
      </w:r>
    </w:p>
    <w:p w:rsidR="00A0271F" w:rsidRDefault="00A0271F" w:rsidP="00A0271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desses posicionamentos, entende-se que o posicionamento mais adequado é do professor Eduardo Sabbag, haja vista que estabelecer </w:t>
      </w:r>
      <w:r w:rsidR="004917BB">
        <w:rPr>
          <w:rFonts w:ascii="Times New Roman" w:hAnsi="Times New Roman" w:cs="Times New Roman"/>
          <w:sz w:val="24"/>
          <w:szCs w:val="24"/>
        </w:rPr>
        <w:t>exceções a este princípio acaba por ofender</w:t>
      </w:r>
      <w:r>
        <w:rPr>
          <w:rFonts w:ascii="Times New Roman" w:hAnsi="Times New Roman" w:cs="Times New Roman"/>
          <w:sz w:val="24"/>
          <w:szCs w:val="24"/>
        </w:rPr>
        <w:t xml:space="preserve"> a segurança jurídica dos contribuintes.    </w:t>
      </w:r>
    </w:p>
    <w:p w:rsidR="00A0271F" w:rsidRPr="00A0271F" w:rsidRDefault="00A0271F" w:rsidP="009522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7EA1" w:rsidRDefault="00C10942" w:rsidP="00C109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9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ENTENDIMENTO DO TJ/MA QUANTO AO TEMA</w:t>
      </w:r>
    </w:p>
    <w:p w:rsidR="00BA69E4" w:rsidRDefault="00F436D1" w:rsidP="00BA69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objetivo de demonstrar o entendimento do Tribunal de Justiça do Maranhão quanto ao princípio tributário da irretroatividade, que foi explicado no </w:t>
      </w:r>
      <w:r w:rsidR="005B0362">
        <w:rPr>
          <w:rFonts w:ascii="Times New Roman" w:hAnsi="Times New Roman" w:cs="Times New Roman"/>
          <w:sz w:val="24"/>
          <w:szCs w:val="24"/>
        </w:rPr>
        <w:t>tópico</w:t>
      </w:r>
      <w:r>
        <w:rPr>
          <w:rFonts w:ascii="Times New Roman" w:hAnsi="Times New Roman" w:cs="Times New Roman"/>
          <w:sz w:val="24"/>
          <w:szCs w:val="24"/>
        </w:rPr>
        <w:t xml:space="preserve"> anterior, utilizou-se como fonte o próprio site do tribunal</w:t>
      </w:r>
      <w:r w:rsidR="007F2252">
        <w:rPr>
          <w:rFonts w:ascii="Times New Roman" w:hAnsi="Times New Roman" w:cs="Times New Roman"/>
          <w:sz w:val="24"/>
          <w:szCs w:val="24"/>
        </w:rPr>
        <w:t xml:space="preserve"> através do jurisconsult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252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7F2252" w:rsidRPr="007F225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http://jurisconsult.tjma.jus.br/</w:t>
        </w:r>
      </w:hyperlink>
      <w:r w:rsidRPr="007F225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1B9" w:rsidRPr="005B0362">
        <w:rPr>
          <w:rFonts w:ascii="Times New Roman" w:hAnsi="Times New Roman" w:cs="Times New Roman"/>
          <w:sz w:val="24"/>
          <w:szCs w:val="24"/>
        </w:rPr>
        <w:t>Foram</w:t>
      </w:r>
      <w:r w:rsidRPr="005B0362">
        <w:rPr>
          <w:rFonts w:ascii="Times New Roman" w:hAnsi="Times New Roman" w:cs="Times New Roman"/>
          <w:sz w:val="24"/>
          <w:szCs w:val="24"/>
        </w:rPr>
        <w:t xml:space="preserve"> </w:t>
      </w:r>
      <w:r w:rsidR="00E361B9" w:rsidRPr="005B0362">
        <w:rPr>
          <w:rFonts w:ascii="Times New Roman" w:hAnsi="Times New Roman" w:cs="Times New Roman"/>
          <w:sz w:val="24"/>
          <w:szCs w:val="24"/>
        </w:rPr>
        <w:t>pesquisadas</w:t>
      </w:r>
      <w:r>
        <w:rPr>
          <w:rFonts w:ascii="Times New Roman" w:hAnsi="Times New Roman" w:cs="Times New Roman"/>
          <w:sz w:val="24"/>
          <w:szCs w:val="24"/>
        </w:rPr>
        <w:t xml:space="preserve"> jurisprudências existentes entre 03 de novembro de 2007 e 03 de novembro de 2012, ou seja, no lapso temporal de 5</w:t>
      </w:r>
      <w:r w:rsidR="00E361B9">
        <w:rPr>
          <w:rFonts w:ascii="Times New Roman" w:hAnsi="Times New Roman" w:cs="Times New Roman"/>
          <w:sz w:val="24"/>
          <w:szCs w:val="24"/>
        </w:rPr>
        <w:t xml:space="preserve"> (cinco)</w:t>
      </w:r>
      <w:r>
        <w:rPr>
          <w:rFonts w:ascii="Times New Roman" w:hAnsi="Times New Roman" w:cs="Times New Roman"/>
          <w:sz w:val="24"/>
          <w:szCs w:val="24"/>
        </w:rPr>
        <w:t xml:space="preserve"> anos e foram encontradas apenas duas</w:t>
      </w:r>
      <w:r w:rsidR="005B03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serão analisadas a seguir.</w:t>
      </w:r>
    </w:p>
    <w:p w:rsidR="00B3700A" w:rsidRDefault="00F436D1" w:rsidP="00BA69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Tais jurisprudências foram encontradas</w:t>
      </w:r>
      <w:r w:rsidR="00E361B9">
        <w:rPr>
          <w:rFonts w:ascii="Times New Roman" w:hAnsi="Times New Roman" w:cs="Times New Roman"/>
          <w:sz w:val="24"/>
          <w:szCs w:val="24"/>
        </w:rPr>
        <w:t xml:space="preserve"> com Relator: Todos; Revisor: Todos; Órgão Julgador: Todos; Pesquisa por: Assunto(s), Termos: princípio irretroatividade tributário; Condição: ‘E’. Com o aumento do lapso temporal para 10 (dez) anos foi encontrada mais uma jurisprudência que também será analisada. Aumentando-se ainda mais o lapso temporal por um prazo de 20 anos os resultados obtidos foram os mesmos. </w:t>
      </w:r>
    </w:p>
    <w:p w:rsidR="00B3700A" w:rsidRPr="00B3700A" w:rsidRDefault="00B3700A" w:rsidP="00B370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700A">
        <w:rPr>
          <w:rFonts w:ascii="Times New Roman" w:hAnsi="Times New Roman" w:cs="Times New Roman"/>
          <w:sz w:val="24"/>
          <w:szCs w:val="24"/>
        </w:rPr>
        <w:t>A jurisprudência encontrada no lapso temporal de 10 (dez) anos foi o Mandado de Segurança</w:t>
      </w:r>
      <w:r w:rsidR="00E361B9" w:rsidRPr="00B3700A">
        <w:rPr>
          <w:rFonts w:ascii="Times New Roman" w:hAnsi="Times New Roman" w:cs="Times New Roman"/>
          <w:sz w:val="24"/>
          <w:szCs w:val="24"/>
        </w:rPr>
        <w:t xml:space="preserve"> </w:t>
      </w:r>
      <w:r w:rsidRPr="00B3700A">
        <w:rPr>
          <w:rFonts w:ascii="Times New Roman" w:hAnsi="Times New Roman" w:cs="Times New Roman"/>
          <w:color w:val="000000"/>
          <w:sz w:val="24"/>
          <w:szCs w:val="24"/>
        </w:rPr>
        <w:t xml:space="preserve">nᵒ 11.889/2004, </w:t>
      </w:r>
      <w:r>
        <w:rPr>
          <w:rFonts w:ascii="Times New Roman" w:hAnsi="Times New Roman" w:cs="Times New Roman"/>
          <w:color w:val="000000"/>
          <w:sz w:val="24"/>
          <w:szCs w:val="24"/>
        </w:rPr>
        <w:t>denegado</w:t>
      </w:r>
      <w:r w:rsidRPr="00B3700A">
        <w:rPr>
          <w:rFonts w:ascii="Times New Roman" w:hAnsi="Times New Roman" w:cs="Times New Roman"/>
          <w:color w:val="000000"/>
          <w:sz w:val="24"/>
          <w:szCs w:val="24"/>
        </w:rPr>
        <w:t xml:space="preserve"> em 01 de junho de 2007 (acórdão nᵒ 66.705/2007) </w:t>
      </w:r>
      <w:r w:rsidRPr="00B3700A">
        <w:rPr>
          <w:rFonts w:ascii="Times New Roman" w:hAnsi="Times New Roman" w:cs="Times New Roman"/>
          <w:spacing w:val="16"/>
          <w:sz w:val="24"/>
          <w:szCs w:val="24"/>
          <w:vertAlign w:val="superscript"/>
        </w:rPr>
        <w:t xml:space="preserve">    </w:t>
      </w:r>
      <w:r w:rsidRPr="00B3700A">
        <w:rPr>
          <w:rFonts w:ascii="Times New Roman" w:hAnsi="Times New Roman" w:cs="Times New Roman"/>
          <w:color w:val="000000"/>
          <w:sz w:val="24"/>
          <w:szCs w:val="24"/>
        </w:rPr>
        <w:t xml:space="preserve"> que teve como relatora a desembarcadora Maria das Graças de Castro Duarte Mendes</w:t>
      </w:r>
      <w:r w:rsidR="00044C26">
        <w:rPr>
          <w:rFonts w:ascii="Times New Roman" w:hAnsi="Times New Roman" w:cs="Times New Roman"/>
          <w:color w:val="000000"/>
          <w:sz w:val="24"/>
          <w:szCs w:val="24"/>
        </w:rPr>
        <w:t>. Durante o relatório e o voto da desembarcadora nada foi falado quanto ao princípio da irretroatividade, entretanto, na ementa são citados os princípios da anterioridade e da irretroatividade estabelecendo que os tributos</w:t>
      </w:r>
      <w:r w:rsidR="00AB26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44C26">
        <w:rPr>
          <w:rFonts w:ascii="Times New Roman" w:hAnsi="Times New Roman" w:cs="Times New Roman"/>
          <w:color w:val="000000"/>
          <w:sz w:val="24"/>
          <w:szCs w:val="24"/>
        </w:rPr>
        <w:t xml:space="preserve"> em especial as contribuições previdenciárias</w:t>
      </w:r>
      <w:r w:rsidR="00AB26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44C26">
        <w:rPr>
          <w:rFonts w:ascii="Times New Roman" w:hAnsi="Times New Roman" w:cs="Times New Roman"/>
          <w:color w:val="000000"/>
          <w:sz w:val="24"/>
          <w:szCs w:val="24"/>
        </w:rPr>
        <w:t xml:space="preserve"> só podem ser exigidos em relação a fatos geradores ocorridos após a publicação da EC/41. Eis a ementa:  </w:t>
      </w:r>
      <w:r w:rsidRPr="00B37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700A" w:rsidRDefault="00B3700A" w:rsidP="00BA69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700A" w:rsidRDefault="00B3700A" w:rsidP="00B3700A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69E4">
        <w:rPr>
          <w:rFonts w:ascii="Times New Roman" w:hAnsi="Times New Roman" w:cs="Times New Roman"/>
          <w:color w:val="000000"/>
          <w:sz w:val="20"/>
          <w:szCs w:val="20"/>
        </w:rPr>
        <w:t xml:space="preserve">CONSTITUCIONAL. MANDADO DE SEGURANÇA. TRIBUTÁRIO. CONTRIBUIÇÃO PREVIDENCIÁRIA DE INATIVOS. EMENDA CONSTITUCIONAL N.º 41/2003. DIREITO ADQUIRIDO. INEXISTÊNCIA. I - </w:t>
      </w:r>
      <w:r w:rsidRPr="00BA69E4">
        <w:rPr>
          <w:rFonts w:ascii="Times New Roman" w:hAnsi="Times New Roman" w:cs="Times New Roman"/>
          <w:color w:val="000000"/>
          <w:sz w:val="20"/>
          <w:szCs w:val="20"/>
        </w:rPr>
        <w:lastRenderedPageBreak/>
        <w:t>A taxação de inativos não enseja violação a direito adquirido ou ao princípio da irredutibilidade de vencimentos, uma vez que se cuida de tributos que, na modalidade de contribuição previdenciária, são exigíveis em relação a fatos geradores ocorridos após a data da publicação da EC/41, devendo-se observar os princípios constitucionais da anterioridade e irretroatividade. II - Proferida decisão pelo Supremo Tribunal Federal, em sede de ação direta de inconstitucionalidade, haverá vinculação obrigatória em relação a todos os órgãos do Poder Executivo e do Poder Judiciário, que deverão pautar o exercício de suas funções na interpretação constitucional proferida pela Corte Suprema. III - Mandado de Segurança denegado</w:t>
      </w:r>
      <w:r w:rsidR="00044C2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B0362" w:rsidRPr="00D14AF0" w:rsidRDefault="005B0362" w:rsidP="00D14A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EA1" w:rsidRDefault="005B0362" w:rsidP="00FA73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B0362">
        <w:rPr>
          <w:rFonts w:ascii="Times New Roman" w:hAnsi="Times New Roman" w:cs="Times New Roman"/>
          <w:color w:val="000000"/>
          <w:sz w:val="24"/>
          <w:szCs w:val="24"/>
        </w:rPr>
        <w:t>As outras duas jurisprudências encontradas</w:t>
      </w:r>
      <w:r w:rsidR="00AB2666">
        <w:rPr>
          <w:rFonts w:ascii="Times New Roman" w:hAnsi="Times New Roman" w:cs="Times New Roman"/>
          <w:color w:val="000000"/>
          <w:sz w:val="24"/>
          <w:szCs w:val="24"/>
        </w:rPr>
        <w:t xml:space="preserve"> (no lapso temporal de 5 anos)</w:t>
      </w:r>
      <w:r w:rsidRPr="005B0362">
        <w:rPr>
          <w:rFonts w:ascii="Times New Roman" w:hAnsi="Times New Roman" w:cs="Times New Roman"/>
          <w:color w:val="000000"/>
          <w:sz w:val="24"/>
          <w:szCs w:val="24"/>
        </w:rPr>
        <w:t xml:space="preserve"> trat</w:t>
      </w:r>
      <w:r w:rsidR="007F2252">
        <w:rPr>
          <w:rFonts w:ascii="Times New Roman" w:hAnsi="Times New Roman" w:cs="Times New Roman"/>
          <w:color w:val="000000"/>
          <w:sz w:val="24"/>
          <w:szCs w:val="24"/>
        </w:rPr>
        <w:t xml:space="preserve">am do princípio de maneira mais </w:t>
      </w:r>
      <w:r w:rsidRPr="005B0362">
        <w:rPr>
          <w:rFonts w:ascii="Times New Roman" w:hAnsi="Times New Roman" w:cs="Times New Roman"/>
          <w:color w:val="000000"/>
          <w:sz w:val="24"/>
          <w:szCs w:val="24"/>
        </w:rPr>
        <w:t>ampla</w:t>
      </w:r>
      <w:r w:rsidR="007F2252">
        <w:rPr>
          <w:rFonts w:ascii="Times New Roman" w:hAnsi="Times New Roman" w:cs="Times New Roman"/>
          <w:color w:val="000000"/>
          <w:sz w:val="24"/>
          <w:szCs w:val="24"/>
        </w:rPr>
        <w:t xml:space="preserve"> e concordam entre si. Na verd</w:t>
      </w:r>
      <w:r w:rsidR="00AB2666">
        <w:rPr>
          <w:rFonts w:ascii="Times New Roman" w:hAnsi="Times New Roman" w:cs="Times New Roman"/>
          <w:color w:val="000000"/>
          <w:sz w:val="24"/>
          <w:szCs w:val="24"/>
        </w:rPr>
        <w:t>ade, acabam por se complementar, u</w:t>
      </w:r>
      <w:r w:rsidR="007F2252">
        <w:rPr>
          <w:rFonts w:ascii="Times New Roman" w:hAnsi="Times New Roman" w:cs="Times New Roman"/>
          <w:color w:val="000000"/>
          <w:sz w:val="24"/>
          <w:szCs w:val="24"/>
        </w:rPr>
        <w:t xml:space="preserve">ma trata </w:t>
      </w:r>
      <w:r w:rsidR="007F6D80">
        <w:rPr>
          <w:rFonts w:ascii="Times New Roman" w:hAnsi="Times New Roman" w:cs="Times New Roman"/>
          <w:color w:val="000000"/>
          <w:sz w:val="24"/>
          <w:szCs w:val="24"/>
        </w:rPr>
        <w:t>da relação do princípio da irretroatividade com o princípio da segurança jurídica e a outra relaciona irretroatividade com a legalidade. Como já foi falado no tópico anterior tais princípios tributários se complementam</w:t>
      </w:r>
      <w:r w:rsidR="00FA7355">
        <w:rPr>
          <w:rFonts w:ascii="Times New Roman" w:hAnsi="Times New Roman" w:cs="Times New Roman"/>
          <w:color w:val="000000"/>
          <w:sz w:val="24"/>
          <w:szCs w:val="24"/>
        </w:rPr>
        <w:t xml:space="preserve">, sendo que a </w:t>
      </w:r>
      <w:r w:rsidR="0095229A">
        <w:rPr>
          <w:rFonts w:ascii="Times New Roman" w:hAnsi="Times New Roman" w:cs="Times New Roman"/>
          <w:color w:val="000000"/>
          <w:sz w:val="24"/>
          <w:szCs w:val="24"/>
        </w:rPr>
        <w:t>ide</w:t>
      </w:r>
      <w:r w:rsidR="00FA7355">
        <w:rPr>
          <w:rFonts w:ascii="Times New Roman" w:hAnsi="Times New Roman" w:cs="Times New Roman"/>
          <w:color w:val="000000"/>
          <w:sz w:val="24"/>
          <w:szCs w:val="24"/>
        </w:rPr>
        <w:t xml:space="preserve">ia de irretroatividade sempre vai estar ligada a </w:t>
      </w:r>
      <w:r w:rsidR="0095229A">
        <w:rPr>
          <w:rFonts w:ascii="Times New Roman" w:hAnsi="Times New Roman" w:cs="Times New Roman"/>
          <w:color w:val="000000"/>
          <w:sz w:val="24"/>
          <w:szCs w:val="24"/>
        </w:rPr>
        <w:t>ide</w:t>
      </w:r>
      <w:r w:rsidR="00FA7355">
        <w:rPr>
          <w:rFonts w:ascii="Times New Roman" w:hAnsi="Times New Roman" w:cs="Times New Roman"/>
          <w:color w:val="000000"/>
          <w:sz w:val="24"/>
          <w:szCs w:val="24"/>
        </w:rPr>
        <w:t>ia de legalidade, segurança jurídica ou anterioridade.</w:t>
      </w:r>
      <w:r w:rsidR="007F6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25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A7355" w:rsidRPr="00D14AF0" w:rsidRDefault="00FA7355" w:rsidP="00D14A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AF0" w:rsidRDefault="001E607E" w:rsidP="00D14AF0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43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CONSTITUCIONAL. AÇÃO DIRETA DE INCONSTITUCIONALIDADE. DIREITO TRIBUTÁRIO. SUBSTITUIÇÃO TRIBUTÁRIA. SUJEIÇÃO AOS PRINCÍPIOS DA IRRETROATIVIDADE E SEGURANÇA JURÍDICA. I - A definição de nova hipótese de ocorrência de substituição tributária de forma retroativa ofende o princípio da irretroatividade e da segurança jurídica. II - O controle repressivo de constitucionalidade das leis é competência do Poder Judiciário, onde deve o mesmo funcionar como legislador negativo, sem instituir norma diversa da produzida pelo Legislativo, retirando do texto apenas a expressão inconstitucional. III - Ação Direta de Inconstitucionalidade procedente</w:t>
      </w:r>
      <w:r w:rsidR="00C3282D" w:rsidRPr="0029434E">
        <w:rPr>
          <w:rFonts w:ascii="Times New Roman" w:hAnsi="Times New Roman" w:cs="Times New Roman"/>
          <w:sz w:val="20"/>
          <w:szCs w:val="20"/>
        </w:rPr>
        <w:t xml:space="preserve"> </w:t>
      </w:r>
      <w:r w:rsidR="0029434E">
        <w:rPr>
          <w:rFonts w:ascii="Times New Roman" w:hAnsi="Times New Roman" w:cs="Times New Roman"/>
          <w:sz w:val="20"/>
          <w:szCs w:val="20"/>
        </w:rPr>
        <w:t>(</w:t>
      </w:r>
      <w:r w:rsidR="0029434E">
        <w:rPr>
          <w:rFonts w:ascii="Times New Roman" w:hAnsi="Times New Roman" w:cs="Times New Roman"/>
          <w:color w:val="000000"/>
          <w:sz w:val="20"/>
          <w:szCs w:val="20"/>
        </w:rPr>
        <w:t xml:space="preserve">ADIn </w:t>
      </w:r>
      <w:r w:rsidR="0029434E" w:rsidRPr="00BA69E4">
        <w:rPr>
          <w:rFonts w:ascii="Times New Roman" w:hAnsi="Times New Roman" w:cs="Times New Roman"/>
          <w:color w:val="000000"/>
          <w:sz w:val="20"/>
          <w:szCs w:val="20"/>
        </w:rPr>
        <w:t xml:space="preserve">nᵒ </w:t>
      </w:r>
      <w:r w:rsidR="0029434E">
        <w:rPr>
          <w:rFonts w:ascii="Times New Roman" w:hAnsi="Times New Roman" w:cs="Times New Roman"/>
          <w:color w:val="000000"/>
          <w:sz w:val="20"/>
          <w:szCs w:val="20"/>
        </w:rPr>
        <w:t>13.766</w:t>
      </w:r>
      <w:r w:rsidR="0029434E" w:rsidRPr="00BA69E4">
        <w:rPr>
          <w:rFonts w:ascii="Times New Roman" w:hAnsi="Times New Roman" w:cs="Times New Roman"/>
          <w:color w:val="000000"/>
          <w:sz w:val="20"/>
          <w:szCs w:val="20"/>
        </w:rPr>
        <w:t>/200</w:t>
      </w:r>
      <w:r w:rsidR="0029434E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29434E" w:rsidRPr="00BA69E4">
        <w:rPr>
          <w:rFonts w:ascii="Times New Roman" w:hAnsi="Times New Roman" w:cs="Times New Roman"/>
          <w:color w:val="000000"/>
          <w:sz w:val="20"/>
          <w:szCs w:val="20"/>
        </w:rPr>
        <w:t>, Rel. Des</w:t>
      </w:r>
      <w:r w:rsidR="0029434E">
        <w:rPr>
          <w:rFonts w:ascii="Times New Roman" w:hAnsi="Times New Roman" w:cs="Times New Roman"/>
          <w:color w:val="000000"/>
          <w:sz w:val="20"/>
          <w:szCs w:val="20"/>
        </w:rPr>
        <w:t>. Jorge Rachid Mubárack Maluf</w:t>
      </w:r>
      <w:r w:rsidR="0029434E" w:rsidRPr="00BA69E4">
        <w:rPr>
          <w:rFonts w:ascii="Times New Roman" w:hAnsi="Times New Roman" w:cs="Times New Roman"/>
          <w:color w:val="000000"/>
          <w:sz w:val="20"/>
          <w:szCs w:val="20"/>
        </w:rPr>
        <w:t xml:space="preserve">, acórdão nᵒ </w:t>
      </w:r>
      <w:r w:rsidR="0029434E">
        <w:rPr>
          <w:rFonts w:ascii="Times New Roman" w:hAnsi="Times New Roman" w:cs="Times New Roman"/>
          <w:color w:val="000000"/>
          <w:sz w:val="20"/>
          <w:szCs w:val="20"/>
        </w:rPr>
        <w:t>77.364</w:t>
      </w:r>
      <w:r w:rsidR="0029434E" w:rsidRPr="00BA69E4">
        <w:rPr>
          <w:rFonts w:ascii="Times New Roman" w:hAnsi="Times New Roman" w:cs="Times New Roman"/>
          <w:color w:val="000000"/>
          <w:sz w:val="20"/>
          <w:szCs w:val="20"/>
        </w:rPr>
        <w:t>/200</w:t>
      </w:r>
      <w:r w:rsidR="0029434E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29434E" w:rsidRPr="00BA69E4">
        <w:rPr>
          <w:rFonts w:ascii="Times New Roman" w:hAnsi="Times New Roman" w:cs="Times New Roman"/>
          <w:color w:val="000000"/>
          <w:sz w:val="20"/>
          <w:szCs w:val="20"/>
        </w:rPr>
        <w:t xml:space="preserve">, julgado em </w:t>
      </w:r>
      <w:r w:rsidR="0029434E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="0029434E" w:rsidRPr="00BA69E4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r w:rsidR="0029434E">
        <w:rPr>
          <w:rFonts w:ascii="Times New Roman" w:hAnsi="Times New Roman" w:cs="Times New Roman"/>
          <w:color w:val="000000"/>
          <w:sz w:val="20"/>
          <w:szCs w:val="20"/>
        </w:rPr>
        <w:t>novembro</w:t>
      </w:r>
      <w:r w:rsidR="0029434E" w:rsidRPr="00BA69E4">
        <w:rPr>
          <w:rFonts w:ascii="Times New Roman" w:hAnsi="Times New Roman" w:cs="Times New Roman"/>
          <w:color w:val="000000"/>
          <w:sz w:val="20"/>
          <w:szCs w:val="20"/>
        </w:rPr>
        <w:t xml:space="preserve"> de 200</w:t>
      </w:r>
      <w:r w:rsidR="0029434E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29434E" w:rsidRPr="00BA69E4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D14AF0" w:rsidRDefault="00D14AF0" w:rsidP="00D14AF0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67F66" w:rsidRPr="00D14AF0" w:rsidRDefault="0029434E" w:rsidP="00D14AF0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69E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A69E4">
        <w:rPr>
          <w:rFonts w:ascii="Times New Roman" w:hAnsi="Times New Roman" w:cs="Times New Roman"/>
          <w:spacing w:val="16"/>
          <w:sz w:val="20"/>
          <w:szCs w:val="20"/>
          <w:vertAlign w:val="superscript"/>
        </w:rPr>
        <w:t xml:space="preserve">  </w:t>
      </w:r>
    </w:p>
    <w:tbl>
      <w:tblPr>
        <w:tblW w:w="5035" w:type="pct"/>
        <w:tblInd w:w="-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7"/>
        <w:gridCol w:w="4567"/>
      </w:tblGrid>
      <w:tr w:rsidR="009A5CFC" w:rsidTr="0029434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963B8" w:rsidRDefault="009A5CFC" w:rsidP="00D14AF0">
            <w:pPr>
              <w:spacing w:after="0" w:line="240" w:lineRule="auto"/>
              <w:ind w:left="23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APELAÇÃO CÍVEL. TRIBUTÁRIO. IMPOSTO SOBRE SERVIÇOS DE QUALQUER NATUERZA. SERVIÇOS CARTORÁRIOS. INCIDÊNCIA ANTES DA EDIÇÃO DA LEI COMPLEMENTAR Nº. 116/2003. IMPOSSIBILIDADE. VIOLAÇÃO AOS PRINCÍPIOS DA IRRETROATIVIDADE E LEGALIDADE TRIBUTÁRIA. TITULAR DA SERVENTIA. LEGITIMDADE ATIVA AD CAUSAM. I - A incidência do Imposto sobre Serviços de Qualquer Natureza nas atividades cartorárias apenas tornou-se legítima com a edição da Lei Complementar nº. 116/2003, possuindo efeitos prospectivos, sob pena de violação aos princípios da legalidade e irretroatividade tributária previstos respectivamente no art. 150, inciso I e III, a', da Constituição Federal. II - A serventia não possui personalidade jurídica, sendo o titular do cartório o verdadeiro possuidor de legitimidade ativa ad causam nas demandas judiciais.</w:t>
            </w:r>
            <w:r w:rsidR="008F0AF6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III - </w:t>
            </w:r>
            <w:r w:rsidR="00294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Apelação conhecida e desprovida</w:t>
            </w:r>
            <w:r w:rsidR="00BA69E4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Apelação Cível</w:t>
            </w:r>
            <w:r w:rsidR="00BA69E4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nᵒ </w:t>
            </w:r>
            <w:r w:rsidR="00294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029211</w:t>
            </w:r>
            <w:r w:rsidR="00BA69E4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/200</w:t>
            </w:r>
            <w:r w:rsidR="00294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A69E4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294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Coroatá</w:t>
            </w:r>
            <w:r w:rsidR="00BA69E4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Rel. Des</w:t>
            </w:r>
            <w:r w:rsidR="00294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Jaime Ferreira de Araujo</w:t>
            </w:r>
            <w:r w:rsidR="00BA69E4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acórdão nᵒ </w:t>
            </w:r>
            <w:r w:rsidR="00294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85.398</w:t>
            </w:r>
            <w:r w:rsidR="00BA69E4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/200</w:t>
            </w:r>
            <w:r w:rsidR="00294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A69E4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julgado em </w:t>
            </w:r>
            <w:r w:rsidR="00294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BA69E4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r w:rsidR="00294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setembro</w:t>
            </w:r>
            <w:r w:rsidR="00BA69E4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200</w:t>
            </w:r>
            <w:r w:rsidR="00294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A69E4" w:rsidRPr="00BA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  <w:p w:rsidR="009A5CFC" w:rsidRPr="00D14AF0" w:rsidRDefault="009A5CFC" w:rsidP="00D14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AE" w:rsidRPr="00FE7D63" w:rsidRDefault="00FA7355" w:rsidP="00FE7D63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63">
              <w:rPr>
                <w:rFonts w:ascii="Times New Roman" w:hAnsi="Times New Roman" w:cs="Times New Roman"/>
                <w:sz w:val="24"/>
                <w:szCs w:val="24"/>
              </w:rPr>
              <w:t>A primeira jurisprudência</w:t>
            </w:r>
            <w:r w:rsidR="007B7864" w:rsidRPr="00FE7D63">
              <w:rPr>
                <w:rFonts w:ascii="Times New Roman" w:hAnsi="Times New Roman" w:cs="Times New Roman"/>
                <w:sz w:val="24"/>
                <w:szCs w:val="24"/>
              </w:rPr>
              <w:t xml:space="preserve"> é uma Ação Direta de Inconstitucionalidade que tinha o objetivo de declarar inconstitucional a parte final do artigo 3ᵒ da Lei Estadual nᵒ 8.276, de 06 de junho de 2005, a expressão “retroagindo seus efeitos a 1ᵒ de março de 2005”. O relator </w:t>
            </w:r>
            <w:r w:rsidR="007B7864" w:rsidRPr="00FE7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Jorge Rachid Mubárack Maluf</w:t>
            </w:r>
            <w:r w:rsidR="007B7864" w:rsidRPr="00FE7D63">
              <w:rPr>
                <w:rFonts w:ascii="Times New Roman" w:hAnsi="Times New Roman" w:cs="Times New Roman"/>
                <w:sz w:val="24"/>
                <w:szCs w:val="24"/>
              </w:rPr>
              <w:t xml:space="preserve"> julgou procedente a ADIn por considerar “que a aplicação dos efeitos da mencionada lei de forma retroativa ofende os princípios da irretroatividade e da segurança jurídica”.</w:t>
            </w:r>
            <w:r w:rsidR="00D64AAE" w:rsidRPr="00FE7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AAE" w:rsidRPr="00C91BA7" w:rsidRDefault="00D64AAE" w:rsidP="00FE7D63">
            <w:pPr>
              <w:spacing w:after="0" w:line="36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A7">
              <w:rPr>
                <w:rFonts w:ascii="Times New Roman" w:hAnsi="Times New Roman" w:cs="Times New Roman"/>
                <w:sz w:val="24"/>
                <w:szCs w:val="24"/>
              </w:rPr>
              <w:t xml:space="preserve">Durante seu voto o relator ressaltou </w:t>
            </w:r>
            <w:r w:rsidR="00C91BA7" w:rsidRPr="00C91BA7">
              <w:rPr>
                <w:rFonts w:ascii="Times New Roman" w:hAnsi="Times New Roman" w:cs="Times New Roman"/>
                <w:sz w:val="24"/>
                <w:szCs w:val="24"/>
              </w:rPr>
              <w:t>o entendimento</w:t>
            </w:r>
            <w:r w:rsidRPr="00C91BA7">
              <w:rPr>
                <w:rFonts w:ascii="Times New Roman" w:hAnsi="Times New Roman" w:cs="Times New Roman"/>
                <w:sz w:val="24"/>
                <w:szCs w:val="24"/>
              </w:rPr>
              <w:t xml:space="preserve"> do Supremo Tribunal Federal </w:t>
            </w:r>
            <w:r w:rsidR="00C91BA7" w:rsidRPr="00C91BA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1BA7">
              <w:rPr>
                <w:rFonts w:ascii="Times New Roman" w:hAnsi="Times New Roman" w:cs="Times New Roman"/>
                <w:sz w:val="24"/>
                <w:szCs w:val="24"/>
              </w:rPr>
              <w:t>o Recurso Extraordinário</w:t>
            </w:r>
            <w:r w:rsidR="00C91BA7" w:rsidRPr="00C91BA7">
              <w:rPr>
                <w:rFonts w:ascii="Times New Roman" w:hAnsi="Times New Roman" w:cs="Times New Roman"/>
                <w:sz w:val="24"/>
                <w:szCs w:val="24"/>
              </w:rPr>
              <w:t xml:space="preserve"> nᵒ</w:t>
            </w:r>
            <w:r w:rsidRPr="00C9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266.602-5/</w:t>
            </w:r>
            <w:r w:rsidRPr="00C91BA7">
              <w:rPr>
                <w:rFonts w:ascii="Times New Roman" w:hAnsi="Times New Roman" w:cs="Times New Roman"/>
                <w:sz w:val="24"/>
                <w:szCs w:val="24"/>
              </w:rPr>
              <w:t>MG, de</w:t>
            </w:r>
            <w:r w:rsidRPr="00C9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relatoria da Min. </w:t>
            </w:r>
            <w:r w:rsidRPr="00C91BA7">
              <w:rPr>
                <w:rFonts w:ascii="Times New Roman" w:hAnsi="Times New Roman" w:cs="Times New Roman"/>
                <w:sz w:val="24"/>
                <w:szCs w:val="24"/>
              </w:rPr>
              <w:t>Ellen Gracie –</w:t>
            </w:r>
            <w:r w:rsidRPr="00C9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DJE 02.02.2007</w:t>
            </w:r>
            <w:r w:rsidRPr="00C91BA7">
              <w:rPr>
                <w:rFonts w:ascii="Times New Roman" w:hAnsi="Times New Roman" w:cs="Times New Roman"/>
                <w:sz w:val="24"/>
                <w:szCs w:val="24"/>
              </w:rPr>
              <w:t xml:space="preserve">, que </w:t>
            </w:r>
            <w:r w:rsidR="00C91BA7" w:rsidRPr="00C91BA7">
              <w:rPr>
                <w:rFonts w:ascii="Times New Roman" w:hAnsi="Times New Roman" w:cs="Times New Roman"/>
                <w:sz w:val="24"/>
                <w:szCs w:val="24"/>
              </w:rPr>
              <w:t>se manifestou pela ocorrência de ofensa</w:t>
            </w:r>
            <w:r w:rsidRPr="00C9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princípio da irretroatividade na aplicação de substituição tributária através de lei com efeitos retroativos</w:t>
            </w:r>
            <w:r w:rsidR="00C91BA7" w:rsidRPr="00C91BA7">
              <w:rPr>
                <w:rFonts w:ascii="Times New Roman" w:hAnsi="Times New Roman" w:cs="Times New Roman"/>
                <w:sz w:val="24"/>
                <w:szCs w:val="24"/>
              </w:rPr>
              <w:t>. Nos dizeres da ministra:</w:t>
            </w:r>
            <w:r w:rsidRPr="00C9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1BA7" w:rsidRPr="00D14AF0" w:rsidRDefault="00C91BA7" w:rsidP="00D14AF0">
            <w:pPr>
              <w:spacing w:after="0" w:line="240" w:lineRule="auto"/>
              <w:ind w:firstLine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4AAE" w:rsidRPr="00C91BA7" w:rsidRDefault="00C91BA7" w:rsidP="00D14AF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BA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64AAE" w:rsidRPr="00C91B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princípio da irretroatividade, inscrito na constituição de 1988, proíbe a imposição tributária retroativa a fio de preservar fatos geradores já realizados contra gravames legislativos supervenientes. A norma tem por escopo a segurança jurídica e a previsibilidade, evitando que a parte contribuinte seja surpreendida pelo advento de regra estabelecida após o nascimento da obrigação tributária.</w:t>
            </w:r>
          </w:p>
          <w:p w:rsidR="00C91BA7" w:rsidRPr="00D14AF0" w:rsidRDefault="00C91BA7" w:rsidP="00D14AF0">
            <w:pPr>
              <w:spacing w:after="0" w:line="360" w:lineRule="auto"/>
              <w:ind w:left="226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B2F02" w:rsidRDefault="00C91BA7" w:rsidP="00D14AF0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6">
              <w:rPr>
                <w:rFonts w:ascii="Times New Roman" w:hAnsi="Times New Roman" w:cs="Times New Roman"/>
                <w:sz w:val="24"/>
                <w:szCs w:val="24"/>
              </w:rPr>
              <w:t>A segunda jurisprudência</w:t>
            </w:r>
            <w:r w:rsidR="005B7716" w:rsidRPr="005B7716">
              <w:rPr>
                <w:rFonts w:ascii="Times New Roman" w:hAnsi="Times New Roman" w:cs="Times New Roman"/>
                <w:sz w:val="24"/>
                <w:szCs w:val="24"/>
              </w:rPr>
              <w:t xml:space="preserve"> não difere muito da primeira e trata de uma apelação que foi desprovida</w:t>
            </w:r>
            <w:r w:rsidR="005B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716" w:rsidRPr="005B7716">
              <w:rPr>
                <w:rFonts w:ascii="Times New Roman" w:hAnsi="Times New Roman" w:cs="Times New Roman"/>
                <w:sz w:val="24"/>
                <w:szCs w:val="24"/>
              </w:rPr>
              <w:t xml:space="preserve">já que reconhecida a </w:t>
            </w:r>
            <w:r w:rsidR="005B7716" w:rsidRPr="005B7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ilegitimidade de cobrança do Imposto sobre </w:t>
            </w:r>
            <w:r w:rsidR="005B7716" w:rsidRPr="005B7716">
              <w:rPr>
                <w:rFonts w:ascii="Times New Roman" w:hAnsi="Times New Roman" w:cs="Times New Roman"/>
                <w:sz w:val="24"/>
                <w:szCs w:val="24"/>
              </w:rPr>
              <w:t>Serviços de Qualquer Natureza (</w:t>
            </w:r>
            <w:r w:rsidR="005B7716" w:rsidRPr="005B7716">
              <w:rPr>
                <w:rFonts w:ascii="Times New Roman" w:eastAsia="Calibri" w:hAnsi="Times New Roman" w:cs="Times New Roman"/>
                <w:sz w:val="24"/>
                <w:szCs w:val="24"/>
              </w:rPr>
              <w:t>ISSQN</w:t>
            </w:r>
            <w:r w:rsidR="005B7716" w:rsidRPr="005B77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B7716" w:rsidRPr="005B7716">
              <w:rPr>
                <w:rFonts w:ascii="Times New Roman" w:eastAsia="Calibri" w:hAnsi="Times New Roman" w:cs="Times New Roman"/>
                <w:sz w:val="24"/>
                <w:szCs w:val="24"/>
              </w:rPr>
              <w:t>sobre as atividades cartorárias antes da edição da Lei Complementar 116/2003.</w:t>
            </w:r>
            <w:r w:rsidR="005B7716">
              <w:rPr>
                <w:rFonts w:ascii="Times New Roman" w:hAnsi="Times New Roman" w:cs="Times New Roman"/>
                <w:sz w:val="24"/>
                <w:szCs w:val="24"/>
              </w:rPr>
              <w:t xml:space="preserve"> Durante o voto, o </w:t>
            </w:r>
            <w:r w:rsidR="005B7716" w:rsidRPr="005B7716">
              <w:rPr>
                <w:rFonts w:ascii="Times New Roman" w:hAnsi="Times New Roman" w:cs="Times New Roman"/>
                <w:sz w:val="24"/>
                <w:szCs w:val="24"/>
              </w:rPr>
              <w:t>relator</w:t>
            </w:r>
            <w:r w:rsidR="005B7716" w:rsidRPr="005B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Jaime Ferreira de Araujo</w:t>
            </w:r>
            <w:r w:rsidR="005B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concluiu </w:t>
            </w:r>
            <w:r w:rsidR="005B7716" w:rsidRPr="005B7716">
              <w:rPr>
                <w:rFonts w:ascii="Times New Roman" w:eastAsia="Calibri" w:hAnsi="Times New Roman" w:cs="Times New Roman"/>
                <w:sz w:val="24"/>
                <w:szCs w:val="24"/>
              </w:rPr>
              <w:t>que a tr</w:t>
            </w:r>
            <w:r w:rsidR="00CB2F02">
              <w:rPr>
                <w:rFonts w:ascii="Times New Roman" w:hAnsi="Times New Roman" w:cs="Times New Roman"/>
                <w:sz w:val="24"/>
                <w:szCs w:val="24"/>
              </w:rPr>
              <w:t>ibutação dos serviços cartorários só</w:t>
            </w:r>
            <w:r w:rsidR="005B7716" w:rsidRPr="005B7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tornou-se possível com a edição da LC nº. 116/2003</w:t>
            </w:r>
            <w:r w:rsidR="00CB2F02">
              <w:rPr>
                <w:rFonts w:ascii="Times New Roman" w:hAnsi="Times New Roman" w:cs="Times New Roman"/>
                <w:sz w:val="24"/>
                <w:szCs w:val="24"/>
              </w:rPr>
              <w:t xml:space="preserve"> e ainda destacou que </w:t>
            </w:r>
          </w:p>
          <w:p w:rsidR="00D14AF0" w:rsidRDefault="00D14AF0" w:rsidP="00D14AF0">
            <w:pPr>
              <w:spacing w:after="0" w:line="24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F0" w:rsidRDefault="00CB2F02" w:rsidP="00D14AF0">
            <w:pPr>
              <w:spacing w:after="0" w:line="240" w:lineRule="auto"/>
              <w:ind w:left="23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F0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5B7716" w:rsidRPr="00CB2F02">
              <w:rPr>
                <w:rFonts w:ascii="Times New Roman" w:eastAsia="Calibri" w:hAnsi="Times New Roman" w:cs="Times New Roman"/>
                <w:sz w:val="20"/>
                <w:szCs w:val="20"/>
              </w:rPr>
              <w:t>utra conclus</w:t>
            </w:r>
            <w:r w:rsidRPr="00CB2F02">
              <w:rPr>
                <w:rFonts w:ascii="Times New Roman" w:hAnsi="Times New Roman" w:cs="Times New Roman"/>
                <w:sz w:val="20"/>
                <w:szCs w:val="20"/>
              </w:rPr>
              <w:t>ão não se poderia chegar, sobretudo</w:t>
            </w:r>
            <w:r w:rsidR="005B7716" w:rsidRPr="00CB2F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porque os princípios da legalidade e irretroatividade tributária vedam, respectivamente, a exigência de tributo sem lei que a estabeleça, bem como a cobrança de tributo em relação a fatos geradores ocorridos antes do início da vigência da lei que os houver instituído ou majorado, nos termos</w:t>
            </w:r>
            <w:r w:rsidRPr="00CB2F02">
              <w:rPr>
                <w:rFonts w:ascii="Times New Roman" w:hAnsi="Times New Roman" w:cs="Times New Roman"/>
                <w:sz w:val="20"/>
                <w:szCs w:val="20"/>
              </w:rPr>
              <w:t xml:space="preserve"> do art. 150, inciso I e III, a</w:t>
            </w:r>
            <w:r w:rsidR="005B7716" w:rsidRPr="00CB2F02">
              <w:rPr>
                <w:rFonts w:ascii="Times New Roman" w:eastAsia="Calibri" w:hAnsi="Times New Roman" w:cs="Times New Roman"/>
                <w:sz w:val="20"/>
                <w:szCs w:val="20"/>
              </w:rPr>
              <w:t>, da Constituição Federal de 1988.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716" w:rsidRPr="00CB2F02">
              <w:rPr>
                <w:rFonts w:ascii="Times New Roman" w:eastAsia="Calibri" w:hAnsi="Times New Roman" w:cs="Times New Roman"/>
                <w:sz w:val="20"/>
                <w:szCs w:val="20"/>
              </w:rPr>
              <w:t>Referidos princípios representam garantias aos contribuintes, sendo de observância obrigatória dos entes tributantes, não apenas quando da instituição do imposto, mas também quando da fiscalização tributária.</w:t>
            </w:r>
          </w:p>
          <w:p w:rsidR="00D14AF0" w:rsidRPr="00D14AF0" w:rsidRDefault="00D14AF0" w:rsidP="00D14A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71F" w:rsidRDefault="00BE7387" w:rsidP="00A0271F">
            <w:pPr>
              <w:spacing w:line="360" w:lineRule="auto"/>
              <w:ind w:left="63" w:firstLine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D63">
              <w:rPr>
                <w:rFonts w:ascii="Times New Roman" w:eastAsia="Calibri" w:hAnsi="Times New Roman" w:cs="Times New Roman"/>
                <w:sz w:val="24"/>
                <w:szCs w:val="24"/>
              </w:rPr>
              <w:t>Com a análise destas jurisprudências foi possível concluir que apesar de o entendimento do</w:t>
            </w:r>
            <w:r w:rsidR="00FE7D63" w:rsidRPr="00FE7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Tribunal de Justiça</w:t>
            </w:r>
            <w:r w:rsidR="00FE7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Maranhão não ser divergente, poucas são as jurisprudências que tratam do princípio tributário de irretroatividade. Em síntese, o entendimento do Tribunal é de que devem ser observados os limites constitucionais ao poder de tributar, exteriorizados nos princípios da irretroatividade, legalidade, segurança jurídica e anterioridade tributária. </w:t>
            </w:r>
          </w:p>
          <w:p w:rsidR="00A0271F" w:rsidRDefault="008963B8" w:rsidP="00A0271F">
            <w:pPr>
              <w:spacing w:after="0" w:line="360" w:lineRule="auto"/>
              <w:ind w:lef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3B8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CONCLUSÃO</w:t>
            </w:r>
          </w:p>
          <w:p w:rsidR="00C85750" w:rsidRPr="00A0271F" w:rsidRDefault="00C85750" w:rsidP="00A0271F">
            <w:pPr>
              <w:spacing w:after="0" w:line="360" w:lineRule="auto"/>
              <w:ind w:left="62" w:firstLine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D63">
              <w:rPr>
                <w:rFonts w:ascii="Times New Roman" w:hAnsi="Times New Roman" w:cs="Times New Roman"/>
                <w:sz w:val="24"/>
                <w:szCs w:val="24"/>
              </w:rPr>
              <w:t>É através do seu poder de tributar que o Estado promove as necessidades públicas</w:t>
            </w:r>
            <w:r w:rsidR="00913F08" w:rsidRPr="00FE7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3F08" w:rsidRPr="00FE7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Através da cobrança de tributos </w:t>
            </w:r>
            <w:r w:rsidRPr="00FE7D6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94F3E">
              <w:rPr>
                <w:rFonts w:ascii="Times New Roman" w:hAnsi="Times New Roman" w:cs="Times New Roman"/>
                <w:sz w:val="24"/>
                <w:szCs w:val="24"/>
              </w:rPr>
              <w:t xml:space="preserve"> Estado consegue garantir </w:t>
            </w:r>
            <w:r w:rsidRPr="00FE7D63">
              <w:rPr>
                <w:rFonts w:ascii="Times New Roman" w:hAnsi="Times New Roman" w:cs="Times New Roman"/>
                <w:sz w:val="24"/>
                <w:szCs w:val="24"/>
              </w:rPr>
              <w:t>as nossas necessidades dentre elas</w:t>
            </w:r>
            <w:r w:rsidR="00913F08" w:rsidRPr="00FE7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F3E" w:rsidRPr="00994F3E">
              <w:rPr>
                <w:rFonts w:ascii="Times New Roman" w:hAnsi="Times New Roman" w:cs="Times New Roman"/>
                <w:sz w:val="24"/>
                <w:szCs w:val="24"/>
              </w:rPr>
              <w:t>saúde, educação, segurança e lazer.</w:t>
            </w:r>
            <w:r w:rsidR="00994F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13F08" w:rsidRPr="00FE7D63">
              <w:rPr>
                <w:rFonts w:ascii="Times New Roman" w:hAnsi="Times New Roman" w:cs="Times New Roman"/>
                <w:sz w:val="24"/>
                <w:szCs w:val="24"/>
              </w:rPr>
              <w:t>Entretanto, tal poder assim como todos os outros poderes do Estado não é absoluto, sendo limitado por dispositivos constitucionais e até infraconstitucionais, como leis complementares, resoluções, etc.</w:t>
            </w:r>
          </w:p>
          <w:p w:rsidR="00BE7387" w:rsidRPr="00FE7D63" w:rsidRDefault="00913F08" w:rsidP="00FE7D63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63">
              <w:rPr>
                <w:rFonts w:ascii="Times New Roman" w:hAnsi="Times New Roman" w:cs="Times New Roman"/>
                <w:sz w:val="24"/>
                <w:szCs w:val="24"/>
              </w:rPr>
              <w:t xml:space="preserve">Tais limitações são </w:t>
            </w:r>
            <w:r w:rsidR="00BE7387" w:rsidRPr="00FE7D63">
              <w:rPr>
                <w:rFonts w:ascii="Times New Roman" w:hAnsi="Times New Roman" w:cs="Times New Roman"/>
                <w:sz w:val="24"/>
                <w:szCs w:val="24"/>
              </w:rPr>
              <w:t>encontradas</w:t>
            </w:r>
            <w:r w:rsidRPr="00FE7D63">
              <w:rPr>
                <w:rFonts w:ascii="Times New Roman" w:hAnsi="Times New Roman" w:cs="Times New Roman"/>
                <w:sz w:val="24"/>
                <w:szCs w:val="24"/>
              </w:rPr>
              <w:t xml:space="preserve"> principalmente no texto constitucional</w:t>
            </w:r>
            <w:r w:rsidR="00BE7387" w:rsidRPr="00FE7D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D63">
              <w:rPr>
                <w:rFonts w:ascii="Times New Roman" w:hAnsi="Times New Roman" w:cs="Times New Roman"/>
                <w:sz w:val="24"/>
                <w:szCs w:val="24"/>
              </w:rPr>
              <w:t xml:space="preserve"> mais especificamente nos artigos 150 a 152</w:t>
            </w:r>
            <w:r w:rsidR="00BE7387" w:rsidRPr="00FE7D63">
              <w:rPr>
                <w:rFonts w:ascii="Times New Roman" w:hAnsi="Times New Roman" w:cs="Times New Roman"/>
                <w:sz w:val="24"/>
                <w:szCs w:val="24"/>
              </w:rPr>
              <w:t xml:space="preserve"> e são exteriorizadas pelos princípios constitucionais tributários, pelas imunidades tributárias e pelas proibições de privilégio e de discriminação fiscal. Dentre estas limitações </w:t>
            </w:r>
            <w:r w:rsidR="00994F3E">
              <w:rPr>
                <w:rFonts w:ascii="Times New Roman" w:hAnsi="Times New Roman" w:cs="Times New Roman"/>
                <w:sz w:val="24"/>
                <w:szCs w:val="24"/>
              </w:rPr>
              <w:t xml:space="preserve">foram tratados com maior ênfase os princípios tributários, em especial, o princípio da irretroatividade que é </w:t>
            </w:r>
            <w:r w:rsidR="00BE7387" w:rsidRPr="00FE7D63">
              <w:rPr>
                <w:rFonts w:ascii="Times New Roman" w:hAnsi="Times New Roman" w:cs="Times New Roman"/>
                <w:sz w:val="24"/>
                <w:szCs w:val="24"/>
              </w:rPr>
              <w:t>o ob</w:t>
            </w:r>
            <w:r w:rsidR="00994F3E">
              <w:rPr>
                <w:rFonts w:ascii="Times New Roman" w:hAnsi="Times New Roman" w:cs="Times New Roman"/>
                <w:sz w:val="24"/>
                <w:szCs w:val="24"/>
              </w:rPr>
              <w:t>jeto de análise deste artigo</w:t>
            </w:r>
            <w:r w:rsidR="00BE7387" w:rsidRPr="00FE7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653" w:rsidRDefault="00BE7387" w:rsidP="00FE7D63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63">
              <w:rPr>
                <w:rFonts w:ascii="Times New Roman" w:hAnsi="Times New Roman" w:cs="Times New Roman"/>
                <w:sz w:val="24"/>
                <w:szCs w:val="24"/>
              </w:rPr>
              <w:t>O princípio da irretroatividade tributária está</w:t>
            </w:r>
            <w:r w:rsidR="00FE7D63">
              <w:rPr>
                <w:rFonts w:ascii="Times New Roman" w:hAnsi="Times New Roman" w:cs="Times New Roman"/>
                <w:sz w:val="24"/>
                <w:szCs w:val="24"/>
              </w:rPr>
              <w:t xml:space="preserve"> previsto na Carta Magna </w:t>
            </w:r>
            <w:r w:rsidR="00515653">
              <w:rPr>
                <w:rFonts w:ascii="Times New Roman" w:hAnsi="Times New Roman" w:cs="Times New Roman"/>
                <w:sz w:val="24"/>
                <w:szCs w:val="24"/>
              </w:rPr>
              <w:t>em seus artigos 150, III</w:t>
            </w:r>
            <w:r w:rsidR="00067444">
              <w:rPr>
                <w:rFonts w:ascii="Times New Roman" w:hAnsi="Times New Roman" w:cs="Times New Roman"/>
                <w:sz w:val="24"/>
                <w:szCs w:val="24"/>
              </w:rPr>
              <w:t xml:space="preserve">, alínea a </w:t>
            </w:r>
            <w:r w:rsidR="0051565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FE7D63">
              <w:rPr>
                <w:rFonts w:ascii="Times New Roman" w:hAnsi="Times New Roman" w:cs="Times New Roman"/>
                <w:sz w:val="24"/>
                <w:szCs w:val="24"/>
              </w:rPr>
              <w:t>5ᵒ, XXXVI</w:t>
            </w:r>
            <w:r w:rsidR="00515653">
              <w:rPr>
                <w:rFonts w:ascii="Times New Roman" w:hAnsi="Times New Roman" w:cs="Times New Roman"/>
                <w:sz w:val="24"/>
                <w:szCs w:val="24"/>
              </w:rPr>
              <w:t>. De acordo com este princípio um tributo não pode ser criado nem aumentado para alcançar fatos ocorridos no passado. Tal princípio tem a finalidade de assegurar a segurança jurídica dos contribuintes para que estes não sejam pegos de surpresa ao serem cobrados por certos tributos ou aumentos que ainda não estavam previstos em lei. Sendo assim, a criação e aumento de tributos, desde que previstos em lei, só pode alcançar fatos futuros.</w:t>
            </w:r>
          </w:p>
          <w:p w:rsidR="00332F0B" w:rsidRDefault="00515653" w:rsidP="00332F0B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 ser de essencial aplicação no âmbito tributário este princípio deve ser sempre observado</w:t>
            </w:r>
            <w:r w:rsidR="008C3966">
              <w:rPr>
                <w:rFonts w:ascii="Times New Roman" w:hAnsi="Times New Roman" w:cs="Times New Roman"/>
                <w:sz w:val="24"/>
                <w:szCs w:val="24"/>
              </w:rPr>
              <w:t xml:space="preserve"> e complementado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966">
              <w:rPr>
                <w:rFonts w:ascii="Times New Roman" w:hAnsi="Times New Roman" w:cs="Times New Roman"/>
                <w:sz w:val="24"/>
                <w:szCs w:val="24"/>
              </w:rPr>
              <w:t xml:space="preserve">pelos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princípios</w:t>
            </w:r>
            <w:r w:rsidR="008C3966">
              <w:rPr>
                <w:rFonts w:ascii="Times New Roman" w:hAnsi="Times New Roman" w:cs="Times New Roman"/>
                <w:sz w:val="24"/>
                <w:szCs w:val="24"/>
              </w:rPr>
              <w:t xml:space="preserve"> da legalidade, segurança jurídica e anterioridade para que seja garantido o equilíbrio entre o fisco e o contribuinte. A regra, portanto, é a irretroatividade da lei tributária, contudo, como toda regra comporta exceções alguns doutrinadores ente</w:t>
            </w:r>
            <w:r w:rsidR="00994F3E">
              <w:rPr>
                <w:rFonts w:ascii="Times New Roman" w:hAnsi="Times New Roman" w:cs="Times New Roman"/>
                <w:sz w:val="24"/>
                <w:szCs w:val="24"/>
              </w:rPr>
              <w:t>ndem que este princípio apresenta</w:t>
            </w:r>
            <w:r w:rsidR="008C3966">
              <w:rPr>
                <w:rFonts w:ascii="Times New Roman" w:hAnsi="Times New Roman" w:cs="Times New Roman"/>
                <w:sz w:val="24"/>
                <w:szCs w:val="24"/>
              </w:rPr>
              <w:t xml:space="preserve"> exceções que estão previstas no artigo 106</w:t>
            </w:r>
            <w:r w:rsidR="00A0271F">
              <w:rPr>
                <w:rFonts w:ascii="Times New Roman" w:hAnsi="Times New Roman" w:cs="Times New Roman"/>
                <w:sz w:val="24"/>
                <w:szCs w:val="24"/>
              </w:rPr>
              <w:t>, I e II do Código Tributário Nacional</w:t>
            </w:r>
            <w:r w:rsidR="008C3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800">
              <w:rPr>
                <w:rFonts w:ascii="Times New Roman" w:hAnsi="Times New Roman" w:cs="Times New Roman"/>
                <w:sz w:val="24"/>
                <w:szCs w:val="24"/>
              </w:rPr>
              <w:t xml:space="preserve">Essas exceções são representadas pela lei interpretativa, </w:t>
            </w:r>
            <w:r w:rsidR="00DD4665">
              <w:rPr>
                <w:rFonts w:ascii="Times New Roman" w:hAnsi="Times New Roman" w:cs="Times New Roman"/>
                <w:sz w:val="24"/>
                <w:szCs w:val="24"/>
              </w:rPr>
              <w:t xml:space="preserve">pela </w:t>
            </w:r>
            <w:r w:rsidR="00127800">
              <w:rPr>
                <w:rFonts w:ascii="Times New Roman" w:hAnsi="Times New Roman" w:cs="Times New Roman"/>
                <w:sz w:val="24"/>
                <w:szCs w:val="24"/>
              </w:rPr>
              <w:t xml:space="preserve">lei benigna e pela situação de inconstitucionalidade. </w:t>
            </w:r>
          </w:p>
          <w:p w:rsidR="0047056A" w:rsidRDefault="00127800" w:rsidP="00332F0B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entanto, ainda existe muita divergência na doutrinada a respeito dessas exceções e 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>para explicitar o tema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utilizou-se o entendimento de doutrinadores como Eduardo Sabbag, Roque Antônio Carraza, Luciano Amaro e Ricardo Lobo Torres.</w:t>
            </w:r>
            <w:r w:rsidR="00DD4665">
              <w:rPr>
                <w:rFonts w:ascii="Times New Roman" w:hAnsi="Times New Roman" w:cs="Times New Roman"/>
                <w:sz w:val="24"/>
                <w:szCs w:val="24"/>
              </w:rPr>
              <w:t xml:space="preserve"> Dentre estes entendimentos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 xml:space="preserve"> consideramos como mais viável</w:t>
            </w:r>
            <w:r w:rsidR="00DD4665">
              <w:rPr>
                <w:rFonts w:ascii="Times New Roman" w:hAnsi="Times New Roman" w:cs="Times New Roman"/>
                <w:sz w:val="24"/>
                <w:szCs w:val="24"/>
              </w:rPr>
              <w:t xml:space="preserve"> o entendimento de Eduardo Sabbag que relata que não existem exceções ao princípio e que estas hipóteses trazidas no artigo </w:t>
            </w:r>
            <w:r w:rsidR="00A0271F">
              <w:rPr>
                <w:rFonts w:ascii="Times New Roman" w:hAnsi="Times New Roman" w:cs="Times New Roman"/>
                <w:sz w:val="24"/>
                <w:szCs w:val="24"/>
              </w:rPr>
              <w:t>106, I e II do CTN acabam por fortalecer a regra da irretroatividade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>, não funcionando como exceções</w:t>
            </w:r>
            <w:r w:rsidR="00A0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71F" w:rsidRDefault="0047056A" w:rsidP="00332F0B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ao entendimento do TJ/MA acerca do princípio d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>a irretroatividade, realizamos 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pesquisa no próprio site do Tribunal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 xml:space="preserve"> pelo jurisconsult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utilizando como termos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 xml:space="preserve"> as palavras: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princípio, irretroatividade e tributário. Utilizando o lapso temporal de 10 anos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 xml:space="preserve"> foram encontradas apenas três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jurisprudências q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 xml:space="preserve">ue tratavam do princípio.  As três jurisprudências 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encontradas não divergem entre si,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verdade tais jurisprudências tratam sobre temas diversos, mas no que diz respeito ao princípio es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>tas acabam por se complementar. As mesmas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 xml:space="preserve">corroboram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 a regra da irretroatividade, estabelecendo que esta deve ser sempre observada, juntamente com os princípios da legalidade, segurança jurídica e anterioridade.   </w:t>
            </w:r>
            <w:r w:rsidR="00DD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30" w:rsidRDefault="00332F0B" w:rsidP="00A0271F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 uma das jurisprudências analisadas foi possível observar que o entendimento do Tribunal de Justiça do Maranhão também não difere do entendimento do Supremo Tribunal Federal que </w:t>
            </w:r>
            <w:r w:rsidR="00C85730">
              <w:rPr>
                <w:rFonts w:ascii="Times New Roman" w:hAnsi="Times New Roman" w:cs="Times New Roman"/>
                <w:sz w:val="24"/>
                <w:szCs w:val="24"/>
              </w:rPr>
              <w:t xml:space="preserve">conclui pela observância do princípio da irretroatividade, já que com ele é possível trazer segurança jurídica e previsibilidade ao contribuinte, evitando que este venha a ser surpreendido com uma cobrança inesperada. </w:t>
            </w:r>
          </w:p>
          <w:p w:rsidR="00A0271F" w:rsidRDefault="00C85730" w:rsidP="00A0271F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Dessa forma, através da pesquisa realizada objetivou-se demonstrar no presente artigo a importância deste princípio para o direito tributário, bem com</w:t>
            </w:r>
            <w:r w:rsidR="00091A6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o equilíbrio da relação jurídica existente entre o fisco e o contribuinte, sendo que tal princípio deve ser plenamente observado em todos os Tribunais brasileiros</w:t>
            </w:r>
            <w:r w:rsidR="00091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já que é uma regra de tamanha importância</w:t>
            </w:r>
            <w:r w:rsidR="00091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A6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devendo apresentar qualquer ressalva</w:t>
            </w:r>
            <w:r w:rsidR="00091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2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7800" w:rsidRDefault="00DD4665" w:rsidP="00A0271F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387" w:rsidRPr="00FE7D63" w:rsidRDefault="008C3966" w:rsidP="00FE7D63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5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7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387" w:rsidRPr="00FE7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F08" w:rsidRDefault="00BE7387" w:rsidP="00C85750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</w:p>
          <w:p w:rsidR="00BE7387" w:rsidRDefault="00BE7387" w:rsidP="00BE7387">
            <w:pPr>
              <w:spacing w:after="0" w:line="36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4" w:rsidRPr="00C85750" w:rsidRDefault="00B50014" w:rsidP="00C85750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  <w:p w:rsidR="00B50014" w:rsidRPr="00C85750" w:rsidRDefault="00913F08" w:rsidP="00C85750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. </w:t>
            </w:r>
          </w:p>
          <w:p w:rsidR="00B50014" w:rsidRPr="00C85750" w:rsidRDefault="00B50014" w:rsidP="00C85750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  <w:p w:rsidR="00B50014" w:rsidRPr="00C85750" w:rsidRDefault="00B50014" w:rsidP="00C85750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  <w:p w:rsidR="00B50014" w:rsidRPr="00C85750" w:rsidRDefault="00B50014" w:rsidP="00C85750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  <w:p w:rsidR="00B50014" w:rsidRPr="00C85750" w:rsidRDefault="00B50014" w:rsidP="00C85750">
            <w:pPr>
              <w:spacing w:after="0" w:line="360" w:lineRule="auto"/>
              <w:ind w:firstLine="1197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  <w:p w:rsidR="00B50014" w:rsidRPr="00CB2F02" w:rsidRDefault="00B50014" w:rsidP="00B50014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  <w:p w:rsidR="00BA69E4" w:rsidRPr="00BA69E4" w:rsidRDefault="00BA69E4" w:rsidP="002943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5CFC" w:rsidTr="0029434E">
        <w:tc>
          <w:tcPr>
            <w:tcW w:w="0" w:type="auto"/>
            <w:shd w:val="clear" w:color="auto" w:fill="FFFFFF"/>
            <w:vAlign w:val="center"/>
            <w:hideMark/>
          </w:tcPr>
          <w:p w:rsidR="009A5CFC" w:rsidRDefault="009A5CFC" w:rsidP="009A5CFC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CFC" w:rsidRDefault="009A5CFC" w:rsidP="009A5CFC">
            <w:pPr>
              <w:jc w:val="both"/>
              <w:rPr>
                <w:sz w:val="20"/>
                <w:szCs w:val="20"/>
              </w:rPr>
            </w:pPr>
          </w:p>
        </w:tc>
      </w:tr>
      <w:tr w:rsidR="009A5CFC" w:rsidTr="0029434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5CFC" w:rsidRPr="00BA69E4" w:rsidRDefault="009A5CFC" w:rsidP="00BA69E4">
            <w:pPr>
              <w:spacing w:line="240" w:lineRule="auto"/>
              <w:ind w:left="23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9E4" w:rsidTr="0029434E">
        <w:tc>
          <w:tcPr>
            <w:tcW w:w="0" w:type="auto"/>
            <w:gridSpan w:val="2"/>
            <w:shd w:val="clear" w:color="auto" w:fill="FFFFFF"/>
            <w:vAlign w:val="center"/>
          </w:tcPr>
          <w:p w:rsidR="00BA69E4" w:rsidRDefault="00BA69E4" w:rsidP="009A5CFC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50014" w:rsidRDefault="00B50014" w:rsidP="009A5CFC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50014" w:rsidRDefault="00B50014" w:rsidP="009A5CFC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50014" w:rsidRDefault="00B50014" w:rsidP="009A5CFC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50014" w:rsidRDefault="00B50014" w:rsidP="009A5CFC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50014" w:rsidRDefault="00B50014" w:rsidP="009A5CFC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50014" w:rsidRDefault="00B50014" w:rsidP="009A5CFC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50014" w:rsidRDefault="00B50014" w:rsidP="009A5CFC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:rsidR="007E79D6" w:rsidRDefault="00DF45C6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CF76E0" w:rsidRDefault="00CF76E0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6E0" w:rsidRDefault="00CF76E0" w:rsidP="0060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05D" w:rsidRPr="00C6505D" w:rsidRDefault="00C6505D" w:rsidP="00606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05D">
        <w:rPr>
          <w:rFonts w:ascii="Times New Roman" w:hAnsi="Times New Roman" w:cs="Times New Roman"/>
          <w:sz w:val="24"/>
          <w:szCs w:val="24"/>
        </w:rPr>
        <w:t>AMARO, Luciano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505D">
        <w:rPr>
          <w:rFonts w:ascii="Times New Roman" w:hAnsi="Times New Roman" w:cs="Times New Roman"/>
          <w:b/>
          <w:sz w:val="24"/>
          <w:szCs w:val="24"/>
        </w:rPr>
        <w:t>Direito tributário brasileiro</w:t>
      </w:r>
      <w:r>
        <w:rPr>
          <w:rFonts w:ascii="Times New Roman" w:hAnsi="Times New Roman" w:cs="Times New Roman"/>
          <w:sz w:val="24"/>
          <w:szCs w:val="24"/>
        </w:rPr>
        <w:t>. 12. ed. São Paulo: Saraiva, 2006.</w:t>
      </w:r>
    </w:p>
    <w:p w:rsidR="00CF76E0" w:rsidRDefault="00CF76E0" w:rsidP="00606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6E0" w:rsidRDefault="00CF76E0" w:rsidP="00606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5C6" w:rsidRDefault="00DF45C6" w:rsidP="00606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CARRAZA, Roque Antonio. </w:t>
      </w:r>
      <w:r w:rsidRPr="00DF45C6">
        <w:rPr>
          <w:rFonts w:ascii="Times New Roman" w:hAnsi="Times New Roman" w:cs="Times New Roman"/>
          <w:b/>
          <w:sz w:val="24"/>
          <w:szCs w:val="24"/>
        </w:rPr>
        <w:t>Curso de Direito Constitucional Tributário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2F5A">
        <w:rPr>
          <w:rFonts w:ascii="Times New Roman" w:hAnsi="Times New Roman" w:cs="Times New Roman"/>
          <w:sz w:val="24"/>
          <w:szCs w:val="24"/>
        </w:rPr>
        <w:t xml:space="preserve"> 23. ed.</w:t>
      </w:r>
      <w:r>
        <w:rPr>
          <w:rFonts w:ascii="Times New Roman" w:hAnsi="Times New Roman" w:cs="Times New Roman"/>
          <w:sz w:val="24"/>
          <w:szCs w:val="24"/>
        </w:rPr>
        <w:t xml:space="preserve"> São Paulo: </w:t>
      </w:r>
      <w:r w:rsidR="00702F5A">
        <w:rPr>
          <w:rFonts w:ascii="Times New Roman" w:hAnsi="Times New Roman" w:cs="Times New Roman"/>
          <w:sz w:val="24"/>
          <w:szCs w:val="24"/>
        </w:rPr>
        <w:t>Malheiros, 2007.</w:t>
      </w:r>
    </w:p>
    <w:p w:rsidR="00CF76E0" w:rsidRDefault="00CF76E0" w:rsidP="007E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6E0" w:rsidRDefault="00CF76E0" w:rsidP="007E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9D6" w:rsidRDefault="009A4B85" w:rsidP="007E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CREPALDI</w:t>
      </w:r>
      <w:r w:rsidR="007E79D6" w:rsidRPr="007E79D6">
        <w:rPr>
          <w:rFonts w:ascii="Times New Roman" w:hAnsi="Times New Roman" w:cs="Times New Roman"/>
          <w:sz w:val="24"/>
          <w:szCs w:val="24"/>
        </w:rPr>
        <w:t xml:space="preserve">, Silvio Aparecido. </w:t>
      </w:r>
      <w:r w:rsidR="007E79D6" w:rsidRPr="007E79D6">
        <w:rPr>
          <w:rFonts w:ascii="Times New Roman" w:hAnsi="Times New Roman" w:cs="Times New Roman"/>
          <w:b/>
          <w:sz w:val="24"/>
          <w:szCs w:val="24"/>
        </w:rPr>
        <w:t>Princípios Constitucionais Tributários</w:t>
      </w:r>
      <w:r w:rsidR="007E79D6" w:rsidRPr="007E79D6">
        <w:rPr>
          <w:rFonts w:ascii="Times New Roman" w:hAnsi="Times New Roman" w:cs="Times New Roman"/>
          <w:sz w:val="24"/>
          <w:szCs w:val="24"/>
        </w:rPr>
        <w:t>. Disponível em: &lt;&lt;</w:t>
      </w:r>
      <w:hyperlink r:id="rId8" w:history="1">
        <w:r w:rsidR="007E79D6" w:rsidRPr="007E79D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http://www.oab.org.br/oabeditora/revista/revista_06/anexos/principios_contitucionais_tributarios.pdf</w:t>
        </w:r>
      </w:hyperlink>
      <w:r w:rsidR="007E79D6" w:rsidRPr="007E79D6">
        <w:rPr>
          <w:rFonts w:ascii="Times New Roman" w:hAnsi="Times New Roman" w:cs="Times New Roman"/>
          <w:sz w:val="24"/>
          <w:szCs w:val="24"/>
        </w:rPr>
        <w:t>&gt;&gt;</w:t>
      </w:r>
      <w:r w:rsidR="007E79D6">
        <w:rPr>
          <w:rFonts w:ascii="Times New Roman" w:hAnsi="Times New Roman" w:cs="Times New Roman"/>
          <w:sz w:val="24"/>
          <w:szCs w:val="24"/>
        </w:rPr>
        <w:t>. Acesso em</w:t>
      </w:r>
      <w:r w:rsidR="00702F5A">
        <w:rPr>
          <w:rFonts w:ascii="Times New Roman" w:hAnsi="Times New Roman" w:cs="Times New Roman"/>
          <w:sz w:val="24"/>
          <w:szCs w:val="24"/>
        </w:rPr>
        <w:t>: 29 de agosto de 2012.</w:t>
      </w:r>
    </w:p>
    <w:p w:rsidR="001F5F8F" w:rsidRDefault="001F5F8F" w:rsidP="007E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8F" w:rsidRDefault="001F5F8F" w:rsidP="007E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8F" w:rsidRDefault="001F5F8F" w:rsidP="007E7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MACHADO, Hugo de Brito. </w:t>
      </w:r>
      <w:r w:rsidRPr="001F5F8F">
        <w:rPr>
          <w:rFonts w:ascii="Times New Roman" w:hAnsi="Times New Roman" w:cs="Times New Roman"/>
          <w:b/>
          <w:sz w:val="24"/>
          <w:szCs w:val="24"/>
        </w:rPr>
        <w:t>Curso de Direito Tributário</w:t>
      </w:r>
      <w:r>
        <w:rPr>
          <w:rFonts w:ascii="Times New Roman" w:hAnsi="Times New Roman" w:cs="Times New Roman"/>
          <w:sz w:val="24"/>
          <w:szCs w:val="24"/>
        </w:rPr>
        <w:t>. 27. ed. São Paulo: Malheiros, 2006.</w:t>
      </w:r>
    </w:p>
    <w:p w:rsidR="00CF76E0" w:rsidRDefault="00CF76E0" w:rsidP="009F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6E0" w:rsidRDefault="00CF76E0" w:rsidP="009F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A17" w:rsidRDefault="00DF45C6" w:rsidP="009F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SABBAG, Eduardo. </w:t>
      </w:r>
      <w:r w:rsidRPr="00DF45C6">
        <w:rPr>
          <w:rFonts w:ascii="Times New Roman" w:hAnsi="Times New Roman" w:cs="Times New Roman"/>
          <w:b/>
          <w:sz w:val="24"/>
          <w:szCs w:val="24"/>
        </w:rPr>
        <w:t>Manual de Direito Tributário</w:t>
      </w:r>
      <w:r>
        <w:rPr>
          <w:rFonts w:ascii="Times New Roman" w:hAnsi="Times New Roman" w:cs="Times New Roman"/>
          <w:sz w:val="24"/>
          <w:szCs w:val="24"/>
        </w:rPr>
        <w:t>. 4. ed. São Paulo: Saraiva, 2012.</w:t>
      </w:r>
    </w:p>
    <w:p w:rsidR="00CF76E0" w:rsidRDefault="00CF76E0" w:rsidP="009F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6E0" w:rsidRDefault="00CF76E0" w:rsidP="009F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5C6" w:rsidRPr="009F6A17" w:rsidRDefault="00C6505D" w:rsidP="009F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TORRES, Ricardo Lobo. </w:t>
      </w:r>
      <w:r w:rsidRPr="00C6505D">
        <w:rPr>
          <w:rFonts w:ascii="Times New Roman" w:hAnsi="Times New Roman" w:cs="Times New Roman"/>
          <w:b/>
          <w:sz w:val="24"/>
          <w:szCs w:val="24"/>
        </w:rPr>
        <w:t>Curso de direito financeiro e tributário</w:t>
      </w:r>
      <w:r>
        <w:rPr>
          <w:rFonts w:ascii="Times New Roman" w:hAnsi="Times New Roman" w:cs="Times New Roman"/>
          <w:sz w:val="24"/>
          <w:szCs w:val="24"/>
        </w:rPr>
        <w:t>. 13. ed. Rio de Janeiro: Renovar, 2006.</w:t>
      </w:r>
      <w:r w:rsidR="00DF4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5C6" w:rsidRDefault="00DF45C6" w:rsidP="007E7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9D6" w:rsidRDefault="007E79D6" w:rsidP="007E79D6">
      <w:pPr>
        <w:rPr>
          <w:rFonts w:ascii="Times New Roman" w:hAnsi="Times New Roman" w:cs="Times New Roman"/>
          <w:sz w:val="24"/>
          <w:szCs w:val="24"/>
        </w:rPr>
      </w:pPr>
    </w:p>
    <w:p w:rsidR="005B1AEC" w:rsidRPr="005B1AEC" w:rsidRDefault="005B1AEC" w:rsidP="005B1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1AEC" w:rsidRPr="005B1AEC" w:rsidSect="005B1AEC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04" w:rsidRDefault="00A94A04" w:rsidP="005B1AEC">
      <w:pPr>
        <w:spacing w:after="0" w:line="240" w:lineRule="auto"/>
      </w:pPr>
      <w:r>
        <w:separator/>
      </w:r>
    </w:p>
  </w:endnote>
  <w:endnote w:type="continuationSeparator" w:id="1">
    <w:p w:rsidR="00A94A04" w:rsidRDefault="00A94A04" w:rsidP="005B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04" w:rsidRDefault="00A94A04" w:rsidP="005B1AEC">
      <w:pPr>
        <w:spacing w:after="0" w:line="240" w:lineRule="auto"/>
      </w:pPr>
      <w:r>
        <w:separator/>
      </w:r>
    </w:p>
  </w:footnote>
  <w:footnote w:type="continuationSeparator" w:id="1">
    <w:p w:rsidR="00A94A04" w:rsidRDefault="00A94A04" w:rsidP="005B1AEC">
      <w:pPr>
        <w:spacing w:after="0" w:line="240" w:lineRule="auto"/>
      </w:pPr>
      <w:r>
        <w:continuationSeparator/>
      </w:r>
    </w:p>
  </w:footnote>
  <w:footnote w:id="2">
    <w:p w:rsidR="00C85730" w:rsidRPr="007D2D4F" w:rsidRDefault="00C85730" w:rsidP="00C413C3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7D2D4F">
        <w:rPr>
          <w:rFonts w:ascii="Times New Roman" w:hAnsi="Times New Roman" w:cs="Times New Roman"/>
        </w:rPr>
        <w:t>Paper apresentado à dis</w:t>
      </w:r>
      <w:r>
        <w:rPr>
          <w:rFonts w:ascii="Times New Roman" w:hAnsi="Times New Roman" w:cs="Times New Roman"/>
        </w:rPr>
        <w:t>ciplina de Direito Tributário</w:t>
      </w:r>
      <w:r w:rsidRPr="007D2D4F">
        <w:rPr>
          <w:rFonts w:ascii="Times New Roman" w:hAnsi="Times New Roman" w:cs="Times New Roman"/>
        </w:rPr>
        <w:t>, da Unidade de Ensino Superior Dom Bosco – UNDB.</w:t>
      </w:r>
    </w:p>
    <w:p w:rsidR="00C85730" w:rsidRPr="00C413C3" w:rsidRDefault="00C85730" w:rsidP="00C413C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pt-BR"/>
        </w:rPr>
        <w:t>*Alunos do 7</w:t>
      </w:r>
      <w:r w:rsidRPr="007D2D4F">
        <w:rPr>
          <w:rFonts w:ascii="Times New Roman" w:hAnsi="Times New Roman" w:cs="Times New Roman"/>
          <w:color w:val="auto"/>
          <w:sz w:val="20"/>
          <w:szCs w:val="20"/>
          <w:lang w:val="pt-BR"/>
        </w:rPr>
        <w:t xml:space="preserve">º período do Curso de Direito, da UNDB. </w:t>
      </w:r>
    </w:p>
  </w:footnote>
  <w:footnote w:id="3">
    <w:p w:rsidR="00C85730" w:rsidRDefault="00C85730" w:rsidP="00C413C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Professor Mestre, orientador</w:t>
      </w:r>
      <w:r w:rsidRPr="007D2D4F">
        <w:rPr>
          <w:rFonts w:ascii="Times New Roman" w:hAnsi="Times New Roman" w:cs="Times New Roman"/>
        </w:rPr>
        <w:t>.</w:t>
      </w:r>
    </w:p>
    <w:p w:rsidR="00C85730" w:rsidRDefault="00C85730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14747"/>
      <w:docPartObj>
        <w:docPartGallery w:val="Page Numbers (Top of Page)"/>
        <w:docPartUnique/>
      </w:docPartObj>
    </w:sdtPr>
    <w:sdtContent>
      <w:p w:rsidR="00C85730" w:rsidRDefault="00C85730">
        <w:pPr>
          <w:pStyle w:val="Cabealho"/>
          <w:jc w:val="right"/>
        </w:pPr>
        <w:fldSimple w:instr="PAGE   \* MERGEFORMAT">
          <w:r w:rsidR="00091A60">
            <w:rPr>
              <w:noProof/>
            </w:rPr>
            <w:t>1</w:t>
          </w:r>
        </w:fldSimple>
      </w:p>
    </w:sdtContent>
  </w:sdt>
  <w:p w:rsidR="00C85730" w:rsidRDefault="00C857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AEC"/>
    <w:rsid w:val="00003592"/>
    <w:rsid w:val="0000637A"/>
    <w:rsid w:val="000110E9"/>
    <w:rsid w:val="00036C3E"/>
    <w:rsid w:val="000407F2"/>
    <w:rsid w:val="00044C26"/>
    <w:rsid w:val="00067444"/>
    <w:rsid w:val="00067E88"/>
    <w:rsid w:val="00086FB3"/>
    <w:rsid w:val="00091A60"/>
    <w:rsid w:val="000933F4"/>
    <w:rsid w:val="000F3C3E"/>
    <w:rsid w:val="00110938"/>
    <w:rsid w:val="00127800"/>
    <w:rsid w:val="00167EA1"/>
    <w:rsid w:val="001714A0"/>
    <w:rsid w:val="001778F0"/>
    <w:rsid w:val="001A1BCB"/>
    <w:rsid w:val="001C3747"/>
    <w:rsid w:val="001C6335"/>
    <w:rsid w:val="001E607E"/>
    <w:rsid w:val="001F5F8F"/>
    <w:rsid w:val="0025277F"/>
    <w:rsid w:val="0029434E"/>
    <w:rsid w:val="00304844"/>
    <w:rsid w:val="00332F0B"/>
    <w:rsid w:val="003847AA"/>
    <w:rsid w:val="003A36C3"/>
    <w:rsid w:val="00412B00"/>
    <w:rsid w:val="004270E2"/>
    <w:rsid w:val="00436D5E"/>
    <w:rsid w:val="0047056A"/>
    <w:rsid w:val="004917BB"/>
    <w:rsid w:val="004B2AD0"/>
    <w:rsid w:val="00510319"/>
    <w:rsid w:val="00513263"/>
    <w:rsid w:val="00515653"/>
    <w:rsid w:val="00567F66"/>
    <w:rsid w:val="005B0362"/>
    <w:rsid w:val="005B1AEC"/>
    <w:rsid w:val="005B7716"/>
    <w:rsid w:val="005C0E64"/>
    <w:rsid w:val="005E16C9"/>
    <w:rsid w:val="00606D4F"/>
    <w:rsid w:val="00634632"/>
    <w:rsid w:val="00635FFC"/>
    <w:rsid w:val="00645F45"/>
    <w:rsid w:val="0065234E"/>
    <w:rsid w:val="00687883"/>
    <w:rsid w:val="006C1811"/>
    <w:rsid w:val="00702F5A"/>
    <w:rsid w:val="00727FF6"/>
    <w:rsid w:val="007B7864"/>
    <w:rsid w:val="007C1D18"/>
    <w:rsid w:val="007D0B91"/>
    <w:rsid w:val="007E79D6"/>
    <w:rsid w:val="007F2252"/>
    <w:rsid w:val="007F6D80"/>
    <w:rsid w:val="0084105C"/>
    <w:rsid w:val="0085184B"/>
    <w:rsid w:val="00864304"/>
    <w:rsid w:val="008963B8"/>
    <w:rsid w:val="008A50A3"/>
    <w:rsid w:val="008C28C8"/>
    <w:rsid w:val="008C3966"/>
    <w:rsid w:val="008F0AF6"/>
    <w:rsid w:val="00913F08"/>
    <w:rsid w:val="0092378C"/>
    <w:rsid w:val="00937284"/>
    <w:rsid w:val="00946BC4"/>
    <w:rsid w:val="0095229A"/>
    <w:rsid w:val="00975370"/>
    <w:rsid w:val="00994F3E"/>
    <w:rsid w:val="009A4B85"/>
    <w:rsid w:val="009A5CFC"/>
    <w:rsid w:val="009A7D6B"/>
    <w:rsid w:val="009B78BD"/>
    <w:rsid w:val="009C6A16"/>
    <w:rsid w:val="009F6A17"/>
    <w:rsid w:val="00A0271F"/>
    <w:rsid w:val="00A81F3C"/>
    <w:rsid w:val="00A85A29"/>
    <w:rsid w:val="00A94A04"/>
    <w:rsid w:val="00AB2666"/>
    <w:rsid w:val="00AC47FE"/>
    <w:rsid w:val="00AD2D41"/>
    <w:rsid w:val="00B2594E"/>
    <w:rsid w:val="00B3700A"/>
    <w:rsid w:val="00B50014"/>
    <w:rsid w:val="00B570AB"/>
    <w:rsid w:val="00BA69E4"/>
    <w:rsid w:val="00BE7387"/>
    <w:rsid w:val="00BF35B5"/>
    <w:rsid w:val="00C04A3E"/>
    <w:rsid w:val="00C10942"/>
    <w:rsid w:val="00C3282D"/>
    <w:rsid w:val="00C402E0"/>
    <w:rsid w:val="00C413C3"/>
    <w:rsid w:val="00C46557"/>
    <w:rsid w:val="00C5603F"/>
    <w:rsid w:val="00C64B57"/>
    <w:rsid w:val="00C6505D"/>
    <w:rsid w:val="00C85730"/>
    <w:rsid w:val="00C85750"/>
    <w:rsid w:val="00C91BA7"/>
    <w:rsid w:val="00C93F45"/>
    <w:rsid w:val="00CB2F02"/>
    <w:rsid w:val="00CF76E0"/>
    <w:rsid w:val="00D14AF0"/>
    <w:rsid w:val="00D26BE2"/>
    <w:rsid w:val="00D41DF5"/>
    <w:rsid w:val="00D61B65"/>
    <w:rsid w:val="00D64AAE"/>
    <w:rsid w:val="00DA7EE3"/>
    <w:rsid w:val="00DB4B41"/>
    <w:rsid w:val="00DD4665"/>
    <w:rsid w:val="00DE4EE3"/>
    <w:rsid w:val="00DF45C6"/>
    <w:rsid w:val="00E30A27"/>
    <w:rsid w:val="00E361B9"/>
    <w:rsid w:val="00E65E06"/>
    <w:rsid w:val="00F13375"/>
    <w:rsid w:val="00F436D1"/>
    <w:rsid w:val="00FA67F5"/>
    <w:rsid w:val="00FA6934"/>
    <w:rsid w:val="00FA7355"/>
    <w:rsid w:val="00FC6DDB"/>
    <w:rsid w:val="00FE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F5"/>
  </w:style>
  <w:style w:type="paragraph" w:styleId="Ttulo3">
    <w:name w:val="heading 3"/>
    <w:basedOn w:val="Normal"/>
    <w:link w:val="Ttulo3Char"/>
    <w:uiPriority w:val="9"/>
    <w:qFormat/>
    <w:rsid w:val="00C10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1A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1A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1AE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79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F3C"/>
  </w:style>
  <w:style w:type="paragraph" w:styleId="Rodap">
    <w:name w:val="footer"/>
    <w:basedOn w:val="Normal"/>
    <w:link w:val="RodapChar"/>
    <w:uiPriority w:val="99"/>
    <w:unhideWhenUsed/>
    <w:rsid w:val="00A8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F3C"/>
  </w:style>
  <w:style w:type="paragraph" w:customStyle="1" w:styleId="Default">
    <w:name w:val="Default"/>
    <w:rsid w:val="00C41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C1094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name">
    <w:name w:val="name"/>
    <w:basedOn w:val="Normal"/>
    <w:rsid w:val="00C1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sc">
    <w:name w:val="desc"/>
    <w:basedOn w:val="Normal"/>
    <w:rsid w:val="00C1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0942"/>
  </w:style>
  <w:style w:type="paragraph" w:styleId="Subttulo">
    <w:name w:val="Subtitle"/>
    <w:basedOn w:val="Normal"/>
    <w:link w:val="SubttuloChar"/>
    <w:qFormat/>
    <w:rsid w:val="0029434E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29434E"/>
    <w:rPr>
      <w:rFonts w:ascii="Tahoma" w:eastAsia="Times New Roman" w:hAnsi="Tahoma" w:cs="Tahoma"/>
      <w:sz w:val="24"/>
      <w:szCs w:val="24"/>
      <w:lang w:eastAsia="pt-BR"/>
    </w:rPr>
  </w:style>
  <w:style w:type="paragraph" w:styleId="NormalWeb">
    <w:name w:val="Normal (Web)"/>
    <w:basedOn w:val="Normal"/>
    <w:rsid w:val="005B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1A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1A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1AE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79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F3C"/>
  </w:style>
  <w:style w:type="paragraph" w:styleId="Rodap">
    <w:name w:val="footer"/>
    <w:basedOn w:val="Normal"/>
    <w:link w:val="RodapChar"/>
    <w:uiPriority w:val="99"/>
    <w:unhideWhenUsed/>
    <w:rsid w:val="00A8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10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047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277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6546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834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8145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2961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2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0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6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5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b.org.br/oabeditora/revista/revista_06/anexos/principios_contitucionais_tributarios.pd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jurisconsult.tjma.jus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24EF-47F4-49A9-88B6-5D2729A4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3964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 Lopes Aragão</dc:creator>
  <cp:lastModifiedBy>user</cp:lastModifiedBy>
  <cp:revision>23</cp:revision>
  <dcterms:created xsi:type="dcterms:W3CDTF">2012-11-07T13:56:00Z</dcterms:created>
  <dcterms:modified xsi:type="dcterms:W3CDTF">2012-11-07T18:36:00Z</dcterms:modified>
</cp:coreProperties>
</file>